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0e9dbd6a0a3c31a8343e4070014dd29bbd34fd4"/>
    <w:p>
      <w:pPr>
        <w:pStyle w:val="Heading1"/>
      </w:pPr>
      <w:r>
        <w:t xml:space="preserve">리프레티닙(Ripretinib)의 위장관기질종양(GIST) 4차 이상 치료에 대한 경제성평가 보고서</w:t>
      </w:r>
    </w:p>
    <w:p>
      <w:pPr>
        <w:pStyle w:val="FirstParagraph"/>
      </w:pPr>
      <w:r>
        <w:rPr>
          <w:bCs/>
          <w:b/>
        </w:rPr>
        <w:t xml:space="preserve">— NICE 경제성평가(TA1146, TA881 대체본) 모델의 국내 로컬리제이션 —</w:t>
      </w:r>
    </w:p>
    <w:p>
      <w:pPr>
        <w:pStyle w:val="BlockText"/>
      </w:pPr>
      <w:r>
        <w:rPr>
          <w:bCs/>
          <w:b/>
        </w:rPr>
        <w:t xml:space="preserve">문서 상태</w:t>
      </w:r>
      <w:r>
        <w:t xml:space="preserve">: 보고서 쉘 v0.6 (committee papers 원문 + 국내 비용 1차 통합 반영)</w:t>
      </w:r>
    </w:p>
    <w:p>
      <w:pPr>
        <w:pStyle w:val="BlockText"/>
      </w:pPr>
      <w:r>
        <w:rPr>
          <w:bCs/>
          <w:b/>
        </w:rPr>
        <w:t xml:space="preserve">제출처</w:t>
      </w:r>
      <w:r>
        <w:t xml:space="preserve">: 건강보험심사평가원 약제급여평가위원회(경제성평가 소위원회)</w:t>
      </w:r>
    </w:p>
    <w:p>
      <w:pPr>
        <w:pStyle w:val="BlockText"/>
      </w:pPr>
      <w:r>
        <w:rPr>
          <w:bCs/>
          <w:b/>
        </w:rPr>
        <w:t xml:space="preserve">작성 기준</w:t>
      </w:r>
      <w:r>
        <w:t xml:space="preserve">: 「의약품 경제성평가지침 및 자료 작성 요령」(건강보험심사평가원, 2021년 개정) 및 관련 세부 지침</w:t>
      </w:r>
    </w:p>
    <w:p>
      <w:r>
        <w:pict>
          <v:rect style="width:0;height:1.5pt" o:hralign="center" o:hrstd="t" o:hr="t"/>
        </w:pict>
      </w:r>
    </w:p>
    <w:bookmarkStart w:id="22" w:name="이-쉘의-표기-원칙-최종본에서-이-박스는-삭제"/>
    <w:p>
      <w:pPr>
        <w:pStyle w:val="Heading2"/>
      </w:pPr>
      <w:r>
        <w:t xml:space="preserve">이 쉘의 표기 원칙 (최종본에서 이 박스는 삭제)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[확인됨 — 출처]</w:t>
      </w:r>
      <w:r>
        <w:t xml:space="preserve"> </w:t>
      </w:r>
      <w:r>
        <w:t xml:space="preserve">: NICE 공식 발간물 원문에서 확인된 사실.</w:t>
      </w:r>
      <w:r>
        <w:t xml:space="preserve"> </w:t>
      </w:r>
      <w:r>
        <w:rPr>
          <w:rStyle w:val="VerbatimChar"/>
        </w:rPr>
        <w:t xml:space="preserve">[TA1146 §x.x]</w:t>
      </w:r>
      <w:r>
        <w:t xml:space="preserve"> </w:t>
      </w:r>
      <w:r>
        <w:t xml:space="preserve">형식으로 절 번호 병기.</w:t>
      </w:r>
    </w:p>
    <w:p>
      <w:pPr>
        <w:numPr>
          <w:ilvl w:val="0"/>
          <w:numId w:val="1001"/>
        </w:numPr>
        <w:pStyle w:val="Compact"/>
      </w:pPr>
      <w:r>
        <w:t xml:space="preserve">⬜</w:t>
      </w:r>
      <w:r>
        <w:t xml:space="preserve"> </w:t>
      </w:r>
      <w:r>
        <w:rPr>
          <w:bCs/>
          <w:b/>
        </w:rPr>
        <w:t xml:space="preserve">[입력 필요 — 확인할 원본]</w:t>
      </w:r>
      <w:r>
        <w:t xml:space="preserve"> </w:t>
      </w:r>
      <w:r>
        <w:t xml:space="preserve">: 플레이스홀더. 지정된 원본 문서에서 값을 확인·전기할 것.</w:t>
      </w:r>
      <w:r>
        <w:t xml:space="preserve"> </w:t>
      </w:r>
      <w:r>
        <w:rPr>
          <w:bCs/>
          <w:b/>
        </w:rPr>
        <w:t xml:space="preserve">원본 확인 없이 임의 기재 금지.</w:t>
      </w:r>
    </w:p>
    <w:p>
      <w:pPr>
        <w:numPr>
          <w:ilvl w:val="0"/>
          <w:numId w:val="1001"/>
        </w:numPr>
        <w:pStyle w:val="Compact"/>
      </w:pPr>
      <w:r>
        <w:t xml:space="preserve">TA1146 guidance 본문(2026.4.28. 발간, 26쪽, ISBN 978-1-4731-9443-4)은 원문 전체를 확인함. 단, guidance 본문에 수록되지 않은 세부 수치(효용값 수치, PFS 외삽 분포, 이상반응 목록, 상태별 비용 명세 등)는</w:t>
      </w:r>
      <w:r>
        <w:t xml:space="preserve"> </w:t>
      </w:r>
      <w:r>
        <w:rPr>
          <w:bCs/>
          <w:b/>
        </w:rPr>
        <w:t xml:space="preserve">committee papers</w:t>
      </w:r>
      <w:r>
        <w:t xml:space="preserve"> </w:t>
      </w:r>
      <w:r>
        <w:t xml:space="preserve">확인 필요. 일부 값(회사 자문단 10년 OS 합의 추정치, 2022 데이터컷 OS HR, 진행 후 상태별 OS 추정치 등)은 NICE가</w:t>
      </w:r>
      <w:r>
        <w:t xml:space="preserve"> </w:t>
      </w:r>
      <w:r>
        <w:rPr>
          <w:bCs/>
          <w:b/>
        </w:rPr>
        <w:t xml:space="preserve">기업비밀(confidential)로 비공개</w:t>
      </w:r>
      <w:r>
        <w:t xml:space="preserve"> </w:t>
      </w:r>
      <w:r>
        <w:t xml:space="preserve">처리했으므로 [TA1146 §3.4, §3.10, §3.11] 공개 문서로는 확인 불가능함을 유의.</w:t>
      </w:r>
    </w:p>
    <w:bookmarkStart w:id="20" w:name="근거-문서-목록-nice-공식-발간물"/>
    <w:p>
      <w:pPr>
        <w:pStyle w:val="Heading3"/>
      </w:pPr>
      <w:r>
        <w:t xml:space="preserve">근거 문서 목록 (NICE 공식 발간물)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문서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확인 상태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NICE TA1146</w:t>
            </w:r>
            <w:r>
              <w:t xml:space="preserve"> </w:t>
            </w:r>
            <w:r>
              <w:t xml:space="preserve">(2026.4.28.)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TA881을 대체한 최종 guidance — 권고, 위원회 논의, 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원문 전체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NICE TA881 (2023.5.3.)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1차 평가(비권고) guidance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부분 확인 (웹)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TA1146 committee papers (GID-TA11676)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회사 제출자료(2025.5.28.) ② 환자용 요약(SIP) ③ 명확화 질의응답(2025.6.30./7.7.) ④ 환자·전문가 단체 의견(GIST Cancer UK, PAWS-GIST, Sarcoma UK) ⑤ 임상·환자 전문가 진술 ⑥ EAG 보고서(2025.8.20.) 및 addendum(2025.9.25.) ⑦ 회사 개정 기본분석 addendum(2025.9.26.)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원문 확인(삭제본)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NICE TA488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레고라페닙(3차) 평가 — GRID 시험 효용값의 출처로 언급됨 [TA1146 §3.12]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필요시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회사 근거 제출자료 (ID6496, 2025.5.)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모형·투입변수 전체 명세 (Section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원문 확인(삭제본)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회사 DG 대응 Addendum (ID6496, 2025.12.)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 DCO 재분석, TSE-IPCW 방법, AIC/BIC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원문 확인(삭제본)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EAG critique of DG response (2025.12.16.)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EAG 선호 분석·ICER 경과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원문 확인(삭제본)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ERG critique of ACD response (ID3805, 2023.1.16.)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TA881 당시 쟁점(참고)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원문 확인(삭제본)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경제성 모델 작업본</w:t>
            </w:r>
            <w:r>
              <w:t xml:space="preserve"> </w:t>
            </w:r>
            <w:r>
              <w:rPr>
                <w:rStyle w:val="VerbatimChar"/>
              </w:rPr>
              <w:t xml:space="preserve">ID3805 Ripretinib CEM_4 State_NICE 2022 DCO IPCW 2025 12 05_localization.xlsm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4-상태 PSM 엑셀 모델(한국 로컬리제이션 작업본, '업무분장' 시트 포함)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구조·현황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연구진 국내 비용 검토</w:t>
            </w:r>
            <w:r>
              <w:t xml:space="preserve"> </w:t>
            </w:r>
            <w:r>
              <w:rPr>
                <w:rStyle w:val="VerbatimChar"/>
              </w:rPr>
              <w:t xml:space="preserve">Qinlock_cost_input_20260918.xlsx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국내 수가 매핑(모니터링·고식적 처치·BSC 약제·AE, Open HIRA·2025 가중평균가 기반) 및 모델 입력 위치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반영 완료(2026.9.22.)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연구진 EOL 비용 검토</w:t>
            </w:r>
            <w:r>
              <w:t xml:space="preserve"> </w:t>
            </w:r>
            <w:r>
              <w:rPr>
                <w:rStyle w:val="VerbatimChar"/>
              </w:rPr>
              <w:t xml:space="preserve">Qinlock_EOL.xlsx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국내 말기 비용(Park 2018 위암 proxy) 및 모델 EOL 구조 분석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반영 완료(2026.9.22.)</w:t>
            </w:r>
          </w:p>
        </w:tc>
      </w:tr>
    </w:tbl>
    <w:bookmarkEnd w:id="20"/>
    <w:bookmarkStart w:id="21" w:name="로컬리제이션-확정값-요약-연구진-결정사항"/>
    <w:p>
      <w:pPr>
        <w:pStyle w:val="Heading3"/>
      </w:pPr>
      <w:r>
        <w:t xml:space="preserve">로컬리제이션 확정값 요약 (연구진 결정사항)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확정값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모델 반영 상태 (작업본 기준)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할인율(비용·효과)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연 4.5%</w:t>
            </w:r>
            <w:r>
              <w:t xml:space="preserve"> </w:t>
            </w:r>
            <w:r>
              <w:t xml:space="preserve">(심평원 지침)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반영 완료 (Settings, 0.045)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리프레티닙 약가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212,865원/정(50 mg)</w:t>
            </w:r>
            <w:r>
              <w:t xml:space="preserve"> </w:t>
            </w:r>
            <w:r>
              <w:t xml:space="preserve">(PAS/RSA는 미정)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미반영 — Cost Inputs 약가 셀이 아직 £18,400(30일분)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QALY 중증도 가중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 →</w:t>
            </w:r>
            <w:r>
              <w:t xml:space="preserve"> </w:t>
            </w:r>
            <w:r>
              <w:rPr>
                <w:bCs/>
                <w:b/>
              </w:rPr>
              <w:t xml:space="preserve">1.0</w:t>
            </w:r>
            <w:r>
              <w:t xml:space="preserve"> </w:t>
            </w:r>
            <w:r>
              <w:t xml:space="preserve">(국내 미적용)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미반영 — Settings QALY weight 아직 1.7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효용값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INVICTUS</w:t>
            </w:r>
            <w:r>
              <w:t xml:space="preserve"> </w:t>
            </w:r>
            <w:r>
              <w:rPr>
                <w:bCs/>
                <w:b/>
              </w:rPr>
              <w:t xml:space="preserve">EQ-5D-5L을 한국 가치평가체계로 재산출</w:t>
            </w:r>
            <w:r>
              <w:t xml:space="preserve">(MMRM) 예정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대기 — 회신 전까지 영국값 유지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비용(수가·자원)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국내 수가·청구자료로 업데이트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1차 반영(2026.9.22.) — 모니터링·고식적 처치·BSC 약제·AE·EOL 국내값 입력. 이용률(빈도)은 국내 자문 기반이며 청구자료 분석 후 갱신, AE 발생률·고식적 처치 시행비율은 영국값 유지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3" w:name="문서-정보"/>
    <w:p>
      <w:pPr>
        <w:pStyle w:val="Heading2"/>
      </w:pPr>
      <w:r>
        <w:t xml:space="preserve">문서 정보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평가 대상 약제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리프레티닙 (Ripretinib), 제품명: 퀸락®(Qinlock®), Deciphera Pharmaceuticals ✅ [TA1146 §2.1]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신청 회사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[국내 신청 회사명]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신청 적응증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[국내 식약처 허가사항 원문 전기. 참고 — 영국 허가사항: "이마티닙을 포함한 3가지 이상의 키나제 억제제로 치료받은 경험이 있는 진행성 GIST 성인 환자의 치료" ✅ [TA1146 §2.1]]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보고서 버전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v0.6 (쉘)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작성일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[YYYY-MM-DD]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작성자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[작성자/소속]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참조 해외 평가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NICE TA1146 (2026.4.28.,</w:t>
            </w:r>
            <w:r>
              <w:t xml:space="preserve"> </w:t>
            </w:r>
            <w:r>
              <w:rPr>
                <w:bCs/>
                <w:b/>
              </w:rPr>
              <w:t xml:space="preserve">권고</w:t>
            </w:r>
            <w:r>
              <w:t xml:space="preserve">) — TA881(2023.5.3., 비권고)을 대체 [TA1146 표지·§1.1]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국문-요약"/>
    <w:p>
      <w:pPr>
        <w:pStyle w:val="Heading2"/>
      </w:pPr>
      <w:r>
        <w:t xml:space="preserve">국문 요약</w:t>
      </w:r>
    </w:p>
    <w:p>
      <w:pPr>
        <w:pStyle w:val="FirstParagraph"/>
      </w:pPr>
      <w:r>
        <w:t xml:space="preserve">⬜ [분석 완료 후 작성]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4" w:name="X9682efc6f07c66e92cb4d3bcfe9b938f300a64a"/>
    <w:p>
      <w:pPr>
        <w:pStyle w:val="Heading1"/>
      </w:pPr>
      <w:r>
        <w:t xml:space="preserve">1. 서론</w:t>
      </w:r>
    </w:p>
    <w:bookmarkStart w:id="26" w:name="X0405262322ba692626fc0557cabe7659fa4746c"/>
    <w:p>
      <w:pPr>
        <w:pStyle w:val="Heading2"/>
      </w:pPr>
      <w:r>
        <w:t xml:space="preserve">1.1 분석 배경 및 목적</w:t>
      </w:r>
    </w:p>
    <w:p>
      <w:pPr>
        <w:pStyle w:val="FirstParagraph"/>
      </w:pPr>
      <w:r>
        <w:t xml:space="preserve">⬜ [리프레티닙의 국내 허가 및 급여 신청 배경 기술]</w:t>
      </w:r>
    </w:p>
    <w:p>
      <w:pPr>
        <w:pStyle w:val="BodyText"/>
      </w:pPr>
      <w:r>
        <w:t xml:space="preserve">본 보고서는 영국 NICE 기술평가 TA1146(TA881 대체본)에 제출·심의된 경제성평가 모델의 구조와 위원회 선호 가정을 준용하고, 비용·자원사용 등 주요 투입변수를 국내 자료로 대체(로컬리제이션)하여 우리나라 보건의료 환경에서 리프레티닙의 비용-효과성을 평가하는 것을 목적으로 한다.</w:t>
      </w:r>
    </w:p>
    <w:p>
      <w:pPr>
        <w:pStyle w:val="BodyText"/>
      </w:pPr>
      <w:r>
        <w:rPr>
          <w:bCs/>
          <w:b/>
        </w:rPr>
        <w:t xml:space="preserve">참조 평가 경과</w:t>
      </w:r>
      <w:r>
        <w:t xml:space="preserve">: ✅ TA881(2023.5.3.)에서는 경제성 모델이 진행 시 치료 변경에 관한 임상 진료를 반영하지 못한다는 이유로 비권고되었으나, 회사가 모형 구조를 변경(진행 후 투여 지속 반영)하여 재평가받은 TA1146(2026.4.28.)에서</w:t>
      </w:r>
      <w:r>
        <w:t xml:space="preserve"> </w:t>
      </w:r>
      <w:r>
        <w:rPr>
          <w:bCs/>
          <w:b/>
        </w:rPr>
        <w:t xml:space="preserve">"허가사항 범위 내에서, 상업적 계약에 따라 공급하는 조건으로 사용 가능(권고)"</w:t>
      </w:r>
      <w:r>
        <w:t xml:space="preserve"> </w:t>
      </w:r>
      <w:r>
        <w:t xml:space="preserve">결론이 내려짐 [TA881 §1.1; TA1146 §1.1, §3.6, §3.12]. 본 분석은</w:t>
      </w:r>
      <w:r>
        <w:t xml:space="preserve"> </w:t>
      </w:r>
      <w:r>
        <w:rPr>
          <w:bCs/>
          <w:b/>
        </w:rPr>
        <w:t xml:space="preserve">TA1146 모델을 기준</w:t>
      </w:r>
      <w:r>
        <w:t xml:space="preserve">으로 한다.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재평가(ID6496) 내부 경과</w:t>
      </w:r>
      <w:r>
        <w:t xml:space="preserve">: 1차 위원회 회의(ACM1) 후</w:t>
      </w:r>
      <w:r>
        <w:t xml:space="preserve"> </w:t>
      </w:r>
      <w:r>
        <w:rPr>
          <w:bCs/>
          <w:b/>
        </w:rPr>
        <w:t xml:space="preserve">2025.10. 초안 지침(draft guidance)은 비권고</w:t>
      </w:r>
      <w:r>
        <w:t xml:space="preserve">였음 — 당시 위원회/EAG 선호 분석의 ICER는 £44,964/QALY로 구(舊) 통상 임계값(£20,000–30,000)을 상회. 이에 회사가 2025.12. ① PAS 할인 인상(할인율 비공개), ② 2022 데이터컷 재분석, ③ TSE-IPCW 보정 방법 추가를 제출하였고, 최종 guidance에서 권고로 전환됨 [출처: EAG critique of DG response(2025.12.16.) §1; 회사 DG Addendum(2025.12.3.)]</w:t>
      </w:r>
    </w:p>
    <w:bookmarkEnd w:id="26"/>
    <w:bookmarkStart w:id="27" w:name="X4886125989b6bcccc12a086176258325bc7133b"/>
    <w:p>
      <w:pPr>
        <w:pStyle w:val="Heading2"/>
      </w:pPr>
      <w:r>
        <w:t xml:space="preserve">1.2 질환 개요: 위장관기질종양(GIST)</w:t>
      </w:r>
    </w:p>
    <w:p>
      <w:pPr>
        <w:numPr>
          <w:ilvl w:val="0"/>
          <w:numId w:val="1002"/>
        </w:numPr>
        <w:pStyle w:val="Compact"/>
      </w:pPr>
      <w:r>
        <w:t xml:space="preserve">✅ GIST는 기대여명과 삶의 질에 영향을 미치는 희귀암이며, 전이성·절제불가능 GIST는 티로신 키나제 억제제(TKI)로 치료함 [TA1146 §3.1]</w:t>
      </w:r>
    </w:p>
    <w:p>
      <w:pPr>
        <w:numPr>
          <w:ilvl w:val="0"/>
          <w:numId w:val="1002"/>
        </w:numPr>
        <w:pStyle w:val="Compact"/>
      </w:pPr>
      <w:r>
        <w:t xml:space="preserve">✅ TKI 치료 중 이차 돌연변이(예: exon 17, exon 18)가 발생하면 치료 저항성이 생김 [TA1146 §3.1]</w:t>
      </w:r>
    </w:p>
    <w:p>
      <w:pPr>
        <w:numPr>
          <w:ilvl w:val="0"/>
          <w:numId w:val="1002"/>
        </w:numPr>
        <w:pStyle w:val="Compact"/>
      </w:pPr>
      <w:r>
        <w:t xml:space="preserve">⬜ [국내 발생률/유병률 — 중앙암등록본부 국가암등록통계에서 확인]</w:t>
      </w:r>
    </w:p>
    <w:p>
      <w:pPr>
        <w:numPr>
          <w:ilvl w:val="0"/>
          <w:numId w:val="1002"/>
        </w:numPr>
        <w:pStyle w:val="Compact"/>
      </w:pPr>
      <w:r>
        <w:t xml:space="preserve">⬜ [4차 이상 세팅 국내 예후 자료]</w:t>
      </w:r>
    </w:p>
    <w:bookmarkEnd w:id="27"/>
    <w:bookmarkStart w:id="28" w:name="Xc802e61570e11303623fcf1db14c372674c3d1f"/>
    <w:p>
      <w:pPr>
        <w:pStyle w:val="Heading2"/>
      </w:pPr>
      <w:r>
        <w:t xml:space="preserve">1.3 치료 현황 및 미충족 의료수요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영국의 치료 경로</w:t>
      </w:r>
      <w:r>
        <w:t xml:space="preserve"> </w:t>
      </w:r>
      <w:r>
        <w:t xml:space="preserve">[TA1146 §3.1]:</w:t>
      </w:r>
    </w:p>
    <w:p>
      <w:pPr>
        <w:numPr>
          <w:ilvl w:val="0"/>
          <w:numId w:val="1003"/>
        </w:numPr>
        <w:pStyle w:val="Compact"/>
      </w:pPr>
      <w:r>
        <w:t xml:space="preserve">1차 이마티닙 → 2차 수니티닙 → 3차 레고라페닙(TA488) → 진행 또는 불내약 시</w:t>
      </w:r>
      <w:r>
        <w:t xml:space="preserve"> </w:t>
      </w:r>
      <w:r>
        <w:rPr>
          <w:bCs/>
          <w:b/>
        </w:rPr>
        <w:t xml:space="preserve">4차 치료 대안은 최선의 지지요법(BSC)뿐</w:t>
      </w:r>
    </w:p>
    <w:p>
      <w:pPr>
        <w:numPr>
          <w:ilvl w:val="0"/>
          <w:numId w:val="1003"/>
        </w:numPr>
        <w:pStyle w:val="Compact"/>
      </w:pPr>
      <w:r>
        <w:t xml:space="preserve">치료 대안이 제한적이므로 각 치료는 최대 임상적 이득을 얻을 때까지 사용됨</w:t>
      </w:r>
    </w:p>
    <w:p>
      <w:pPr>
        <w:numPr>
          <w:ilvl w:val="0"/>
          <w:numId w:val="1003"/>
        </w:numPr>
        <w:pStyle w:val="Compact"/>
      </w:pPr>
      <w:r>
        <w:t xml:space="preserve">위원회 결론: 이마티닙·수니티닙·레고라페닙 이후, 특히 exon 17/18 변이 진행성 GIST에서 효과적인 치료 옵션에 대한 미충족 수요 존재</w:t>
      </w:r>
    </w:p>
    <w:p>
      <w:pPr>
        <w:numPr>
          <w:ilvl w:val="0"/>
          <w:numId w:val="1003"/>
        </w:numPr>
        <w:pStyle w:val="Compact"/>
      </w:pPr>
      <w:r>
        <w:t xml:space="preserve">✅ 영국 규모: 연간 신규 GIST 약 900–1,000명, 이 중 약 173명이 4차 치료 대상으로 진행 [출처: ID6496 회사 제출자료 §1.4.1, §3.7]</w:t>
      </w:r>
    </w:p>
    <w:p>
      <w:pPr>
        <w:numPr>
          <w:ilvl w:val="0"/>
          <w:numId w:val="1003"/>
        </w:numPr>
        <w:pStyle w:val="Compact"/>
      </w:pPr>
      <w:r>
        <w:t xml:space="preserve">✅ 3차 이후 BSC만 받는 환자의 기대 생존은 임상의 추정 2–3개월(INVICTUS 비교차군 중앙 OS 1.8개월) [출처: ID6496 §1.4.1; EAG 보고서]</w:t>
      </w:r>
    </w:p>
    <w:p>
      <w:pPr>
        <w:pStyle w:val="FirstParagraph"/>
      </w:pPr>
      <w:r>
        <w:t xml:space="preserve">⬜ [국내 치료 경로 및 각 단계 급여 기준 — 심평원 급여기준 원문 확인. 영국 경로와의 일치 여부 및 국내 4차 세팅 실태 기술]</w:t>
      </w:r>
    </w:p>
    <w:bookmarkEnd w:id="28"/>
    <w:bookmarkStart w:id="29" w:name="X77d90f773514e2eafba336ab9a9beab86294fb8"/>
    <w:p>
      <w:pPr>
        <w:pStyle w:val="Heading2"/>
      </w:pPr>
      <w:r>
        <w:t xml:space="preserve">1.4 평가 대상 약제 개요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성분명/제품명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리프레티닙 / 퀸락® (Deciphera Pharmaceuticals) [TA1146 §2.1]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작용 기전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KIT 및 PDGFRA 두 수용체에 결합하여 종양세포 성장을 늦추는 TKI. 기존 TKI(ATP 결합 포켓 기전)와 다른 dual-switch 기전으로 이차 돌연변이를 더 효율적으로 표적함(임상 전문가 진술) [TA1146 §3.2, §3.11]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용법·용량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150 mg 1일 1회(50 mg 3정) — 영국 가격 산정 기준 용량.</w:t>
            </w:r>
            <w:r>
              <w:t xml:space="preserve"> </w:t>
            </w:r>
            <w:r>
              <w:rPr>
                <w:bCs/>
                <w:b/>
              </w:rPr>
              <w:t xml:space="preserve">1일 2회 증량은 허가사항 외</w:t>
            </w:r>
            <w:r>
              <w:t xml:space="preserve">로 NICE 평가 대상에서 제외됨 [TA1146 §2.3, §3.2] ⬜ [국내 허가사항 원문 확인]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국내 허가일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[식약처 확인]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영국 표시가격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30일분 £18,400 (VAT 제외, 할인 전) — 상업적 계약에 따른 할인폭은 비공개 [TA1146 §2.3, §2.4]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국내 가격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212,865원/정(50 mg)</w:t>
            </w:r>
            <w:r>
              <w:t xml:space="preserve"> </w:t>
            </w:r>
            <w:r>
              <w:t xml:space="preserve">(연구진 확정; PAS/위험분담 미정) — 1일 638,595원, 30일 19,157,850원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주요 임상시험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INVICTUS: 국제 다기관 무작위배정 이중눈가림 위약대조 3상 [TA1146 §3.3]</w:t>
            </w:r>
          </w:p>
        </w:tc>
      </w:tr>
    </w:tbl>
    <w:bookmarkEnd w:id="29"/>
    <w:bookmarkStart w:id="33" w:name="Xbdeb4798fa11b4daa0aa8c6e4a8beafa39cebb5"/>
    <w:p>
      <w:pPr>
        <w:pStyle w:val="Heading2"/>
      </w:pPr>
      <w:r>
        <w:t xml:space="preserve">1.5 참조 평가 개요: NICE TA1146</w:t>
      </w:r>
    </w:p>
    <w:bookmarkStart w:id="30" w:name="Xc3ee08838523dc647f1dc43861f3dcf13e515da"/>
    <w:p>
      <w:pPr>
        <w:pStyle w:val="Heading3"/>
      </w:pPr>
      <w:r>
        <w:t xml:space="preserve">1.5.1 권고 [TA1146 §1.1]</w:t>
      </w:r>
    </w:p>
    <w:p>
      <w:pPr>
        <w:pStyle w:val="FirstParagraph"/>
      </w:pPr>
      <w:r>
        <w:t xml:space="preserve">✅ "리프레티닙은 허가사항 범위 내에서, 이마티닙을 포함한 3가지 이상의 키나제 억제제 치료 후의 성인 진행성 GIST 치료 옵션으로 사용할 수 있다. 단, 회사가 상업적 계약에 따라 공급하는 경우에 한한다."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권고 사유 요약</w:t>
      </w:r>
      <w:r>
        <w:t xml:space="preserve"> </w:t>
      </w:r>
      <w:r>
        <w:t xml:space="preserve">[TA1146 §1.1 "Why the committee made this recommendation"]: 임상시험 근거상 리프레티닙+BSC는 위약+BSC 대비 무진행 기간과 생존 기간을 연장함. 경제성 모델에는 (i) 시험 내 허가 초과 용량(증량) 보정 방법, (ii) 특히 투여 중단 후 장기 생존 근거 부족의 불확실성이 있으나, 질환의 중증도를 고려하면 가장 타당한 비용-효과성 추정치가 NICE가 수용 가능하다고 보는 범위 내에 있음.</w:t>
      </w:r>
    </w:p>
    <w:bookmarkEnd w:id="30"/>
    <w:bookmarkStart w:id="31" w:name="X36067ebf30b937bf63e0e17069623363eddf2fa"/>
    <w:p>
      <w:pPr>
        <w:pStyle w:val="Heading3"/>
      </w:pPr>
      <w:r>
        <w:t xml:space="preserve">1.5.2 임상 근거: INVICTUS [TA1146 §3.3–3.4]</w:t>
      </w:r>
    </w:p>
    <w:p>
      <w:pPr>
        <w:numPr>
          <w:ilvl w:val="0"/>
          <w:numId w:val="1004"/>
        </w:numPr>
        <w:pStyle w:val="Compact"/>
      </w:pPr>
      <w:r>
        <w:t xml:space="preserve">✅ 설계: 리프레티닙 150 mg 1일 1회+BSC(n=85) vs 위약+BSC(n=44). 선정기준: 조직학적으로 확진된 GIST, 측정 가능 병변 1개 이상, ECOG 0–2, 이마티닙·수니티닙·레고라페닙 치료 후 진행 또는 불내약 [§3.3]</w:t>
      </w:r>
    </w:p>
    <w:p>
      <w:pPr>
        <w:numPr>
          <w:ilvl w:val="0"/>
          <w:numId w:val="1004"/>
        </w:numPr>
        <w:pStyle w:val="Compact"/>
      </w:pPr>
      <w:r>
        <w:t xml:space="preserve">✅ 진행 시: 리프레티닙군은 현 용량 유지 / 150 mg 1일 2회 증량 / 중단 중 선택 가능. 위약군은 리프레티닙 1일 1회로 교차 가능 [§3.3]</w:t>
      </w:r>
    </w:p>
    <w:p>
      <w:pPr>
        <w:numPr>
          <w:ilvl w:val="0"/>
          <w:numId w:val="1004"/>
        </w:numPr>
        <w:pStyle w:val="Compact"/>
      </w:pPr>
      <w:r>
        <w:t xml:space="preserve">✅ 결과(2019년 5월 데이터컷, ITT) [§3.4]: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결과지표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리프레티닙 (n=85)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위약 (n=44)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(95% CI)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중앙 PFS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6.3개월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1.0개월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 (0.09–0.25), p&lt;0.0001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중앙 OS (비보정)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15.1개월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6.6개월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 (0.21–0.62)</w:t>
            </w:r>
          </w:p>
        </w:tc>
      </w:tr>
    </w:tbl>
    <w:p>
      <w:pPr>
        <w:numPr>
          <w:ilvl w:val="0"/>
          <w:numId w:val="1005"/>
        </w:numPr>
        <w:pStyle w:val="Compact"/>
      </w:pPr>
      <w:r>
        <w:t xml:space="preserve">✅ 첫 진행 시점 기준: 리프레티닙군의 51%(43/85)가 1일 2회로 증량, 위약군의 66%(29/44)가 리프레티닙으로 교차 [§3.4]</w:t>
      </w:r>
    </w:p>
    <w:p>
      <w:pPr>
        <w:numPr>
          <w:ilvl w:val="0"/>
          <w:numId w:val="1005"/>
        </w:numPr>
        <w:pStyle w:val="Compact"/>
      </w:pPr>
      <w:r>
        <w:t xml:space="preserve">✅ 교차군(29명) 중앙 OS 11.6개월 vs 비교차군 1.8개월; 증량군(43명) 중앙 OS 18.4개월 vs 비증량군 14.2개월 (2020년 8월 컷, 비보정) [§3.4]</w:t>
      </w:r>
    </w:p>
    <w:p>
      <w:pPr>
        <w:numPr>
          <w:ilvl w:val="0"/>
          <w:numId w:val="1005"/>
        </w:numPr>
        <w:pStyle w:val="Compact"/>
      </w:pPr>
      <w:r>
        <w:t xml:space="preserve">✅ 데이터컷: 2019.5(일차) → 2020.3 → 2020.8 → 2021.1 →</w:t>
      </w:r>
      <w:r>
        <w:t xml:space="preserve"> </w:t>
      </w:r>
      <w:r>
        <w:rPr>
          <w:bCs/>
          <w:b/>
        </w:rPr>
        <w:t xml:space="preserve">2022.5(최종; OS·안전성만 사전지정, PFS·삶의질 미수집)</w:t>
      </w:r>
      <w:r>
        <w:t xml:space="preserve"> </w:t>
      </w:r>
      <w:r>
        <w:t xml:space="preserve">[§3.4, §3.7]. 2022컷 OS HR은 기업비밀로 비공개 [§3.4]</w:t>
      </w:r>
    </w:p>
    <w:p>
      <w:pPr>
        <w:numPr>
          <w:ilvl w:val="0"/>
          <w:numId w:val="1005"/>
        </w:numPr>
        <w:pStyle w:val="Compact"/>
      </w:pPr>
      <w:r>
        <w:t xml:space="preserve">✅ 위원회 판단: 소규모 시험과 다수의 교차·증량 때문에 OS 이득의 크기는 매우 불확실하나, 리프레티닙+BSC가 위약+BSC보다 PFS·OS가 우월함은 인정 [§3.4]</w:t>
      </w:r>
    </w:p>
    <w:bookmarkEnd w:id="31"/>
    <w:bookmarkStart w:id="32" w:name="X4d599ff88e31b27bbac1988ec8790e77411bf5a"/>
    <w:p>
      <w:pPr>
        <w:pStyle w:val="Heading3"/>
      </w:pPr>
      <w:r>
        <w:t xml:space="preserve">1.5.3 경제성 모델과 위원회 선호 가정 [TA1146 §3.6–3.16]</w:t>
      </w:r>
    </w:p>
    <w:p>
      <w:pPr>
        <w:numPr>
          <w:ilvl w:val="0"/>
          <w:numId w:val="1006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모형 구조</w:t>
      </w:r>
      <w:r>
        <w:t xml:space="preserve">: 분할생존(partitioned survival) 접근,</w:t>
      </w:r>
      <w:r>
        <w:t xml:space="preserve"> </w:t>
      </w:r>
      <w:r>
        <w:rPr>
          <w:bCs/>
          <w:b/>
        </w:rPr>
        <w:t xml:space="preserve">4개 건강상태</w:t>
      </w:r>
      <w:r>
        <w:t xml:space="preserve"> </w:t>
      </w:r>
      <w:r>
        <w:t xml:space="preserve">— ① 무진행, ② 진행(리프레티닙 투여 중), ③ 진행(투여 중단, 즉 BSC), ④ 사망. 진행 후 투여 지속 효과를 반영하기 위해 진행 상태를 투여 중/중단으로 분리(TA881 대비 구조 변경). 위원회는 의사결정에 적절한 모형으로 결론 [§3.6, §3.12]</w:t>
      </w:r>
    </w:p>
    <w:p>
      <w:pPr>
        <w:numPr>
          <w:ilvl w:val="0"/>
          <w:numId w:val="1006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자료컷 선택</w:t>
      </w:r>
      <w:r>
        <w:t xml:space="preserve">: 위원회는 장기 OS 불확실성 감소를 위해 2022년 5월 컷 사용이 더 적절하다고 결론(회사 기본분석은 2021년 1월 컷 선호) [§3.7]</w:t>
      </w:r>
    </w:p>
    <w:p>
      <w:pPr>
        <w:numPr>
          <w:ilvl w:val="0"/>
          <w:numId w:val="1006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증량 보정</w:t>
      </w:r>
      <w:r>
        <w:t xml:space="preserve">: 증량(1일 2회)의 OS 영향은 2단계(2-stage) 복잡 모형으로 보정 — 공변량: 진행까지 시간, 진행 시 ECOG, 진행 시 EQ-VAS, 기저 연령; 시간비(time ratio) 추정에 일반화감마 분포 사용. 위원회는 이를 가장 적절한 보정으로 결론 [§3.8]</w:t>
      </w:r>
    </w:p>
    <w:p>
      <w:pPr>
        <w:numPr>
          <w:ilvl w:val="0"/>
          <w:numId w:val="1006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재검열(recensoring)</w:t>
      </w:r>
      <w:r>
        <w:t xml:space="preserve">: TSD 24에 따라 재검열 유/무 병렬 제시. 회사: 재검열 없이 로그정규 외삽 선호. EAG: 재검열 + 로그로지스틱 외삽 선호(평활 경험적 위험과 정합, 외적 타당도 우수). IPCW 방식도 추가 제출됨. 위원회:</w:t>
      </w:r>
      <w:r>
        <w:t xml:space="preserve"> </w:t>
      </w:r>
      <w:r>
        <w:rPr>
          <w:bCs/>
          <w:b/>
        </w:rPr>
        <w:t xml:space="preserve">세 가지 2단계 보정(재검열 유/무/IPCW)을 모두 고려</w:t>
      </w:r>
      <w:r>
        <w:t xml:space="preserve">해야 한다고 결론 [§3.9]</w:t>
      </w:r>
    </w:p>
    <w:p>
      <w:pPr>
        <w:numPr>
          <w:ilvl w:val="0"/>
          <w:numId w:val="1006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10년 OS 타당성</w:t>
      </w:r>
      <w:r>
        <w:t xml:space="preserve">: 회사 자문단(전문가 7인, 공식 도출법) 추정 1~8%(합의치는 비공개), 위원회 임상 전문가 4~6%. 위원회는 자문단 합의 추정치를 가장 타당한 10년 OS로 선호했고, EAG 추정 범위가 이에 가장 근접해 타당하다고 결론 [§3.10, §3.11]</w:t>
      </w:r>
    </w:p>
    <w:p>
      <w:pPr>
        <w:numPr>
          <w:ilvl w:val="0"/>
          <w:numId w:val="1006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진행 후 치료</w:t>
      </w:r>
      <w:r>
        <w:t xml:space="preserve">: 진행 후 투여 중단 상태의 큰 생존 이득(잔여효과)의 임상적 근거는 불충분하다고 논의됨. 진행 후 수술·소작술·방사선치료가 가능하므로</w:t>
      </w:r>
      <w:r>
        <w:t xml:space="preserve"> </w:t>
      </w:r>
      <w:r>
        <w:rPr>
          <w:bCs/>
          <w:b/>
        </w:rPr>
        <w:t xml:space="preserve">양군 모두에 그 비용을 포함해야 한다</w:t>
      </w:r>
      <w:r>
        <w:t xml:space="preserve">고 위원회가 지적 [§3.11]</w:t>
      </w:r>
    </w:p>
    <w:p>
      <w:pPr>
        <w:numPr>
          <w:ilvl w:val="0"/>
          <w:numId w:val="1006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효용</w:t>
      </w:r>
      <w:r>
        <w:t xml:space="preserve">: 회사·EAG 기본분석 모두 INVICTUS 수집 효용값 사용. GRID(TA488) 효용값 대체 시 영향 미미. 위원회는 INVICTUS 효용값이 적절하다고 결론 [§3.12] (⬜ 효용 수치·측정도구 버전은 committee papers 확인)</w:t>
      </w:r>
    </w:p>
    <w:p>
      <w:pPr>
        <w:numPr>
          <w:ilvl w:val="0"/>
          <w:numId w:val="1006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중증도 가중</w:t>
      </w:r>
      <w:r>
        <w:t xml:space="preserve">: QALY 부족분(absolute/proportional shortfall) 산출 결과 회사·EAG 합의로</w:t>
      </w:r>
      <w:r>
        <w:t xml:space="preserve"> </w:t>
      </w:r>
      <w:r>
        <w:rPr>
          <w:bCs/>
          <w:b/>
        </w:rPr>
        <w:t xml:space="preserve">1.7배 중증도 가중</w:t>
      </w:r>
      <w:r>
        <w:t xml:space="preserve"> </w:t>
      </w:r>
      <w:r>
        <w:t xml:space="preserve">적용, 위원회 수용. INVICTUS 인구집단·BSC군 평균 QALY 기반 [§3.13]</w:t>
      </w:r>
    </w:p>
    <w:p>
      <w:pPr>
        <w:numPr>
          <w:ilvl w:val="0"/>
          <w:numId w:val="1006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수용 가능 ICER</w:t>
      </w:r>
      <w:r>
        <w:t xml:space="preserve">: 불확실성을 고려해 £25,000–35,000/QALY 범위의</w:t>
      </w:r>
      <w:r>
        <w:t xml:space="preserve"> </w:t>
      </w:r>
      <w:r>
        <w:rPr>
          <w:bCs/>
          <w:b/>
        </w:rPr>
        <w:t xml:space="preserve">중간대(middle of the range)</w:t>
      </w:r>
      <w:r>
        <w:t xml:space="preserve"> </w:t>
      </w:r>
      <w:r>
        <w:t xml:space="preserve">[§3.14]</w:t>
      </w:r>
    </w:p>
    <w:p>
      <w:pPr>
        <w:numPr>
          <w:ilvl w:val="0"/>
          <w:numId w:val="1006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ICER 결과(결정론적, 1.7 가중 적용)</w:t>
      </w:r>
      <w:r>
        <w:t xml:space="preserve"> </w:t>
      </w:r>
      <w:r>
        <w:t xml:space="preserve">[§3.15]: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분석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데이터컷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보정/외삽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회사 기본분석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2단계(일반화감마 시간비)·재검열 없음·로그정규 외삽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£24,937/QALY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재검열 + 로그정규 외삽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£31,085/QALY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재검열 없음 + 일반화감마 외삽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£29,130/QALY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IPCW + 일반화감마 외삽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£29,995/QALY</w:t>
            </w:r>
          </w:p>
        </w:tc>
      </w:tr>
    </w:tbl>
    <w:p>
      <w:pPr>
        <w:numPr>
          <w:ilvl w:val="0"/>
          <w:numId w:val="1007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위원회 선호 가정 종합</w:t>
      </w:r>
      <w:r>
        <w:t xml:space="preserve"> </w:t>
      </w:r>
      <w:r>
        <w:t xml:space="preserve">[§3.16]: 2022.5 컷 사용, 일반화감마 2단계 복잡모형 보정, 세 가지 보정방식 병렬 고려, EAG의 10년 OS 범위 타당, INVICTUS 효용값 사용. 세 보정방식 ICER 범위의</w:t>
      </w:r>
      <w:r>
        <w:t xml:space="preserve"> </w:t>
      </w:r>
      <w:r>
        <w:rPr>
          <w:bCs/>
          <w:b/>
        </w:rPr>
        <w:t xml:space="preserve">중간값 부근</w:t>
      </w:r>
      <w:r>
        <w:t xml:space="preserve">을 의사결정 기준으로 수용.</w:t>
      </w:r>
    </w:p>
    <w:p>
      <w:pPr>
        <w:numPr>
          <w:ilvl w:val="0"/>
          <w:numId w:val="1007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기타</w:t>
      </w:r>
      <w:r>
        <w:t xml:space="preserve">: 형평성 쟁점 및 미반영 편익 없음으로 결론 [§3.17, §3.18]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58" w:name="X447112c48f74011114c9abaee483967b2ceb948"/>
    <w:p>
      <w:pPr>
        <w:pStyle w:val="Heading1"/>
      </w:pPr>
      <w:r>
        <w:t xml:space="preserve">2. 분석 방법</w:t>
      </w:r>
    </w:p>
    <w:bookmarkStart w:id="35" w:name="X2e6fc03ed6c097d0e065af092ebe5945e3b8ae9"/>
    <w:p>
      <w:pPr>
        <w:pStyle w:val="Heading2"/>
      </w:pPr>
      <w:r>
        <w:t xml:space="preserve">2.1 분석 개요 (PICO-T)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대상 인구집단 (P)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이마티닙을 포함한 3가지 이상의 키나제 억제제 치료 후의 진행성 GIST 성인 [TA1146 §2.1] ⬜ [국내 허가사항과 일치 여부 확인]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중재 (I)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리프레티닙 150 mg 1일 1회 + BSC (1일 2회 증량은 허가 외로 평가 제외) [TA1146 §3.2, §3.3]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비교대안 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BSC [TA1146 §3.1 — 영국 기준] ⬜ [국내 비교대안 선정 근거는 2.3절]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결과지표 (O)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QALY, LY, 총비용, ICER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분석 기간 (T)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원모델 40년(lifetime), 28일 주기 [ID6496 §3.2 — 상세는 2.5절] ⬜ [국내 적용 기간 확정]</w:t>
            </w:r>
          </w:p>
        </w:tc>
      </w:tr>
    </w:tbl>
    <w:bookmarkEnd w:id="35"/>
    <w:bookmarkStart w:id="36" w:name="X4d565b79008a48cd1c42a164fff539627e38753"/>
    <w:p>
      <w:pPr>
        <w:pStyle w:val="Heading2"/>
      </w:pPr>
      <w:r>
        <w:t xml:space="preserve">2.2 대상 인구집단</w:t>
      </w:r>
    </w:p>
    <w:p>
      <w:pPr>
        <w:numPr>
          <w:ilvl w:val="0"/>
          <w:numId w:val="1008"/>
        </w:numPr>
        <w:pStyle w:val="Compact"/>
      </w:pPr>
      <w:r>
        <w:t xml:space="preserve">✅ INVICTUS 선정기준: 조직학적 확진 GIST, 측정 가능 병변 ≥1, ECOG 0–2, 이마티닙·수니티닙·레고라페닙 후 진행/불내약 [TA1146 §3.3]</w:t>
      </w:r>
    </w:p>
    <w:p>
      <w:pPr>
        <w:numPr>
          <w:ilvl w:val="0"/>
          <w:numId w:val="1008"/>
        </w:numPr>
        <w:pStyle w:val="Compact"/>
      </w:pPr>
      <w:r>
        <w:t xml:space="preserve">✅ 모형 기저 특성: 평균 연령 60.1세, 남성 56.6% — INVICTUS ITT 기준 [출처: ID6496 회사 제출자료 §3.2.1; 모델 Settings]</w:t>
      </w:r>
    </w:p>
    <w:p>
      <w:pPr>
        <w:numPr>
          <w:ilvl w:val="0"/>
          <w:numId w:val="1008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일반화 가능성 유의점</w:t>
      </w:r>
      <w:r>
        <w:t xml:space="preserve">: INVICTUS 종료(2022) 이후 4차 치료 환자의 생존 성적이 개선되었고, 실제 진료에서는 변이 검사 결과에 따라 레고라페닙을 건너뛰거나 진행 즉시 4차로 전환할 수 있어, 시험 인구가 실제 사용 인구보다 더 위중할 수 있음(위원회 논의) [TA1146 §3.13] — ⬜ [국내 인구집단에의 일반화 논의에 반영]</w:t>
      </w:r>
    </w:p>
    <w:p>
      <w:pPr>
        <w:numPr>
          <w:ilvl w:val="0"/>
          <w:numId w:val="1008"/>
        </w:numPr>
        <w:pStyle w:val="Compact"/>
      </w:pPr>
      <w:r>
        <w:t xml:space="preserve">⬜ [국내 대상 환자 규모 추정 — 청구자료/암등록 자료. 참고: 영국은 연간 약 173명으로 추산 ✅ [ID6496 §3.7]]</w:t>
      </w:r>
    </w:p>
    <w:bookmarkEnd w:id="36"/>
    <w:bookmarkStart w:id="37" w:name="Xd8f255297ba5e3a867a1500f7dd8f4a891a2bd1"/>
    <w:p>
      <w:pPr>
        <w:pStyle w:val="Heading2"/>
      </w:pPr>
      <w:r>
        <w:t xml:space="preserve">2.3 비교대안 선정</w:t>
      </w:r>
    </w:p>
    <w:p>
      <w:pPr>
        <w:numPr>
          <w:ilvl w:val="0"/>
          <w:numId w:val="1009"/>
        </w:numPr>
        <w:pStyle w:val="Compact"/>
      </w:pPr>
      <w:r>
        <w:t xml:space="preserve">✅ 영국: 3차(레고라페닙) 이후 유일한 대안은 BSC [TA1146 §3.1]</w:t>
      </w:r>
    </w:p>
    <w:p>
      <w:pPr>
        <w:numPr>
          <w:ilvl w:val="0"/>
          <w:numId w:val="1009"/>
        </w:numPr>
        <w:pStyle w:val="Compact"/>
      </w:pPr>
      <w:r>
        <w:t xml:space="preserve">⬜ [국내 4차 세팅 치료 실태 검토 후 BSC 선정 근거 확립. NICE 모형의 BSC 자원 구성은 committee papers에서 확인]</w:t>
      </w:r>
    </w:p>
    <w:bookmarkEnd w:id="37"/>
    <w:bookmarkStart w:id="38" w:name="X56e60e54c7c38c1b91a38b31daf2208a35750e2"/>
    <w:p>
      <w:pPr>
        <w:pStyle w:val="Heading2"/>
      </w:pPr>
      <w:r>
        <w:t xml:space="preserve">2.4 분석 관점</w:t>
      </w:r>
    </w:p>
    <w:p>
      <w:pPr>
        <w:numPr>
          <w:ilvl w:val="0"/>
          <w:numId w:val="1010"/>
        </w:numPr>
        <w:pStyle w:val="Compact"/>
      </w:pPr>
      <w:r>
        <w:t xml:space="preserve">✅ 원모델: NHS/PSS(보건의료·사회서비스) 관점, 간접비용 미포함 [출처: ID6496 §3.2.2, Table 55]</w:t>
      </w:r>
    </w:p>
    <w:p>
      <w:pPr>
        <w:numPr>
          <w:ilvl w:val="0"/>
          <w:numId w:val="1010"/>
        </w:numPr>
        <w:pStyle w:val="Compact"/>
      </w:pPr>
      <w:r>
        <w:t xml:space="preserve">본 분석: 보험자 관점(모델 작업본 Payer 설정) ⬜ [국내 지침상 관점 표기(제한적 사회적 관점 등) 확정]</w:t>
      </w:r>
    </w:p>
    <w:bookmarkEnd w:id="38"/>
    <w:bookmarkStart w:id="39" w:name="X30eb4dc99d3ef93d287c2ac23116e51a07b06d3"/>
    <w:p>
      <w:pPr>
        <w:pStyle w:val="Heading2"/>
      </w:pPr>
      <w:r>
        <w:t xml:space="preserve">2.5 분석 기간 및 주기</w:t>
      </w:r>
    </w:p>
    <w:p>
      <w:pPr>
        <w:numPr>
          <w:ilvl w:val="0"/>
          <w:numId w:val="101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분석 기간: 40년(lifetime)</w:t>
      </w:r>
      <w:r>
        <w:t xml:space="preserve"> </w:t>
      </w:r>
      <w:r>
        <w:t xml:space="preserve">— 회사 제출자료 및 모델 Settings에서 확인(기저 60.1세 → 100.1세). 시나리오 분석에서 변동 [출처: ID6496 회사 제출자료 §3.2; 모델 Settings]</w:t>
      </w:r>
    </w:p>
    <w:p>
      <w:pPr>
        <w:numPr>
          <w:ilvl w:val="0"/>
          <w:numId w:val="101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모형 주기: 28일, 연 13주기, 총 520주기</w:t>
      </w:r>
      <w:r>
        <w:t xml:space="preserve">, 코호트 1,000명, half-cycle correction 적용 [출처: 모델 Settings·Cost Inputs; EAG 보고서 §4.2.2]</w:t>
      </w:r>
    </w:p>
    <w:bookmarkEnd w:id="39"/>
    <w:bookmarkStart w:id="40" w:name="X02a131fd7bd73044e26d1d0ab36b43d36bbf262"/>
    <w:p>
      <w:pPr>
        <w:pStyle w:val="Heading2"/>
      </w:pPr>
      <w:r>
        <w:t xml:space="preserve">2.6 할인율</w:t>
      </w:r>
    </w:p>
    <w:p>
      <w:pPr>
        <w:pStyle w:val="FirstParagraph"/>
      </w:pPr>
      <w:r>
        <w:rPr>
          <w:bCs/>
          <w:b/>
        </w:rPr>
        <w:t xml:space="preserve">확정: 비용·효과 모두 연 4.5%</w:t>
      </w:r>
      <w:r>
        <w:t xml:space="preserve">(국내 지침) — 모델 작업본에 반영 완료. ✅ NICE 원모델은 비용·효과 연 3.5% [출처: ID6496 회사 제출자료(NICE reference case)]. 민감도분석 범위 ⬜ [기재. 참고 — 원평가는 0%/6% 시나리오에서 £24,851/£31,149].</w:t>
      </w:r>
    </w:p>
    <w:bookmarkEnd w:id="40"/>
    <w:bookmarkStart w:id="41" w:name="X34e1c8085ac9ec1cf5befe587b73743a3ad2761"/>
    <w:p>
      <w:pPr>
        <w:pStyle w:val="Heading2"/>
      </w:pPr>
      <w:r>
        <w:t xml:space="preserve">2.7 분석 기법 및 모형 구조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분석 기법</w:t>
      </w:r>
      <w:r>
        <w:t xml:space="preserve">: 비용-효용분석(CUA)</w:t>
      </w:r>
    </w:p>
    <w:p>
      <w:pPr>
        <w:numPr>
          <w:ilvl w:val="0"/>
          <w:numId w:val="101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모형 구조 (TA1146 준용)</w:t>
      </w:r>
      <w:r>
        <w:t xml:space="preserve">: 분할생존 접근, 4개 건강상태 [TA1146 §3.6]</w:t>
      </w:r>
    </w:p>
    <w:p>
      <w:pPr>
        <w:numPr>
          <w:ilvl w:val="1"/>
          <w:numId w:val="1013"/>
        </w:numPr>
        <w:pStyle w:val="Compact"/>
      </w:pPr>
      <w:r>
        <w:t xml:space="preserve">무진행(progression-free)</w:t>
      </w:r>
    </w:p>
    <w:p>
      <w:pPr>
        <w:numPr>
          <w:ilvl w:val="1"/>
          <w:numId w:val="1013"/>
        </w:numPr>
        <w:pStyle w:val="Compact"/>
      </w:pPr>
      <w:r>
        <w:t xml:space="preserve">진행 — 리프레티닙 투여 중(progressed disease, on treatment)</w:t>
      </w:r>
    </w:p>
    <w:p>
      <w:pPr>
        <w:numPr>
          <w:ilvl w:val="1"/>
          <w:numId w:val="1013"/>
        </w:numPr>
        <w:pStyle w:val="Compact"/>
      </w:pPr>
      <w:r>
        <w:t xml:space="preserve">진행 — 투여 중단, BSC(progressed disease, off treatment)</w:t>
      </w:r>
    </w:p>
    <w:p>
      <w:pPr>
        <w:numPr>
          <w:ilvl w:val="1"/>
          <w:numId w:val="1013"/>
        </w:numPr>
        <w:pStyle w:val="Compact"/>
      </w:pPr>
      <w:r>
        <w:t xml:space="preserve">사망</w:t>
      </w:r>
    </w:p>
    <w:p>
      <w:pPr>
        <w:pStyle w:val="SourceCode"/>
      </w:pPr>
      <w:r>
        <w:rPr>
          <w:rStyle w:val="VerbatimChar"/>
        </w:rPr>
        <w:t xml:space="preserve">[무진행] ──진행──&gt; [진행·투여 중] ──중단──&gt; [진행·투여 중단(BSC)] ──&gt; [사망]</w:t>
      </w:r>
      <w:r>
        <w:br/>
      </w:r>
      <w:r>
        <w:rPr>
          <w:rStyle w:val="VerbatimChar"/>
        </w:rPr>
        <w:t xml:space="preserve">    └───────────────────────사망───────────────────────────────────────↑</w:t>
      </w:r>
    </w:p>
    <w:p>
      <w:pPr>
        <w:numPr>
          <w:ilvl w:val="0"/>
          <w:numId w:val="1014"/>
        </w:numPr>
        <w:pStyle w:val="Compact"/>
      </w:pPr>
      <w:r>
        <w:t xml:space="preserve">✅ 이 구조는 진행 후 투여 지속(treatment beyond progression) 효과를 반영하기 위한 것으로, TA881 비권고 사유를 해소한 핵심 변경임 [TA1146 §3.6, §3.12]. ✅ 영국 임상의들은 실제 진료에서 진행 후에도 약 80%가 리프레티닙을 지속할 것으로 봄 [출처: ID6496 회사 제출자료 §3.2.2]</w:t>
      </w:r>
    </w:p>
    <w:p>
      <w:pPr>
        <w:numPr>
          <w:ilvl w:val="0"/>
          <w:numId w:val="101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구현 도구</w:t>
      </w:r>
      <w:r>
        <w:t xml:space="preserve">: 회사 제출 Excel 모델(4-상태 PSM,</w:t>
      </w:r>
      <w:r>
        <w:t xml:space="preserve"> </w:t>
      </w:r>
      <w:r>
        <w:rPr>
          <w:rStyle w:val="VerbatimChar"/>
        </w:rPr>
        <w:t xml:space="preserve">ID3805 Ripretinib CEM_4 State_NICE 2022 DCO IPCW</w:t>
      </w:r>
      <w:r>
        <w:t xml:space="preserve">)의 한국 로컬리제이션 작업본을 사용. 상태 점유는 OS·PFS·TTD 곡선의 AUC 배분 방식 [출처: ID6496 회사 제출자료 §3.2.2; 모델 작업본]</w:t>
      </w:r>
    </w:p>
    <w:p>
      <w:pPr>
        <w:numPr>
          <w:ilvl w:val="0"/>
          <w:numId w:val="1014"/>
        </w:numPr>
        <w:pStyle w:val="Compact"/>
      </w:pPr>
      <w:r>
        <w:t xml:space="preserve">본 분석은 원모델과</w:t>
      </w:r>
      <w:r>
        <w:t xml:space="preserve"> </w:t>
      </w:r>
      <w:r>
        <w:rPr>
          <w:bCs/>
          <w:b/>
        </w:rPr>
        <w:t xml:space="preserve">동일 구조</w:t>
      </w:r>
      <w:r>
        <w:t xml:space="preserve">를 유지하며 투입값만 국내화함 (구조 변경 없음)</w:t>
      </w:r>
    </w:p>
    <w:bookmarkEnd w:id="41"/>
    <w:bookmarkStart w:id="48" w:name="Xd421d58a1f0a2d428cd5e528a6155c59993dd97"/>
    <w:p>
      <w:pPr>
        <w:pStyle w:val="Heading2"/>
      </w:pPr>
      <w:r>
        <w:t xml:space="preserve">2.8 임상 효과 자료원</w:t>
      </w:r>
    </w:p>
    <w:bookmarkStart w:id="42" w:name="X9cf7d29c723aa459ee4fb2b0440484b853a0637"/>
    <w:p>
      <w:pPr>
        <w:pStyle w:val="Heading3"/>
      </w:pPr>
      <w:r>
        <w:t xml:space="preserve">2.8.1 INVICTUS 결과 (모형 투입 기준)</w:t>
      </w:r>
    </w:p>
    <w:p>
      <w:pPr>
        <w:numPr>
          <w:ilvl w:val="0"/>
          <w:numId w:val="1015"/>
        </w:numPr>
        <w:pStyle w:val="Compact"/>
      </w:pPr>
      <w:r>
        <w:t xml:space="preserve">✅ 회사 원제출 모델(2025.5.)은 TTD·PFS·OS 모두</w:t>
      </w:r>
      <w:r>
        <w:t xml:space="preserve"> </w:t>
      </w:r>
      <w:r>
        <w:rPr>
          <w:bCs/>
          <w:b/>
        </w:rPr>
        <w:t xml:space="preserve">2021.1.15. 데이터컷</w:t>
      </w:r>
      <w:r>
        <w:t xml:space="preserve"> </w:t>
      </w:r>
      <w:r>
        <w:t xml:space="preserve">기반 [출처: EAG 보고서 §4.2.4]. 2022.5. 최종컷은 사전지정상 OS·안전성만 수집(PFS·삶의질은 2021컷이 최종) [TA1146 §3.7; ID6496 명확화 B1]</w:t>
      </w:r>
    </w:p>
    <w:p>
      <w:pPr>
        <w:numPr>
          <w:ilvl w:val="0"/>
          <w:numId w:val="1015"/>
        </w:numPr>
        <w:pStyle w:val="Compact"/>
      </w:pPr>
      <w:r>
        <w:t xml:space="preserve">✅ 위원회는 장기 OS 불확실성 감소를 위해</w:t>
      </w:r>
      <w:r>
        <w:t xml:space="preserve"> </w:t>
      </w:r>
      <w:r>
        <w:rPr>
          <w:bCs/>
          <w:b/>
        </w:rPr>
        <w:t xml:space="preserve">2022컷 OS 사용</w:t>
      </w:r>
      <w:r>
        <w:t xml:space="preserve">이 더 적절하다고 결론 [TA1146 §3.7, §3.16]. 입수한 모델 작업본(파일명 "NICE</w:t>
      </w:r>
      <w:r>
        <w:t xml:space="preserve"> </w:t>
      </w:r>
      <w:r>
        <w:rPr>
          <w:bCs/>
          <w:b/>
        </w:rPr>
        <w:t xml:space="preserve">2022 DCO</w:t>
      </w:r>
      <w:r>
        <w:t xml:space="preserve"> </w:t>
      </w:r>
      <w:r>
        <w:t xml:space="preserve">IPCW")은 이를 반영한 최종 버전</w:t>
      </w:r>
    </w:p>
    <w:p>
      <w:pPr>
        <w:numPr>
          <w:ilvl w:val="0"/>
          <w:numId w:val="1015"/>
        </w:numPr>
        <w:pStyle w:val="Compact"/>
      </w:pPr>
      <w:r>
        <w:t xml:space="preserve">✅ 비보정 OS 경과: 2019.5컷 중앙 15.1 vs 6.6개월(HR 0.36); 2021.1컷 18.2 vs 6.3개월(HR 0.41, 95% CI 0.26–0.65) [출처: EAG 보고서 Table 10]</w:t>
      </w:r>
    </w:p>
    <w:p>
      <w:pPr>
        <w:numPr>
          <w:ilvl w:val="0"/>
          <w:numId w:val="1015"/>
        </w:numPr>
        <w:pStyle w:val="Compact"/>
      </w:pPr>
      <w:r>
        <w:t xml:space="preserve">관찰 결과 수치는 1.5.2절 표 참조 (✅ TA1146 §3.4)</w:t>
      </w:r>
    </w:p>
    <w:bookmarkEnd w:id="42"/>
    <w:bookmarkStart w:id="43" w:name="X76e0b09c116467f8b7bdd4e0733879ee05c20b8"/>
    <w:p>
      <w:pPr>
        <w:pStyle w:val="Heading3"/>
      </w:pPr>
      <w:r>
        <w:t xml:space="preserve">2.8.2 교차 및 증량 보정</w:t>
      </w:r>
    </w:p>
    <w:p>
      <w:pPr>
        <w:pStyle w:val="FirstParagraph"/>
      </w:pPr>
      <w:r>
        <w:rPr>
          <w:bCs/>
          <w:b/>
        </w:rPr>
        <w:t xml:space="preserve">(1) 위약→리프레티닙 교차(66%) 보정 — BSC군 OS</w:t>
      </w:r>
    </w:p>
    <w:p>
      <w:pPr>
        <w:numPr>
          <w:ilvl w:val="0"/>
          <w:numId w:val="1016"/>
        </w:numPr>
        <w:pStyle w:val="Compact"/>
      </w:pPr>
      <w:r>
        <w:t xml:space="preserve">✅ 회사 기본분석:</w:t>
      </w:r>
      <w:r>
        <w:t xml:space="preserve"> </w:t>
      </w:r>
      <w:r>
        <w:rPr>
          <w:bCs/>
          <w:b/>
        </w:rPr>
        <w:t xml:space="preserve">2단계 단순(two-stage simple) 모형 + 재검열(recensoring)</w:t>
      </w:r>
      <w:r>
        <w:t xml:space="preserve"> </w:t>
      </w:r>
      <w:r>
        <w:t xml:space="preserve">— 2차 기저시점은 진행 시점, 공변량은 진행까지 시간(TTP). 산출된 시간비로 교차 환자의 진행 후 생존시간을 축소하여 counterfactual 자료 생성 [출처: ID6496 회사 제출자료 §2.6/§3.3]</w:t>
      </w:r>
    </w:p>
    <w:p>
      <w:pPr>
        <w:numPr>
          <w:ilvl w:val="0"/>
          <w:numId w:val="1016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RPSFTM은 기각</w:t>
      </w:r>
      <w:r>
        <w:t xml:space="preserve">: log-rank·Cox·Weibull 모두 시간비 &gt;15로 비강건, '공통 치료효과' 가정 성립 곤란(교차가 진행 후에만 허용) — 시나리오로만 탐색 [출처: ID6496 §2.6]. IPCW는 표본 규모상 기본분석에 부적합 판단</w:t>
      </w:r>
    </w:p>
    <w:p>
      <w:pPr>
        <w:numPr>
          <w:ilvl w:val="0"/>
          <w:numId w:val="1016"/>
        </w:numPr>
        <w:pStyle w:val="Compact"/>
      </w:pPr>
      <w:r>
        <w:t xml:space="preserve">✅ 보정 결과: BSC군 보정 중앙 OS</w:t>
      </w:r>
      <w:r>
        <w:t xml:space="preserve"> </w:t>
      </w:r>
      <w:r>
        <w:rPr>
          <w:bCs/>
          <w:b/>
        </w:rPr>
        <w:t xml:space="preserve">11.2주</w:t>
      </w:r>
      <w:r>
        <w:t xml:space="preserve">(비보정 27.43주) — 영국 임상 자문단이 임상적으로 타당하다고 만장일치 확인(적극 치료 소진 후 BSC 생존 통상 2–3개월) [출처: ID6496 §2.6, Table 32]</w:t>
      </w:r>
    </w:p>
    <w:p>
      <w:pPr>
        <w:pStyle w:val="FirstParagraph"/>
      </w:pPr>
      <w:r>
        <w:rPr>
          <w:bCs/>
          <w:b/>
        </w:rPr>
        <w:t xml:space="preserve">(2) 증량(1일 1회→2회, 51%) 보정 — 리프레티닙군 OS</w:t>
      </w:r>
    </w:p>
    <w:p>
      <w:pPr>
        <w:numPr>
          <w:ilvl w:val="0"/>
          <w:numId w:val="1017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2단계(TSE) 복잡모형</w:t>
      </w:r>
      <w:r>
        <w:t xml:space="preserve">: 공변량 — 진행까지 시간, 진행 시 ECOG, 진행 시 EQ-VAS, 기저 연령;</w:t>
      </w:r>
      <w:r>
        <w:t xml:space="preserve"> </w:t>
      </w:r>
      <w:r>
        <w:rPr>
          <w:bCs/>
          <w:b/>
        </w:rPr>
        <w:t xml:space="preserve">일반화감마 분포로 시간비 추정</w:t>
      </w:r>
      <w:r>
        <w:t xml:space="preserve"> </w:t>
      </w:r>
      <w:r>
        <w:t xml:space="preserve">— 위원회가 가장 적절한 보정으로 결론 [TA1146 §3.8; ID6496 §2.6, Table 36]</w:t>
      </w:r>
    </w:p>
    <w:p>
      <w:pPr>
        <w:numPr>
          <w:ilvl w:val="0"/>
          <w:numId w:val="1017"/>
        </w:numPr>
        <w:pStyle w:val="Compact"/>
      </w:pPr>
      <w:r>
        <w:t xml:space="preserve">✅ 재검열 쟁점: 회사 — 재검열 없음(추적 정보 손실 회피) + 로그정규 외삽 선호 / EAG·ACM1 위원회 — 재검열 적용 + 로그로지스틱 외삽 선호(경험적 위험과 정합) [TA1146 §3.9; EAG critique of DG response §1]</w:t>
      </w:r>
    </w:p>
    <w:p>
      <w:pPr>
        <w:numPr>
          <w:ilvl w:val="0"/>
          <w:numId w:val="1017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TSE-IPCW(제3의 방식)</w:t>
      </w:r>
      <w:r>
        <w:t xml:space="preserve">: DG 협의 단계에서 회사가 추가 제출 — 재검열 대신 안정화 IPCW 가중치(시간가변 Cox, 공변량: 연령/ECOG/진행/EQ-VAS/병변 직경 합)를 결합하여 정보적 중도절단을 보정하면서 장기 정보를 보존하는 절충 방법 [출처: 회사 DG Addendum(2025.12.) §2]</w:t>
      </w:r>
    </w:p>
    <w:p>
      <w:pPr>
        <w:numPr>
          <w:ilvl w:val="0"/>
          <w:numId w:val="1017"/>
        </w:numPr>
        <w:pStyle w:val="Compact"/>
      </w:pPr>
      <w:r>
        <w:t xml:space="preserve">✅ 위원회 최종:</w:t>
      </w:r>
      <w:r>
        <w:t xml:space="preserve"> </w:t>
      </w:r>
      <w:r>
        <w:rPr>
          <w:bCs/>
          <w:b/>
        </w:rPr>
        <w:t xml:space="preserve">재검열 유/무/IPCW 세 방식 모두 병렬 고려</w:t>
      </w:r>
      <w:r>
        <w:t xml:space="preserve">(TSD 24 준거), 세 방식 ICER 범위의 중간값 부근을 기준으로 수용 [TA1146 §3.9, §3.15–3.16]</w:t>
      </w:r>
    </w:p>
    <w:p>
      <w:pPr>
        <w:numPr>
          <w:ilvl w:val="0"/>
          <w:numId w:val="1017"/>
        </w:numPr>
        <w:pStyle w:val="Compact"/>
      </w:pPr>
      <w:r>
        <w:t xml:space="preserve">⬜ [본 분석 채택 방침: 위원회 선호(세 방식 병렬 제시, 중간값 기준)를 따를지, 작업본 기본 설정 단일 기준으로 할지 팀 확정]</w:t>
      </w:r>
    </w:p>
    <w:bookmarkEnd w:id="43"/>
    <w:bookmarkStart w:id="44" w:name="X9f5fd4c61a7f839f443fc79dc0f10fb292966de"/>
    <w:p>
      <w:pPr>
        <w:pStyle w:val="Heading3"/>
      </w:pPr>
      <w:r>
        <w:t xml:space="preserve">2.8.3 생존곡선 외삽</w:t>
      </w:r>
    </w:p>
    <w:p>
      <w:pPr>
        <w:numPr>
          <w:ilvl w:val="0"/>
          <w:numId w:val="1018"/>
        </w:numPr>
        <w:pStyle w:val="Compact"/>
      </w:pPr>
      <w:r>
        <w:t xml:space="preserve">✅ 보정 후 OS(counterfactual) 외삽 [TA1146 §3.9]:</w:t>
      </w:r>
    </w:p>
    <w:p>
      <w:pPr>
        <w:numPr>
          <w:ilvl w:val="1"/>
          <w:numId w:val="1019"/>
        </w:numPr>
        <w:pStyle w:val="Compact"/>
      </w:pPr>
      <w:r>
        <w:t xml:space="preserve">회사: 재검열 없음 +</w:t>
      </w:r>
      <w:r>
        <w:t xml:space="preserve"> </w:t>
      </w:r>
      <w:r>
        <w:rPr>
          <w:bCs/>
          <w:b/>
        </w:rPr>
        <w:t xml:space="preserve">로그정규</w:t>
      </w:r>
    </w:p>
    <w:p>
      <w:pPr>
        <w:numPr>
          <w:ilvl w:val="1"/>
          <w:numId w:val="1019"/>
        </w:numPr>
        <w:pStyle w:val="Compact"/>
      </w:pPr>
      <w:r>
        <w:t xml:space="preserve">EAG: 재검열 +</w:t>
      </w:r>
      <w:r>
        <w:t xml:space="preserve"> </w:t>
      </w:r>
      <w:r>
        <w:rPr>
          <w:bCs/>
          <w:b/>
        </w:rPr>
        <w:t xml:space="preserve">로그로지스틱</w:t>
      </w:r>
      <w:r>
        <w:t xml:space="preserve">(평활 경험적 위험과 정합), 재검열 없음 시</w:t>
      </w:r>
      <w:r>
        <w:t xml:space="preserve"> </w:t>
      </w:r>
      <w:r>
        <w:rPr>
          <w:bCs/>
          <w:b/>
        </w:rPr>
        <w:t xml:space="preserve">일반화감마</w:t>
      </w:r>
      <w:r>
        <w:t xml:space="preserve">, IPCW 시</w:t>
      </w:r>
      <w:r>
        <w:t xml:space="preserve"> </w:t>
      </w:r>
      <w:r>
        <w:rPr>
          <w:bCs/>
          <w:b/>
        </w:rPr>
        <w:t xml:space="preserve">일반화감마</w:t>
      </w:r>
    </w:p>
    <w:p>
      <w:pPr>
        <w:numPr>
          <w:ilvl w:val="1"/>
          <w:numId w:val="1019"/>
        </w:numPr>
        <w:pStyle w:val="Compact"/>
      </w:pPr>
      <w:r>
        <w:t xml:space="preserve">✅ 재검열 없이 적합된 외삽 모형은 어느 것도 2단계 보정 자료의 첫 위험 증가 시점을 만족스럽게 적합하지 못함(EAG) [§3.9]</w:t>
      </w:r>
    </w:p>
    <w:p>
      <w:pPr>
        <w:numPr>
          <w:ilvl w:val="0"/>
          <w:numId w:val="1018"/>
        </w:numPr>
        <w:pStyle w:val="Compact"/>
      </w:pPr>
      <w:r>
        <w:t xml:space="preserve">✅ 장기(10년) OS 타당성 준거: 회사 자문단 1~8%(합의치 비공개), 임상 전문가 4~6% [§3.10]. ✅ 참고 — EAG 최종 선호 분석(2022컷)의 10년 OS: 재검열+로그정규 2.96%, 재검열 없음+일반화감마 3.69% [출처: EAG critique of DG response(2025.12.16.)]</w:t>
      </w:r>
    </w:p>
    <w:p>
      <w:pPr>
        <w:numPr>
          <w:ilvl w:val="0"/>
          <w:numId w:val="1018"/>
        </w:numPr>
        <w:pStyle w:val="Compact"/>
      </w:pPr>
      <w:r>
        <w:t xml:space="preserve">⬜ [국내 분석 방침: 원모델 채택 분포 유지 + 국내 일반 사망률 하한 적용 여부 기재]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곡선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회사 원제출(2025.5.) 기본분석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회사 개정(DG) 기본분석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EAG·위원회(ACM1) 선호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모델 작업본 현재 설정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 분석 채택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 리프레티닙 (증량 보정 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로그로지스틱 [ID6496 Table 55]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재검열 없음 +</w:t>
            </w:r>
            <w:r>
              <w:t xml:space="preserve"> </w:t>
            </w:r>
            <w:r>
              <w:rPr>
                <w:bCs/>
                <w:b/>
              </w:rPr>
              <w:t xml:space="preserve">로그정규</w:t>
            </w:r>
            <w:r>
              <w:t xml:space="preserve"> </w:t>
            </w:r>
            <w:r>
              <w:t xml:space="preserve">[회사 DG Addendum Table 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재검열 +</w:t>
            </w:r>
            <w:r>
              <w:t xml:space="preserve"> </w:t>
            </w:r>
            <w:r>
              <w:rPr>
                <w:bCs/>
                <w:b/>
              </w:rPr>
              <w:t xml:space="preserve">로그로지스틱</w:t>
            </w:r>
            <w:r>
              <w:t xml:space="preserve"> </w:t>
            </w:r>
            <w:r>
              <w:t xml:space="preserve">[EAG critique §1]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로그정규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팀 확정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 BSC (교차 보정 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로그로지스틱(2단계 단순+재검열) [ID6496 Table 55]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일반화감마</w:t>
            </w:r>
            <w:r>
              <w:t xml:space="preserve"> </w:t>
            </w:r>
            <w:r>
              <w:t xml:space="preserve">[회사 DG Addendum Table 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일반화감마 [상동]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일반화감마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로그정규(양군) [ID6496 Table 55]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로그정규(양군)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원모델 유지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TTD(투여 지속)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지수 — AIC 변별력 낮아(549.5–554.2) 영국 자문단이 경험적 위험 형태 기준으로 선택; 3년 투여 지속 6.7%, 5년 1.1% [ID6496 §2.6]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원모델 유지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교차 보정 방법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2단계 단순 + 재검열 [ID6496 §2.6]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Two-stage simple, 재검열 적용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원모델 유지</w:t>
            </w:r>
          </w:p>
        </w:tc>
      </w:tr>
    </w:tbl>
    <w:p>
      <w:pPr>
        <w:numPr>
          <w:ilvl w:val="0"/>
          <w:numId w:val="1020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[해소] 작업본 vs 작업 계획서('업무분장') OS 분포 불일치</w:t>
      </w:r>
      <w:r>
        <w:t xml:space="preserve">: 작업본의 "리프레티닙 로그정규 + BSC 일반화감마"는</w:t>
      </w:r>
      <w:r>
        <w:t xml:space="preserve"> </w:t>
      </w:r>
      <w:r>
        <w:rPr>
          <w:bCs/>
          <w:b/>
        </w:rPr>
        <w:t xml:space="preserve">회사 개정 기본분석</w:t>
      </w:r>
      <w:r>
        <w:t xml:space="preserve">(재검열 없음)과 일치하고, 업무분장에 기재된 "로그로지스틱"은</w:t>
      </w:r>
      <w:r>
        <w:t xml:space="preserve"> </w:t>
      </w:r>
      <w:r>
        <w:rPr>
          <w:bCs/>
          <w:b/>
        </w:rPr>
        <w:t xml:space="preserve">EAG·위원회 선호안</w:t>
      </w:r>
      <w:r>
        <w:t xml:space="preserve">(재검열 적용)과 일치함. 즉 오류가 아니라 서로 다른 공식 기준 분석을 가리키는 것 [출처: 회사 DG Addendum(2025.12.); EAG critique of DG response(2025.12.16.)]. ⬜ [본 분석의 기준 분석(회사안 vs EAG안 vs 3종 병렬)을 팀에서 확정할 것]</w:t>
      </w:r>
    </w:p>
    <w:p>
      <w:pPr>
        <w:pStyle w:val="FirstParagraph"/>
      </w:pPr>
      <w:r>
        <w:t xml:space="preserve">✅ 참고 — 원평가 OS 분포별 시나리오 ICER(회사 모델): 지수 £37,434, 와이블 £37,602, 곰페르츠 £26,247, 로그정규 £29,538, 일반화감마 £28,974 [출처: ID6496 회사 제출자료 시나리오 분석 표]</w:t>
      </w:r>
    </w:p>
    <w:bookmarkEnd w:id="44"/>
    <w:bookmarkStart w:id="45" w:name="Xc0004a400c4db41fc6483c0997a5fc446d49e7e"/>
    <w:p>
      <w:pPr>
        <w:pStyle w:val="Heading3"/>
      </w:pPr>
      <w:r>
        <w:t xml:space="preserve">2.8.4 용량 및 투여 지속</w:t>
      </w:r>
    </w:p>
    <w:p>
      <w:pPr>
        <w:numPr>
          <w:ilvl w:val="0"/>
          <w:numId w:val="1021"/>
        </w:numPr>
        <w:pStyle w:val="Compact"/>
      </w:pPr>
      <w:r>
        <w:t xml:space="preserve">✅ 평가 대상 용량은 150 mg 1일 1회로 한정(증량은 허가 외) [TA1146 §3.2]</w:t>
      </w:r>
    </w:p>
    <w:p>
      <w:pPr>
        <w:numPr>
          <w:ilvl w:val="0"/>
          <w:numId w:val="1021"/>
        </w:numPr>
        <w:pStyle w:val="Compact"/>
      </w:pPr>
      <w:r>
        <w:t xml:space="preserve">✅ 모형은 진행 후 투여 지속을 구조적으로 반영(진행·투여 중 상태) — 상태 점유 기간은 TTD(지수)와 PFS 곡선의 차이로 결정 [TA1146 §3.6; ID6496 §3.2.2]</w:t>
      </w:r>
    </w:p>
    <w:p>
      <w:pPr>
        <w:numPr>
          <w:ilvl w:val="0"/>
          <w:numId w:val="1021"/>
        </w:numPr>
        <w:pStyle w:val="Compact"/>
      </w:pPr>
      <w:r>
        <w:t xml:space="preserve">✅ 약제비에 RDI 96.5%(INVICTUS) 적용, 순응도 1.0 가정 [출처: 모델 Cost Inputs; ID6496 §3.5]</w:t>
      </w:r>
    </w:p>
    <w:p>
      <w:pPr>
        <w:numPr>
          <w:ilvl w:val="0"/>
          <w:numId w:val="1021"/>
        </w:numPr>
        <w:pStyle w:val="Compact"/>
      </w:pPr>
      <w:r>
        <w:t xml:space="preserve">✅ 참고: INVICTUS 전체에서 리프레티닙 노출 시간의 75.9%가 1일 1회(QD), 24.1%가 증량(BID) 용량이었음(증량은 진행 후에만 허용) [출처: ID6496 §2.6]</w:t>
      </w:r>
    </w:p>
    <w:bookmarkEnd w:id="45"/>
    <w:bookmarkStart w:id="46" w:name="Xb6c62428b05646510957dcb7fbb050020cd3e6a"/>
    <w:p>
      <w:pPr>
        <w:pStyle w:val="Heading3"/>
      </w:pPr>
      <w:r>
        <w:t xml:space="preserve">2.8.5 진행 후 후속 처치</w:t>
      </w:r>
    </w:p>
    <w:p>
      <w:pPr>
        <w:numPr>
          <w:ilvl w:val="0"/>
          <w:numId w:val="1022"/>
        </w:numPr>
        <w:pStyle w:val="Compact"/>
      </w:pPr>
      <w:r>
        <w:t xml:space="preserve">✅ 위원회: 진행 후 수술·소작술·방사선치료 등 후속 처치 비용을</w:t>
      </w:r>
      <w:r>
        <w:t xml:space="preserve"> </w:t>
      </w:r>
      <w:r>
        <w:rPr>
          <w:bCs/>
          <w:b/>
        </w:rPr>
        <w:t xml:space="preserve">양군 모두</w:t>
      </w:r>
      <w:r>
        <w:t xml:space="preserve">에 포함해야 함 [TA1146 §3.11]</w:t>
      </w:r>
    </w:p>
    <w:p>
      <w:pPr>
        <w:numPr>
          <w:ilvl w:val="0"/>
          <w:numId w:val="1022"/>
        </w:numPr>
        <w:pStyle w:val="Compact"/>
      </w:pPr>
      <w:r>
        <w:t xml:space="preserve">✅ 원모델 반영(일회성 비용, 양군 동일 비율 적용) [출처: ID6496 §3.5.2, Table 46]:</w:t>
      </w:r>
    </w:p>
    <w:p>
      <w:pPr>
        <w:numPr>
          <w:ilvl w:val="1"/>
          <w:numId w:val="1023"/>
        </w:numPr>
        <w:pStyle w:val="Compact"/>
      </w:pPr>
      <w:r>
        <w:t xml:space="preserve">고식적 절제술(palliative resection): 대상의</w:t>
      </w:r>
      <w:r>
        <w:t xml:space="preserve"> </w:t>
      </w:r>
      <w:r>
        <w:rPr>
          <w:bCs/>
          <w:b/>
        </w:rPr>
        <w:t xml:space="preserve">10%</w:t>
      </w:r>
      <w:r>
        <w:t xml:space="preserve">, 건당</w:t>
      </w:r>
      <w:r>
        <w:t xml:space="preserve"> </w:t>
      </w:r>
      <w:r>
        <w:rPr>
          <w:bCs/>
          <w:b/>
        </w:rPr>
        <w:t xml:space="preserve">£6,090.28</w:t>
      </w:r>
      <w:r>
        <w:t xml:space="preserve"> </w:t>
      </w:r>
      <w:r>
        <w:t xml:space="preserve">(NHS reference costs 2023/24; TA488 준거)</w:t>
      </w:r>
    </w:p>
    <w:p>
      <w:pPr>
        <w:numPr>
          <w:ilvl w:val="1"/>
          <w:numId w:val="1023"/>
        </w:numPr>
        <w:pStyle w:val="Compact"/>
      </w:pPr>
      <w:r>
        <w:t xml:space="preserve">고식적 방사선치료: 대상의</w:t>
      </w:r>
      <w:r>
        <w:t xml:space="preserve"> </w:t>
      </w:r>
      <w:r>
        <w:rPr>
          <w:bCs/>
          <w:b/>
        </w:rPr>
        <w:t xml:space="preserve">20%</w:t>
      </w:r>
      <w:r>
        <w:t xml:space="preserve">, 건당</w:t>
      </w:r>
      <w:r>
        <w:t xml:space="preserve"> </w:t>
      </w:r>
      <w:r>
        <w:rPr>
          <w:bCs/>
          <w:b/>
        </w:rPr>
        <w:t xml:space="preserve">£366.00</w:t>
      </w:r>
      <w:r>
        <w:t xml:space="preserve"> </w:t>
      </w:r>
      <w:r>
        <w:t xml:space="preserve">(상동)</w:t>
      </w:r>
    </w:p>
    <w:p>
      <w:pPr>
        <w:numPr>
          <w:ilvl w:val="0"/>
          <w:numId w:val="102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국내값 반영(2026.9.22.)</w:t>
      </w:r>
      <w:r>
        <w:t xml:space="preserve"> </w:t>
      </w:r>
      <w:r>
        <w:t xml:space="preserve">[출처: 연구진 국내 비용 검토]:</w:t>
      </w:r>
    </w:p>
    <w:p>
      <w:pPr>
        <w:numPr>
          <w:ilvl w:val="1"/>
          <w:numId w:val="1024"/>
        </w:numPr>
        <w:pStyle w:val="Compact"/>
      </w:pPr>
      <w:r>
        <w:t xml:space="preserve">고식적 절제술:</w:t>
      </w:r>
      <w:r>
        <w:t xml:space="preserve"> </w:t>
      </w:r>
      <w:r>
        <w:rPr>
          <w:bCs/>
          <w:b/>
        </w:rPr>
        <w:t xml:space="preserve">1,650,833원/건</w:t>
      </w:r>
      <w:r>
        <w:t xml:space="preserve"> </w:t>
      </w:r>
      <w:r>
        <w:t xml:space="preserve">— 위전절제·위아전절제·소장절제 등 후보 16개 수가의 단순평균(KSU 자문 선정)</w:t>
      </w:r>
    </w:p>
    <w:p>
      <w:pPr>
        <w:numPr>
          <w:ilvl w:val="1"/>
          <w:numId w:val="1024"/>
        </w:numPr>
        <w:pStyle w:val="Compact"/>
      </w:pPr>
      <w:r>
        <w:t xml:space="preserve">고식적 방사선치료:</w:t>
      </w:r>
      <w:r>
        <w:t xml:space="preserve"> </w:t>
      </w:r>
      <w:r>
        <w:rPr>
          <w:bCs/>
          <w:b/>
        </w:rPr>
        <w:t xml:space="preserve">289,839원/fraction</w:t>
      </w:r>
      <w:r>
        <w:t xml:space="preserve"> </w:t>
      </w:r>
      <w:r>
        <w:t xml:space="preserve">— 2D·3D-CRT·IMRT 3개 기법 평균</w:t>
      </w:r>
    </w:p>
    <w:p>
      <w:pPr>
        <w:numPr>
          <w:ilvl w:val="1"/>
          <w:numId w:val="1024"/>
        </w:numPr>
        <w:pStyle w:val="Compact"/>
      </w:pPr>
      <w:r>
        <w:t xml:space="preserve">시행 비율은 국내값 부재로</w:t>
      </w:r>
      <w:r>
        <w:t xml:space="preserve"> </w:t>
      </w:r>
      <w:r>
        <w:rPr>
          <w:bCs/>
          <w:b/>
        </w:rPr>
        <w:t xml:space="preserve">원모델 10%/20% 유지</w:t>
      </w:r>
      <w:r>
        <w:t xml:space="preserve"> </w:t>
      </w:r>
      <w:r>
        <w:t xml:space="preserve">— ⬜ [청구자료 분석 후 시행률·기법 분포 갱신]</w:t>
      </w:r>
    </w:p>
    <w:bookmarkEnd w:id="46"/>
    <w:bookmarkStart w:id="47" w:name="X24f06be99ab4f06d317b646ca63b4107929d0d0"/>
    <w:p>
      <w:pPr>
        <w:pStyle w:val="Heading3"/>
      </w:pPr>
      <w:r>
        <w:t xml:space="preserve">2.8.6 이상반응</w:t>
      </w:r>
    </w:p>
    <w:p>
      <w:pPr>
        <w:numPr>
          <w:ilvl w:val="0"/>
          <w:numId w:val="1025"/>
        </w:numPr>
        <w:pStyle w:val="Compact"/>
      </w:pPr>
      <w:r>
        <w:t xml:space="preserve">✅ 환자 전문가 진술: 리프레티닙의 이상반응은 다른 TKI 대비 관리 가능하며, 레고라페닙 대비 삶의 질이 낫다는 보고 [TA1146 §3.2 — 정성적 진술]</w:t>
      </w:r>
    </w:p>
    <w:p>
      <w:pPr>
        <w:numPr>
          <w:ilvl w:val="0"/>
          <w:numId w:val="1025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원모델 반영 이상반응(3–4등급): 빈혈, 복통, 고혈압 3종</w:t>
      </w:r>
      <w:r>
        <w:t xml:space="preserve"> </w:t>
      </w:r>
      <w:r>
        <w:t xml:space="preserve">[출처: ID6496 회사 제출자료 Table 41–43]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이상반응 (3–4등급)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비효용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리프레티닙 발생확률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BSC 발생확률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빈혈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ID6496 Table 41–42 (비효용: Hoyle 2013 등 문헌)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복통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상동 (Doyle 2008)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고혈압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상동 (Doyle 2008)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합계(1주기 1회 반영)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총 비효용 0.0188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총 비효용 0.0151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ID6496 Table 41–42</w:t>
            </w:r>
          </w:p>
        </w:tc>
      </w:tr>
    </w:tbl>
    <w:p>
      <w:pPr>
        <w:numPr>
          <w:ilvl w:val="0"/>
          <w:numId w:val="1026"/>
        </w:numPr>
        <w:pStyle w:val="Compact"/>
      </w:pPr>
      <w:r>
        <w:t xml:space="preserve">⬜ [국내 적용: 발생률은 청구자료 확정 대상(확정 전 INVICTUS값 유지), 처치 비용은 국내 수가로 산출(2.10.4)]</w:t>
      </w:r>
    </w:p>
    <w:bookmarkEnd w:id="47"/>
    <w:bookmarkEnd w:id="48"/>
    <w:bookmarkStart w:id="49" w:name="Xdb0345bf13aba8d284bae32f35433136090d7b6"/>
    <w:p>
      <w:pPr>
        <w:pStyle w:val="Heading2"/>
      </w:pPr>
      <w:r>
        <w:t xml:space="preserve">2.9 효용(Utility)</w:t>
      </w:r>
    </w:p>
    <w:p>
      <w:pPr>
        <w:numPr>
          <w:ilvl w:val="0"/>
          <w:numId w:val="1027"/>
        </w:numPr>
        <w:pStyle w:val="Compact"/>
      </w:pPr>
      <w:r>
        <w:t xml:space="preserve">✅ 원모델: 회사·EAG 기본분석 모두</w:t>
      </w:r>
      <w:r>
        <w:t xml:space="preserve"> </w:t>
      </w:r>
      <w:r>
        <w:rPr>
          <w:bCs/>
          <w:b/>
        </w:rPr>
        <w:t xml:space="preserve">INVICTUS 수집 효용값</w:t>
      </w:r>
      <w:r>
        <w:t xml:space="preserve"> </w:t>
      </w:r>
      <w:r>
        <w:t xml:space="preserve">사용, 위원회 수용. GRID(TA488) 값 대체 시 영향 미미 [TA1146 §3.12]</w:t>
      </w:r>
    </w:p>
    <w:p>
      <w:pPr>
        <w:numPr>
          <w:ilvl w:val="0"/>
          <w:numId w:val="1027"/>
        </w:numPr>
        <w:pStyle w:val="Compact"/>
      </w:pPr>
      <w:r>
        <w:t xml:space="preserve">✅ 원모델 산출 방법: INVICTUS에서 EQ-5D-5L을 직접 수집(사전지정 이차 결과변수; C1D1, C1D15, 이후 각 주기 D1, 치료종료 시) → 영국 기준에 따라</w:t>
      </w:r>
      <w:r>
        <w:t xml:space="preserve"> </w:t>
      </w:r>
      <w:r>
        <w:rPr>
          <w:bCs/>
          <w:b/>
        </w:rPr>
        <w:t xml:space="preserve">EQ-5D-3L로 매핑</w:t>
      </w:r>
      <w:r>
        <w:t xml:space="preserve">(Hernandez-Alava &amp; Pudney 2022) → 치료군·투여상태·PF/PD 및 상호작용을 고정효과로 한</w:t>
      </w:r>
      <w:r>
        <w:t xml:space="preserve"> </w:t>
      </w:r>
      <w:r>
        <w:rPr>
          <w:bCs/>
          <w:b/>
        </w:rPr>
        <w:t xml:space="preserve">MMRM</w:t>
      </w:r>
      <w:r>
        <w:t xml:space="preserve">으로 상태별 최소제곱평균 산출, 연령 보정 승수 적용 [출처: ID6496 회사 제출자료 §3.4]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본 분석 방침(확정)</w:t>
      </w:r>
      <w:r>
        <w:t xml:space="preserve">: 동일한 INVICTUS EQ-5D-5L 원자료를</w:t>
      </w:r>
      <w:r>
        <w:t xml:space="preserve"> </w:t>
      </w:r>
      <w:r>
        <w:rPr>
          <w:bCs/>
          <w:b/>
        </w:rPr>
        <w:t xml:space="preserve">한국인 가치평가체계(EQ-5D-5L 한국 tariff)</w:t>
      </w:r>
      <w:r>
        <w:t xml:space="preserve"> </w:t>
      </w:r>
      <w:r>
        <w:t xml:space="preserve">로 재산출(MMRM 동일 사양)하여 대체 예정 — 개발사 회신 대기, 회신 전까지 영국값 유지</w:t>
      </w:r>
    </w:p>
    <w:p>
      <w:pPr>
        <w:numPr>
          <w:ilvl w:val="0"/>
          <w:numId w:val="1027"/>
        </w:numPr>
        <w:pStyle w:val="Compact"/>
      </w:pPr>
      <w:r>
        <w:t xml:space="preserve">✅ 원모델 기본분석 효용값 [출처: ID6496 회사 제출자료 Table 43]: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건강상태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NICE 모형 값 (95% CI)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 분석 적용 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자료원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무진행(PF)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0.722 (0.684–0.759)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[한국 5L tariff 재산출값]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INVICTUS / 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진행·투여 중(PDOn)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0.699 (0.656–0.741)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INVICTUS / 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진행·투여 중단(PDOff)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0.624 (0.540–0.708)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INVICTUS / 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진행(BSC군)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0.624 (PDOff와 동일 가정)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INVICTUS / 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이상반응 비효용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2.8.6절 표 참조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[문헌값 유지 또는 국내 문헌]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문헌</w:t>
            </w:r>
          </w:p>
        </w:tc>
      </w:tr>
    </w:tbl>
    <w:p>
      <w:pPr>
        <w:numPr>
          <w:ilvl w:val="0"/>
          <w:numId w:val="1028"/>
        </w:numPr>
        <w:pStyle w:val="Compact"/>
      </w:pPr>
      <w:r>
        <w:t xml:space="preserve">✅ 참고: 원평가에서 PDOff 효용은 ICER 최대 민감 변수(구간 £26,333~£31,865) [출처: ID6496 회사 제출자료 §3.7 요약]</w:t>
      </w:r>
    </w:p>
    <w:bookmarkEnd w:id="49"/>
    <w:bookmarkStart w:id="55" w:name="X6a518cb8d23264936ad710b878ab244d7c7d131"/>
    <w:p>
      <w:pPr>
        <w:pStyle w:val="Heading2"/>
      </w:pPr>
      <w:r>
        <w:t xml:space="preserve">2.10 자원 사용 및 비용</w:t>
      </w:r>
    </w:p>
    <w:p>
      <w:pPr>
        <w:pStyle w:val="FirstParagraph"/>
      </w:pPr>
      <w:r>
        <w:t xml:space="preserve">모든 비용은 ⬜ [YYYY]년 기준 원화.</w:t>
      </w:r>
      <w:r>
        <w:t xml:space="preserve"> </w:t>
      </w:r>
      <w:r>
        <w:rPr>
          <w:bCs/>
          <w:b/>
        </w:rPr>
        <w:t xml:space="preserve">비용 항목 체계는 committee papers의 원모델 구성을 확인하여 동일 체계로 국내 단가를 대입할 것.</w:t>
      </w:r>
    </w:p>
    <w:bookmarkStart w:id="50" w:name="Xb006d6c16ba37591e97e34ca86245f07911a441"/>
    <w:p>
      <w:pPr>
        <w:pStyle w:val="Heading3"/>
      </w:pPr>
      <w:r>
        <w:t xml:space="preserve">2.10.1 약제 비용</w:t>
      </w:r>
    </w:p>
    <w:p>
      <w:pPr>
        <w:pStyle w:val="FirstParagraph"/>
      </w:pPr>
      <w:r>
        <w:rPr>
          <w:bCs/>
          <w:b/>
        </w:rPr>
        <w:t xml:space="preserve">확정: 리프레티닙 212,865원/정(50 mg)</w:t>
      </w:r>
      <w:r>
        <w:t xml:space="preserve">. PAS/위험분담 할인은 미정(당분간 0 가정).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약가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212,865원/정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연구진 확정(회사 제시)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1일 약제비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638,595원 (150 mg = 3정)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용법·용량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모형 주기(28일)당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17,880,660원 × RDI 96.5% ≈ 17,254,837원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RDI는 원모델값 유지 ✅ [모델 Cost Inputs, INVICTUS 기반]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30일 환산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19,157,850원 (참고: 영국 표시가 £18,400 ✅ [TA1146 §2.3])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순응도(compliance)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 (원모델 가정 유지)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모델 Cost Inputs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낭비(wastage)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0.25팩 — 원모델 기본값 유지(TA881 당시 ERG가 다뤘던 쟁점으로, 현 모델 기본 반영) [모델 Cost Inputs; ERG critique(2023.1.)] ⬜ [국내 조제 단위 검토 후 유지 여부 확정]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모델 Cost Inputs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위험분담제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[유형·상환구조 미정]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50"/>
    <w:bookmarkStart w:id="51" w:name="Xfd82eb1ecdb8bef8027ef9c1e1588d522d085f1"/>
    <w:p>
      <w:pPr>
        <w:pStyle w:val="Heading3"/>
      </w:pPr>
      <w:r>
        <w:t xml:space="preserve">2.10.2 BSC·투여·모니터링 비용</w:t>
      </w:r>
    </w:p>
    <w:p>
      <w:pPr>
        <w:numPr>
          <w:ilvl w:val="0"/>
          <w:numId w:val="1029"/>
        </w:numPr>
        <w:pStyle w:val="Compact"/>
      </w:pPr>
      <w:r>
        <w:t xml:space="preserve">✅ 원모델: 경구제로 투여(admin) 비용 0. BSC는 TA488의 임상의 조사 기반 통증관리 약제 구성(양군 적용), 단가는 BNF 2025년 1월 [출처: ID6496 회사 제출자료 §3.5.1, Table 44–45]</w:t>
      </w:r>
    </w:p>
    <w:p>
      <w:pPr>
        <w:numPr>
          <w:ilvl w:val="0"/>
          <w:numId w:val="1029"/>
        </w:numPr>
        <w:pStyle w:val="Compact"/>
      </w:pPr>
      <w:r>
        <w:t xml:space="preserve">✅ BSC 통증관리 약제비(주기당): 무진행</w:t>
      </w:r>
      <w:r>
        <w:t xml:space="preserve"> </w:t>
      </w:r>
      <w:r>
        <w:rPr>
          <w:bCs/>
          <w:b/>
        </w:rPr>
        <w:t xml:space="preserve">£20.26</w:t>
      </w:r>
      <w:r>
        <w:t xml:space="preserve">, 진행</w:t>
      </w:r>
      <w:r>
        <w:t xml:space="preserve"> </w:t>
      </w:r>
      <w:r>
        <w:rPr>
          <w:bCs/>
          <w:b/>
        </w:rPr>
        <w:t xml:space="preserve">£30.24</w:t>
      </w:r>
      <w:r>
        <w:t xml:space="preserve"> </w:t>
      </w:r>
      <w:r>
        <w:t xml:space="preserve">(양군 동일) [출처: ID6496 Table 44–45, Table 55] — 명확화 단계에서 eMIT 단가 기반 £14.05/£20.39로 갱신 제출됨 [출처: 명확화 질의응답(2025.6.30./7.7.)]</w:t>
      </w:r>
    </w:p>
    <w:p>
      <w:pPr>
        <w:numPr>
          <w:ilvl w:val="0"/>
          <w:numId w:val="1029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국내 BSC 약제비(2026.9.22. 반영)</w:t>
      </w:r>
      <w:r>
        <w:t xml:space="preserve">: 무진행</w:t>
      </w:r>
      <w:r>
        <w:t xml:space="preserve"> </w:t>
      </w:r>
      <w:r>
        <w:rPr>
          <w:bCs/>
          <w:b/>
        </w:rPr>
        <w:t xml:space="preserve">51,005원/주기</w:t>
      </w:r>
      <w:r>
        <w:t xml:space="preserve">, 진행</w:t>
      </w:r>
      <w:r>
        <w:t xml:space="preserve"> </w:t>
      </w:r>
      <w:r>
        <w:rPr>
          <w:bCs/>
          <w:b/>
        </w:rPr>
        <w:t xml:space="preserve">63,872원/주기</w:t>
      </w:r>
      <w:r>
        <w:t xml:space="preserve"> </w:t>
      </w:r>
      <w:r>
        <w:t xml:space="preserve">— 원모델 약제 구성을 국내 대응 성분(타진 서방정, 아이알코돈, 트라마돌, 아세트아미노펜, 모르핀황산염, 덱사메타손)으로 대체, 2025년 의약품 주성분별 가중평균가격 및 국내 허가 용법 기준 재산출; 상태별 사용 비율(R/S)은 원모델값 유지 [출처: 연구진 국내 비용 검토]</w:t>
      </w:r>
    </w:p>
    <w:p>
      <w:pPr>
        <w:numPr>
          <w:ilvl w:val="0"/>
          <w:numId w:val="1029"/>
        </w:numPr>
        <w:pStyle w:val="Compact"/>
      </w:pPr>
      <w:r>
        <w:t xml:space="preserve">✅ 정기 모니터링(주기별 CT, 혈액검사, 외래 등) 및 일회성 검사 자원은 TA730/TA488 기반 — 2013년 영국 임상의 15인 조사, 2016년 재검증 [출처: ID6496 §3.5.2, Table 46–47]</w:t>
      </w:r>
    </w:p>
    <w:p>
      <w:pPr>
        <w:numPr>
          <w:ilvl w:val="0"/>
          <w:numId w:val="1029"/>
        </w:numPr>
        <w:pStyle w:val="Compact"/>
      </w:pPr>
      <w:r>
        <w:t xml:space="preserve">✅ 단가·이용률 대조표 (국내값 2026.9.22. 모델 반영) [출처: ID6496 Table 46–47; 연구진 국내 비용 검토 — Open HIRA 수가]: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자원 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영국 단가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국내 단가(수가)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국내 이용률(자문 기반)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 촬영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£123.34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265,840원 (흉부+복부 조영, HA464/HA465)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0.437회/주기 (2개월 1회 중 CT 95%)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MRI 촬영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£171.08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354,990원 (복부/골반 조영, HI227+HJ227 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0.023회/주기 (MRI 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전혈구검사(CBC)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£3.10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5,350원 (CBC 5종)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0.920회/주기 (월 1회)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간기능검사(LFT)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£1.53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8,340원 (5항목)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0.920회/주기 (월 1회)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외래 진료(재진)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£193.39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16,620원 (AA257 상급종합병원 100% 가정)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0.920회/주기 (월 1회)</w:t>
            </w:r>
          </w:p>
        </w:tc>
      </w:tr>
    </w:tbl>
    <w:p>
      <w:pPr>
        <w:numPr>
          <w:ilvl w:val="0"/>
          <w:numId w:val="1030"/>
        </w:numPr>
        <w:pStyle w:val="Compact"/>
      </w:pPr>
      <w:r>
        <w:t xml:space="preserve">국내 이용률은</w:t>
      </w:r>
      <w:r>
        <w:t xml:space="preserve"> </w:t>
      </w:r>
      <w:r>
        <w:rPr>
          <w:bCs/>
          <w:b/>
        </w:rPr>
        <w:t xml:space="preserve">모든 상태(PF/PDOn/PDOff)·양군 동일</w:t>
      </w:r>
      <w:r>
        <w:t xml:space="preserve"> </w:t>
      </w:r>
      <w:r>
        <w:t xml:space="preserve">적용(국내 자문 기반 기본분석 가정). 원모델의 치료 전 일회성 검사(pre-treatment) 비율(리프레티닙군 CT 85%·MRI 12%·CBC 92%·LFT 92%; BSC군 24%/1%/56%/49%)은 유지하고 단가만 국내값으로 교체 → 1인당 일회성 검사비 리프레티닙군 281,158원, BSC군 74,434원</w:t>
      </w:r>
    </w:p>
    <w:p>
      <w:pPr>
        <w:numPr>
          <w:ilvl w:val="0"/>
          <w:numId w:val="1030"/>
        </w:numPr>
        <w:pStyle w:val="Compact"/>
      </w:pPr>
      <w:r>
        <w:t xml:space="preserve">⬜ [청구자료 분석 후 이용률(빈도)·의료기관 종별 분포 갱신 예정 (현재는 자문 기반 가정)]</w:t>
      </w:r>
    </w:p>
    <w:bookmarkEnd w:id="51"/>
    <w:bookmarkStart w:id="52" w:name="Xe8b03b2e95eb64e27a8f2881a97538629d5e69b"/>
    <w:p>
      <w:pPr>
        <w:pStyle w:val="Heading3"/>
      </w:pPr>
      <w:r>
        <w:t xml:space="preserve">2.10.3 진행 후 상태 비용 (투여 중/중단 구분)</w:t>
      </w:r>
    </w:p>
    <w:p>
      <w:pPr>
        <w:numPr>
          <w:ilvl w:val="0"/>
          <w:numId w:val="1031"/>
        </w:numPr>
        <w:pStyle w:val="Compact"/>
      </w:pPr>
      <w:r>
        <w:t xml:space="preserve">✅ 원모델: 상태별(PF/PDOn/PDOff) 자원 이용 빈도 차등 + 완화적 수술·방사선 등 일회성 자원 포함 [출처: ID6496 §3.5.2, Table 46]</w:t>
      </w:r>
    </w:p>
    <w:p>
      <w:pPr>
        <w:numPr>
          <w:ilvl w:val="0"/>
          <w:numId w:val="1031"/>
        </w:numPr>
        <w:pStyle w:val="Compact"/>
      </w:pPr>
      <w:r>
        <w:t xml:space="preserve">⬜ [국내 수가·진료 패턴으로 대체 — 2.10.2와 동일 원칙]</w:t>
      </w:r>
    </w:p>
    <w:bookmarkEnd w:id="52"/>
    <w:bookmarkStart w:id="53" w:name="Xde55ce1703a7a3e68f0aed1df25a6f35644a81b"/>
    <w:p>
      <w:pPr>
        <w:pStyle w:val="Heading3"/>
      </w:pPr>
      <w:r>
        <w:t xml:space="preserve">2.10.4 이상반응 관리 비용</w:t>
      </w:r>
    </w:p>
    <w:p>
      <w:pPr>
        <w:numPr>
          <w:ilvl w:val="0"/>
          <w:numId w:val="1032"/>
        </w:numPr>
        <w:pStyle w:val="Compact"/>
      </w:pPr>
      <w:r>
        <w:t xml:space="preserve">✅ 원모델: 3–4등급 AE의 건당 처치 비용 — NHS total HRG 가중평균, 1주기(0주기) 1회 반영. 이중눈가림기 3종 + 공개표지기 5종(OpenLabelAECosts 옵션 ON이 기본) [출처: ID6496 §3.5.3, Table 48; 모델 Cost Inputs]</w:t>
      </w:r>
    </w:p>
    <w:p>
      <w:pPr>
        <w:numPr>
          <w:ilvl w:val="0"/>
          <w:numId w:val="103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국내 건당 비용(2026.9.22. 반영)</w:t>
      </w:r>
      <w:r>
        <w:t xml:space="preserve">: Open HIRA 상병별 요양급여비용총액 ÷ 전체 환자수(2025년) [출처: 연구진 국내 비용 검토]: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이상반응(3–4등급)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영국 건당 비용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국내 건당 비용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국내 상병(KCD)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빈혈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£990.18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271,785원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D64 기타 빈혈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복통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£728.41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183,542원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R10.4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고혈압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£760.01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177,471원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위장관 출혈(공개표지기)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£2,490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1,518,785원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K92.2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급성 신손상(공개표지기)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£1,295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3,003,536원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피로(공개표지기)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£1,076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102,349원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R53</w:t>
            </w:r>
          </w:p>
        </w:tc>
      </w:tr>
    </w:tbl>
    <w:p>
      <w:pPr>
        <w:numPr>
          <w:ilvl w:val="0"/>
          <w:numId w:val="1033"/>
        </w:numPr>
        <w:pStyle w:val="Compact"/>
      </w:pPr>
      <w:r>
        <w:t xml:space="preserve">AE</w:t>
      </w:r>
      <w:r>
        <w:t xml:space="preserve"> </w:t>
      </w:r>
      <w:r>
        <w:rPr>
          <w:bCs/>
          <w:b/>
        </w:rPr>
        <w:t xml:space="preserve">발생률은 INVICTUS 원모델값 유지</w:t>
      </w:r>
      <w:r>
        <w:t xml:space="preserve">(국내 발생률은 청구자료 분석 후 검토) — ⬜</w:t>
      </w:r>
    </w:p>
    <w:bookmarkEnd w:id="53"/>
    <w:bookmarkStart w:id="54" w:name="Xb8fc9e3fe4afd847ab57530905dcb93aed96375"/>
    <w:p>
      <w:pPr>
        <w:pStyle w:val="Heading3"/>
      </w:pPr>
      <w:r>
        <w:t xml:space="preserve">2.10.5 말기 관리 비용</w:t>
      </w:r>
    </w:p>
    <w:p>
      <w:pPr>
        <w:numPr>
          <w:ilvl w:val="0"/>
          <w:numId w:val="1034"/>
        </w:numPr>
        <w:pStyle w:val="Compact"/>
      </w:pPr>
      <w:r>
        <w:t xml:space="preserve">✅ 원모델: 사망 시 1회</w:t>
      </w:r>
      <w:r>
        <w:t xml:space="preserve"> </w:t>
      </w:r>
      <w:r>
        <w:rPr>
          <w:bCs/>
          <w:b/>
        </w:rPr>
        <w:t xml:space="preserve">£10,926.76</w:t>
      </w:r>
      <w:r>
        <w:t xml:space="preserve"> </w:t>
      </w:r>
      <w:r>
        <w:t xml:space="preserve">— TA488 준거, Abel 등(2013) 호스피스 코호트 비용(병원 사망 £14,856.09 × 16.3% + 병원 외 사망 £10,163.52 × 83.7%, 사망 전 12개월) [출처: ID6496 §3.5.4, Table 49; 모델 Data Store]</w:t>
      </w:r>
    </w:p>
    <w:p>
      <w:pPr>
        <w:numPr>
          <w:ilvl w:val="0"/>
          <w:numId w:val="1034"/>
        </w:numPr>
        <w:pStyle w:val="Compact"/>
      </w:pPr>
      <w:r>
        <w:t xml:space="preserve">✅ 시나리오: Round 등(2015) 기반</w:t>
      </w:r>
      <w:r>
        <w:t xml:space="preserve"> </w:t>
      </w:r>
      <w:r>
        <w:rPr>
          <w:bCs/>
          <w:b/>
        </w:rPr>
        <w:t xml:space="preserve">£7,777.76</w:t>
      </w:r>
      <w:r>
        <w:t xml:space="preserve"> </w:t>
      </w:r>
      <w:r>
        <w:t xml:space="preserve">[출처: ID6496 Table 50]; 말기 비용 제외 시 ICER £28,939로 영향 미미 [출처: ID6496 시나리오 표]</w:t>
      </w:r>
    </w:p>
    <w:p>
      <w:pPr>
        <w:numPr>
          <w:ilvl w:val="0"/>
          <w:numId w:val="103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국내값 반영(2026.9.22.)</w:t>
      </w:r>
      <w:r>
        <w:t xml:space="preserve">:</w:t>
      </w:r>
      <w:r>
        <w:t xml:space="preserve"> </w:t>
      </w:r>
      <w:r>
        <w:rPr>
          <w:bCs/>
          <w:b/>
        </w:rPr>
        <w:t xml:space="preserve">30,563,500원/인</w:t>
      </w:r>
      <w:r>
        <w:t xml:space="preserve"> </w:t>
      </w:r>
      <w:r>
        <w:t xml:space="preserve">— Park 등(2018) 위암(proxy) 사망 전 12개월 입원(inpatient) 누적비용, 1 USD = 1,100원 환산 [출처: 연구진 EOL 비용 검토 — 우선 적용 후보]</w:t>
      </w:r>
    </w:p>
    <w:p>
      <w:pPr>
        <w:numPr>
          <w:ilvl w:val="1"/>
          <w:numId w:val="1035"/>
        </w:numPr>
        <w:pStyle w:val="Compact"/>
      </w:pPr>
      <w:r>
        <w:t xml:space="preserve">대안값(시나리오): 입원+외래 합산</w:t>
      </w:r>
      <w:r>
        <w:t xml:space="preserve"> </w:t>
      </w:r>
      <w:r>
        <w:rPr>
          <w:bCs/>
          <w:b/>
        </w:rPr>
        <w:t xml:space="preserve">34,608,200원/인</w:t>
      </w:r>
    </w:p>
    <w:p>
      <w:pPr>
        <w:numPr>
          <w:ilvl w:val="1"/>
          <w:numId w:val="1035"/>
        </w:numPr>
        <w:pStyle w:val="Compact"/>
      </w:pPr>
      <w:r>
        <w:t xml:space="preserve">⬜ [최종 비용범위(입원 vs 입원+외래) 및 비용연도 보정 여부 팀 확정]</w:t>
      </w:r>
    </w:p>
    <w:bookmarkEnd w:id="54"/>
    <w:bookmarkEnd w:id="55"/>
    <w:bookmarkStart w:id="56" w:name="Xc7fe432f57d74484f7d5d31282a197276917bdc"/>
    <w:p>
      <w:pPr>
        <w:pStyle w:val="Heading2"/>
      </w:pPr>
      <w:r>
        <w:t xml:space="preserve">2.11 로컬리제이션 내역 요약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NICE 원모델 (영국)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 분석 (한국)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할인율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3.5% ✅[ID6496]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4.5% (확정)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모델 반영 완료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관점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NHS/PSS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보험자(Payer/NHIS) — 모델 작업본 설정 ⬜[지침 관점 표기 확정]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부분 반영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통화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원(Won) — 모델 작업본 설정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반영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약제 가격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£18,400/30일(표시가) ✅[§2.3], PAS 할인 비공개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212,865원/정 (확정)</w:t>
            </w:r>
            <w:r>
              <w:t xml:space="preserve">, PAS 미정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모델 입력 대기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중증도 가중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1.7배 ✅[§3.13]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1.0 (미적용, 확정)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모델 입력 대기(현재 1.7)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효용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INVICTUS EQ-5D-5L→3L 매핑(영국) ✅[ID6496 §3.4]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INVICTUS EQ-5D-5L →</w:t>
            </w:r>
            <w:r>
              <w:t xml:space="preserve"> </w:t>
            </w:r>
            <w:r>
              <w:rPr>
                <w:bCs/>
                <w:b/>
              </w:rPr>
              <w:t xml:space="preserve">한국 tariff 재산출 (확정 방침)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개발사 회신 대기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의료 수가·자원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NHS 단가(BNF 2025.1, TA488/TA730 자원) ✅[ID6496 §3.5]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건강보험 수가(단가 ✅ 반영) + 이용률(자문 기반 ✅, 청구자료로 갱신 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1차 반영(2026.9.22.)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BSC 약제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TA488 구성, BNF 단가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국내 대응 성분, 2025 가중평균가 — PF 51,005원/PD 63,872원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반영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말기(EOL) 비용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Abel 2013 £10,926.76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Park 2018 위암 proxy 30,563,500원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반영(대안 34,608,200원)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 처치 비용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NHS HRG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HIRA 상병별 건당 비용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반영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 발생률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INVICTUS ✅[ID6496 Table 41–42]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청구자료 확정 전 INVICTUS값 유지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대기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일반 사망률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영국 ONS 생명표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통계청 완전생명표 ⬜[연도]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교체 예정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진행 후 처치 패턴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수술·방사선 등 양군 반영 ✅[§3.11]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국내 진료 패턴·수가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수용 임계값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£25,000–35,000/QALY 중간대 ✅[§3.14]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[국내 명시적 임계값 부재 — 고찰에서 논의]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56"/>
    <w:bookmarkStart w:id="57" w:name="X122e62205bb32397ee32fa5574b510d0f5b30f4"/>
    <w:p>
      <w:pPr>
        <w:pStyle w:val="Heading2"/>
      </w:pPr>
      <w:r>
        <w:t xml:space="preserve">2.12 모형 검증</w:t>
      </w:r>
    </w:p>
    <w:p>
      <w:pPr>
        <w:numPr>
          <w:ilvl w:val="0"/>
          <w:numId w:val="1036"/>
        </w:numPr>
        <w:pStyle w:val="Compact"/>
      </w:pPr>
      <w:r>
        <w:t xml:space="preserve">⬜ [내적 검증: 투입 반영 후 trace 정합성(PFS ≤ TTD ≤ OS 관계) 확인 — 로컬리제이션 작업 계획에 포함됨]</w:t>
      </w:r>
    </w:p>
    <w:p>
      <w:pPr>
        <w:numPr>
          <w:ilvl w:val="0"/>
          <w:numId w:val="1036"/>
        </w:numPr>
        <w:pStyle w:val="Compact"/>
      </w:pPr>
      <w:r>
        <w:t xml:space="preserve">⬜ [외적 검증: 10년 OS의 임상적 타당성 준거로 원평가의 전문가 추정 범위(1~8%, 4~6%; ✅ TA1146 §3.10) 및 국내 전문가 자문 활용]</w:t>
      </w:r>
    </w:p>
    <w:p>
      <w:pPr>
        <w:numPr>
          <w:ilvl w:val="0"/>
          <w:numId w:val="1036"/>
        </w:numPr>
        <w:pStyle w:val="Compact"/>
      </w:pPr>
      <w:r>
        <w:t xml:space="preserve">⬜ [원모델 재현 검증 — 아래 공개 ICER 경과표(모두 결정론적, PAS·1.7 가중 포함)와 대조. 단 PAS 할인율이 비공개이므로 완전 재현은 불가하며, 입수한 모델 작업본(표시가·PAS 0 상태)의 산출값 재현으로 갈음]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공개 ICER 경과표(재현 검증 참고 목표값)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분석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ICER(£/QALY)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원제출(2025.5., 구 PAS)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회사 기본분석 — 증분비용 £85,414, 증분 QALY 2.962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28,836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ID6496 §3.6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상동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PSA(확률론적) — 결정론적과 차이 £757, £30,000 기준 비용-효과적일 확률 57.2%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29,593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ID6496 §3.7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ACM1 시점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EAG·위원회 선호 분석(재검열+로그로지스틱)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44,964 (1차 PAS 인상 반영)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EAG critique of DG response §1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Draft guidance(2025.10.)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비권고</w:t>
            </w:r>
            <w:r>
              <w:t xml:space="preserve"> </w:t>
            </w:r>
            <w:r>
              <w:t xml:space="preserve">— 상기 EAG 선호 ICER가 구 임계값(£20,000–30,000) 상회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EAG critique of DG response §1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DG 대응(2025.12., 2차 PAS 인상, 2021컷)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회사 기본분석 26,877 / EAG·위원회 선호 41,035 / TSE-IPCW 29,282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좌동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EAG critique Table 1–2; 회사 DG Addendum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DG 대응(2022컷)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회사 방식 31,371 / EAG 선호(로그로지스틱) 34,026 / TSE-IPCW 31,728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좌동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EAG 최종 선호 범위(2022컷)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재검열 없음+일반화감마 31,437 ~ 재검열+로그정규 33,562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31,437–33,562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EAG critique of DG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최종 guidance(2026.4.)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위원회 고려 범위(회사 기본 24,937 별도)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29,130–31,085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TA1146 §3.15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End w:id="58"/>
    <w:bookmarkStart w:id="63" w:name="X98c66a15d0e4b55af4db350ea1ecae419275cfd"/>
    <w:p>
      <w:pPr>
        <w:pStyle w:val="Heading1"/>
      </w:pPr>
      <w:r>
        <w:t xml:space="preserve">3. 분석 결과</w:t>
      </w:r>
    </w:p>
    <w:bookmarkStart w:id="59" w:name="Xfab695b4f4b0bd5697e74c84b623e2ddc61613f"/>
    <w:p>
      <w:pPr>
        <w:pStyle w:val="Heading2"/>
      </w:pPr>
      <w:r>
        <w:t xml:space="preserve">3.1 기본분석(Base-case)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리프레티닙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증분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총비용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총 LY (할인)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총 QALY (할인)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ICER (₩/QALY)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⬜</w:t>
            </w:r>
          </w:p>
        </w:tc>
      </w:tr>
    </w:tbl>
    <w:p>
      <w:pPr>
        <w:pStyle w:val="BodyText"/>
      </w:pPr>
      <w:r>
        <w:t xml:space="preserve">✅ 참고(영국 원제출 기본분석, PAS·1.7 가중 포함): 증분비용 £85,414, 증분 QALY 2.962, ICER £28,836/QALY [출처: ID6496 §3.6] — 개별 군별 총비용·총 QALY는 기업비밀로 비공개.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중간 산출(2026.9.22., 국내 비용 1차 통합)</w:t>
      </w:r>
      <w:r>
        <w:t xml:space="preserve"> </w:t>
      </w:r>
      <w:r>
        <w:t xml:space="preserve">— 약가 212,865원/정(PAS 0), QALY 가중 1.0, 할인 4.5%, 국내 모니터링·BSC 약제·AE·고식적 처치·EOL 비용 반영(이용률은 자문 기반), 효용은 영국값(한국 tariff 재산출 대기), 생존 설정은 회사 개정 기본분석(로그정규/일반화감마):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리프레티닙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증분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총비용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283,079,670원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31,809,802원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251,269,869원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총 QALY (할인, 가중 1.0)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중간 ICER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약 9,741만 원/QALY</w:t>
            </w:r>
          </w:p>
        </w:tc>
      </w:tr>
    </w:tbl>
    <w:p>
      <w:pPr>
        <w:numPr>
          <w:ilvl w:val="0"/>
          <w:numId w:val="1037"/>
        </w:numPr>
        <w:pStyle w:val="Compact"/>
      </w:pPr>
      <w:r>
        <w:t xml:space="preserve">EOL 대안값(34,608,200원/인) 적용 시 약 9,712만 원/QALY. 중증도 가중 1.7 유지 시 약 5,730만 원/QALY</w:t>
      </w:r>
    </w:p>
    <w:p>
      <w:pPr>
        <w:numPr>
          <w:ilvl w:val="0"/>
          <w:numId w:val="1037"/>
        </w:numPr>
        <w:pStyle w:val="Compact"/>
      </w:pPr>
      <w:r>
        <w:t xml:space="preserve">⬜ [효용(한국 tariff)·청구자료 이용률·약가(PAS/RSA) 확정 후 본 표를 최종 기본분석으로 대체]</w:t>
      </w:r>
    </w:p>
    <w:bookmarkEnd w:id="59"/>
    <w:bookmarkStart w:id="60" w:name="X70c84b8d9b77b314507bc123e0d0103bd4c554e"/>
    <w:p>
      <w:pPr>
        <w:pStyle w:val="Heading2"/>
      </w:pPr>
      <w:r>
        <w:t xml:space="preserve">3.2 결정론적 민감도분석(DSA)</w:t>
      </w:r>
    </w:p>
    <w:p>
      <w:pPr>
        <w:pStyle w:val="FirstParagraph"/>
      </w:pPr>
      <w:r>
        <w:t xml:space="preserve">⬜ [일원 민감도분석, 토네이도 다이어그램. ✅ 원평가에서 비용-효과성의 최대 동인은 증량 보정의 재검열 적용 여부였음(EAG) [TA1146 §3.9] — DSA 항목 선정에 반영]</w:t>
      </w:r>
    </w:p>
    <w:bookmarkEnd w:id="60"/>
    <w:bookmarkStart w:id="61" w:name="X9cd93b54ac529353e2a09db3803956f260fc1d7"/>
    <w:p>
      <w:pPr>
        <w:pStyle w:val="Heading2"/>
      </w:pPr>
      <w:r>
        <w:t xml:space="preserve">3.3 확률론적 민감도분석(PSA)</w:t>
      </w:r>
    </w:p>
    <w:p>
      <w:pPr>
        <w:pStyle w:val="FirstParagraph"/>
      </w:pPr>
      <w:r>
        <w:t xml:space="preserve">⬜ [시뮬레이션 횟수, 분포 가정, CEAC. ✅ 참고 — 원평가: £30,000/QALY 기준 비용-효과적일 확률 57.2%, 결정론적-확률론적 ICER 차이 £757 [출처: ID6496 §3.7]]</w:t>
      </w:r>
    </w:p>
    <w:bookmarkEnd w:id="61"/>
    <w:bookmarkStart w:id="62" w:name="Xeccbd5ce5dad51549ef64282bbc7c78665c2efd"/>
    <w:p>
      <w:pPr>
        <w:pStyle w:val="Heading2"/>
      </w:pPr>
      <w:r>
        <w:t xml:space="preserve">3.4 시나리오 분석</w:t>
      </w:r>
    </w:p>
    <w:p>
      <w:pPr>
        <w:pStyle w:val="FirstParagraph"/>
      </w:pPr>
      <w:r>
        <w:rPr>
          <w:bCs/>
          <w:b/>
        </w:rPr>
        <w:t xml:space="preserve">위원회가 병렬 고려를 요구한 보정방식과 쟁점을 시나리오로 구성</w:t>
      </w:r>
      <w:r>
        <w:t xml:space="preserve"> </w:t>
      </w:r>
      <w:r>
        <w:t xml:space="preserve">[근거: TA1146 §3.9, §3.15, §3.16]: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근거(TA1146 쟁점)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증량 보정: 재검열 적용(+로그로지스틱/로그정규)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§3.9 EAG 선호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증량 보정: 재검열 없음(+로그정규/일반화감마)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§3.9 회사 선호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증량 보정: IPCW(+일반화감마)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§3.9 대안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데이터컷: 2021.1 vs 2022.5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§3.7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효용값: GRID(TA488) 대체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§3.12 (원평가에서 영향 미미)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진행 후 후속 처치 비용 제외/포함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§3.11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진행 후 증량(BID) 약제비 포함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원평가 시나리오 — 진행 후 투여 중 환자의 50%가 BID 비용 부담 가정 시 ICER £32,671(회사 원제출 기준). 허가 외 용량이라 기본분석에서는 제외 [ID6496 시나리오 표]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 말기 비용: Round(2015) £7,777.76 대체/제외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ID6496 §3.5.4(제외 시 £28,939)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 ⬜ [분석 기간, 할인율 등]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국내 지침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End w:id="63"/>
    <w:bookmarkStart w:id="64" w:name="Xa62616b5f2b7d6a31e91c531cadc198eabefc88"/>
    <w:p>
      <w:pPr>
        <w:pStyle w:val="Heading1"/>
      </w:pPr>
      <w:r>
        <w:t xml:space="preserve">4. 재정영향 분석 (선택)</w:t>
      </w:r>
    </w:p>
    <w:p>
      <w:pPr>
        <w:pStyle w:val="FirstParagraph"/>
      </w:pPr>
      <w:r>
        <w:t xml:space="preserve">⬜ [예상 환자 수, 점유율, 연차별 재정영향 — 국내 자료 기반]</w:t>
      </w:r>
    </w:p>
    <w:p>
      <w:r>
        <w:pict>
          <v:rect style="width:0;height:1.5pt" o:hralign="center" o:hrstd="t" o:hr="t"/>
        </w:pict>
      </w:r>
    </w:p>
    <w:bookmarkEnd w:id="64"/>
    <w:bookmarkStart w:id="69" w:name="X8df7666de2d0f4de7dbbd8f672859d4c83faab5"/>
    <w:p>
      <w:pPr>
        <w:pStyle w:val="Heading1"/>
      </w:pPr>
      <w:r>
        <w:t xml:space="preserve">5. 고찰</w:t>
      </w:r>
    </w:p>
    <w:bookmarkStart w:id="65" w:name="X434a08ca57d347721979221551fa5e4254df7f6"/>
    <w:p>
      <w:pPr>
        <w:pStyle w:val="Heading2"/>
      </w:pPr>
      <w:r>
        <w:t xml:space="preserve">5.1 주요 결과 해석</w:t>
      </w:r>
    </w:p>
    <w:p>
      <w:pPr>
        <w:pStyle w:val="FirstParagraph"/>
      </w:pPr>
      <w:r>
        <w:t xml:space="preserve">⬜ [작성. 국내 임계값 논의 시 참고: ✅ NICE는 본 건의 불확실성을 고려해 £25,000–35,000/QALY의 중간대를 수용 기준으로 삼았고, 중증도 가중 1.7을 적용함 [TA1146 §3.13–3.14] — 국내 제도(중증·말기질환 탄력 적용)와의 차이 논의]</w:t>
      </w:r>
    </w:p>
    <w:p>
      <w:pPr>
        <w:pStyle w:val="BodyText"/>
      </w:pPr>
      <w:r>
        <w:t xml:space="preserve">✅ 참고 — NICE 임계값 변경 경과: draft guidance(2025.10.)는 구 통상 범위</w:t>
      </w:r>
      <w:r>
        <w:t xml:space="preserve"> </w:t>
      </w:r>
      <w:r>
        <w:rPr>
          <w:bCs/>
          <w:b/>
        </w:rPr>
        <w:t xml:space="preserve">£20,000–30,000</w:t>
      </w:r>
      <w:r>
        <w:t xml:space="preserve">을 적용해 비권고했으나, 이후 NICE의 통상 임계값 범위가</w:t>
      </w:r>
      <w:r>
        <w:t xml:space="preserve"> </w:t>
      </w:r>
      <w:r>
        <w:rPr>
          <w:bCs/>
          <w:b/>
        </w:rPr>
        <w:t xml:space="preserve">£25,000–35,000</w:t>
      </w:r>
      <w:r>
        <w:t xml:space="preserve">으로 상향되어 최종 guidance는 신 범위(중간대)를 적용함. 회사도 DG 대응에서 "인상된 PAS 적용 시 2022컷의 모든 시나리오가 신 임계값 범위 내에서 비용-효과적"이라고 주장 [출처: EAG critique of DG response §1; 회사 DG Addendum(2025.12.); TA1146 §3.14]</w:t>
      </w:r>
    </w:p>
    <w:bookmarkEnd w:id="65"/>
    <w:bookmarkStart w:id="66" w:name="Xbfa007d1c8c350c9caa175a5aca0fd2dde5a0a8"/>
    <w:p>
      <w:pPr>
        <w:pStyle w:val="Heading2"/>
      </w:pPr>
      <w:r>
        <w:t xml:space="preserve">5.2 NICE 평가 결과와의 비교</w:t>
      </w:r>
    </w:p>
    <w:p>
      <w:pPr>
        <w:pStyle w:val="FirstParagraph"/>
      </w:pPr>
      <w:r>
        <w:t xml:space="preserve">⬜ [TA881 비권고 → TA1146 권고 전환의 핵심(4-상태 구조로 진행 후 투여 지속 반영 ✅[§3.6, §3.12], 2022 데이터컷 ✅[§3.7], 증량 2단계 보정 ✅[§3.8])과 본 분석의 처리 대조. 영국 ICER(£24,937~£31,085 ✅[§3.15])와 국내 결과 차이의 원인 분해]</w:t>
      </w:r>
    </w:p>
    <w:p>
      <w:pPr>
        <w:pStyle w:val="BodyText"/>
      </w:pPr>
      <w:r>
        <w:t xml:space="preserve">✅ 참고 — 타 기관 평가: 스코틀랜드 SMC는 2025.8.11. 리프레티닙을 수용(승인)함 — 회사가 DG 대응에서 영국 내 지역 간 접근성 격차(형평성) 논거로 제시 [출처: 회사 DG 대응 의견서(2025.12., committee papers)]</w:t>
      </w:r>
    </w:p>
    <w:bookmarkEnd w:id="66"/>
    <w:bookmarkStart w:id="67" w:name="X9832d38c2cae246162fe64dd4190ab415cd5a4a"/>
    <w:p>
      <w:pPr>
        <w:pStyle w:val="Heading2"/>
      </w:pPr>
      <w:r>
        <w:t xml:space="preserve">5.3 분석의 강점</w:t>
      </w:r>
    </w:p>
    <w:p>
      <w:pPr>
        <w:pStyle w:val="FirstParagraph"/>
      </w:pPr>
      <w:r>
        <w:t xml:space="preserve">⬜ [작성 — 예: 무작위 위약대조 3상 직접비교, 두 차례 NICE 평가로 검증된 모형 구조·보정 방법 준용]</w:t>
      </w:r>
    </w:p>
    <w:bookmarkEnd w:id="67"/>
    <w:bookmarkStart w:id="68" w:name="X24ae08f71c3b8b5def261ebd255d9e8cbee5b38"/>
    <w:p>
      <w:pPr>
        <w:pStyle w:val="Heading2"/>
      </w:pPr>
      <w:r>
        <w:t xml:space="preserve">5.4 분석의 한계</w:t>
      </w:r>
    </w:p>
    <w:p>
      <w:pPr>
        <w:pStyle w:val="FirstParagraph"/>
      </w:pPr>
      <w:r>
        <w:t xml:space="preserve">⬜ [작성 — 원평가의 불확실성이 본 분석에도 적용됨을 명시: ✅ 소규모 시험, 교차·증량 다수로 OS 이득 크기 불확실 [§3.4]; 보정·외삽 의존적 장기 OS [§3.9–3.11]; 시험 인구와 실제 사용 인구의 차이(일반화 가능성) [§3.13]. 추가로 국내 고유 한계(한국인 자료 부재 등)]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Xa73d1bf52797e8c336a515259f09860826976f9"/>
    <w:p>
      <w:pPr>
        <w:pStyle w:val="Heading1"/>
      </w:pPr>
      <w:r>
        <w:t xml:space="preserve">6. 결론</w:t>
      </w:r>
    </w:p>
    <w:p>
      <w:pPr>
        <w:pStyle w:val="FirstParagraph"/>
      </w:pPr>
      <w:r>
        <w:t xml:space="preserve">⬜ [작성]</w:t>
      </w:r>
    </w:p>
    <w:p>
      <w:r>
        <w:pict>
          <v:rect style="width:0;height:1.5pt" o:hralign="center" o:hrstd="t" o:hr="t"/>
        </w:pict>
      </w:r>
    </w:p>
    <w:bookmarkEnd w:id="70"/>
    <w:bookmarkStart w:id="73" w:name="참고문헌"/>
    <w:p>
      <w:pPr>
        <w:pStyle w:val="Heading1"/>
      </w:pPr>
      <w:r>
        <w:t xml:space="preserve">참고문헌</w:t>
      </w:r>
    </w:p>
    <w:p>
      <w:pPr>
        <w:numPr>
          <w:ilvl w:val="0"/>
          <w:numId w:val="1038"/>
        </w:numPr>
        <w:pStyle w:val="Compact"/>
      </w:pPr>
      <w:r>
        <w:t xml:space="preserve">National Institute for Health and Care Excellence. Ripretinib for treating advanced gastrointestinal stromal tumours after 3 or more kinase inhibitors. Technology appraisal guidance TA1146. 2026.4.28. ISBN 978-1-4731-9443-4.</w:t>
      </w:r>
      <w:r>
        <w:t xml:space="preserve"> </w:t>
      </w:r>
      <w:hyperlink r:id="rId71">
        <w:r>
          <w:rPr>
            <w:rStyle w:val="Hyperlink"/>
          </w:rPr>
          <w:t xml:space="preserve">https://www.nice.org.uk/guidance/ta1146</w:t>
        </w:r>
      </w:hyperlink>
      <w:r>
        <w:t xml:space="preserve"> </w:t>
      </w:r>
      <w:r>
        <w:t xml:space="preserve">(TA881 대체)</w:t>
      </w:r>
    </w:p>
    <w:p>
      <w:pPr>
        <w:numPr>
          <w:ilvl w:val="0"/>
          <w:numId w:val="1038"/>
        </w:numPr>
        <w:pStyle w:val="Compact"/>
      </w:pPr>
      <w:r>
        <w:t xml:space="preserve">National Institute for Health and Care Excellence. Ripretinib for treating advanced gastrointestinal stromal tumour after 3 or more treatments. Technology appraisal guidance TA881. 2023.5.3.</w:t>
      </w:r>
      <w:r>
        <w:t xml:space="preserve"> </w:t>
      </w:r>
      <w:hyperlink r:id="rId72">
        <w:r>
          <w:rPr>
            <w:rStyle w:val="Hyperlink"/>
          </w:rPr>
          <w:t xml:space="preserve">https://www.nice.org.uk/guidance/ta881</w:t>
        </w:r>
      </w:hyperlink>
    </w:p>
    <w:p>
      <w:pPr>
        <w:numPr>
          <w:ilvl w:val="0"/>
          <w:numId w:val="1038"/>
        </w:numPr>
        <w:pStyle w:val="Compact"/>
      </w:pPr>
      <w:r>
        <w:t xml:space="preserve">NICE TA1146 committee papers (GID-TA11676).</w:t>
      </w:r>
      <w:r>
        <w:t xml:space="preserve"> </w:t>
      </w:r>
      <w:hyperlink r:id="rId71">
        <w:r>
          <w:rPr>
            <w:rStyle w:val="Hyperlink"/>
          </w:rPr>
          <w:t xml:space="preserve">https://www.nice.org.uk/guidance/ta1146</w:t>
        </w:r>
      </w:hyperlink>
      <w:r>
        <w:t xml:space="preserve"> </w:t>
      </w:r>
      <w:r>
        <w:t xml:space="preserve">→ History</w:t>
      </w:r>
    </w:p>
    <w:p>
      <w:pPr>
        <w:numPr>
          <w:ilvl w:val="0"/>
          <w:numId w:val="1038"/>
        </w:numPr>
        <w:pStyle w:val="Compact"/>
      </w:pPr>
      <w:r>
        <w:t xml:space="preserve">Deciphera Pharmaceuticals. ID6496 Ripretinib company evidence submission (2025.5., 삭제본) 및 Response to draft guidance: Addendum (2025.12., 삭제본).</w:t>
      </w:r>
    </w:p>
    <w:p>
      <w:pPr>
        <w:numPr>
          <w:ilvl w:val="0"/>
          <w:numId w:val="1038"/>
        </w:numPr>
        <w:pStyle w:val="Compact"/>
      </w:pPr>
      <w:r>
        <w:t xml:space="preserve">Tappenden P, et al. (SCHARR, University of Sheffield). ID6496 Ripretinib — EAG critique of the company's response to the NICE draft guidance (2025.12.16., 삭제본); ID3805 — ERG comments on the company's ACD response (2023.1.16., 삭제본).</w:t>
      </w:r>
    </w:p>
    <w:p>
      <w:pPr>
        <w:numPr>
          <w:ilvl w:val="0"/>
          <w:numId w:val="1038"/>
        </w:numPr>
        <w:pStyle w:val="Compact"/>
      </w:pPr>
      <w:r>
        <w:t xml:space="preserve">Blay JY, et al. Ripretinib in patients with advanced gastrointestinal stromal tumours (INVICTUS): a double-blind, randomised, placebo-controlled, phase 3 trial. Lancet Oncol. 2020;21(7):923-934.</w:t>
      </w:r>
    </w:p>
    <w:p>
      <w:pPr>
        <w:numPr>
          <w:ilvl w:val="0"/>
          <w:numId w:val="1038"/>
        </w:numPr>
        <w:pStyle w:val="Compact"/>
      </w:pPr>
      <w:r>
        <w:t xml:space="preserve">NICE Decision Support Unit. Technical support document 24: Adjusting survival time estimates in the presence of treatment switching. (TA1146 §3.9에서 인용)</w:t>
      </w:r>
    </w:p>
    <w:p>
      <w:pPr>
        <w:numPr>
          <w:ilvl w:val="0"/>
          <w:numId w:val="1038"/>
        </w:numPr>
        <w:pStyle w:val="Compact"/>
      </w:pPr>
      <w:r>
        <w:t xml:space="preserve">건강보험심사평가원. 의약품 경제성평가지침 및 자료 작성 요령. 2021.</w:t>
      </w:r>
    </w:p>
    <w:p>
      <w:pPr>
        <w:numPr>
          <w:ilvl w:val="0"/>
          <w:numId w:val="1038"/>
        </w:numPr>
        <w:pStyle w:val="Compact"/>
      </w:pPr>
      <w:r>
        <w:t xml:space="preserve">⬜ [식품의약품안전처 허가사항]</w:t>
      </w:r>
    </w:p>
    <w:p>
      <w:pPr>
        <w:numPr>
          <w:ilvl w:val="0"/>
          <w:numId w:val="1038"/>
        </w:numPr>
        <w:pStyle w:val="Compact"/>
      </w:pPr>
      <w:r>
        <w:t xml:space="preserve">⬜ [중앙암등록본부 국가암등록통계]</w:t>
      </w:r>
    </w:p>
    <w:p>
      <w:pPr>
        <w:numPr>
          <w:ilvl w:val="0"/>
          <w:numId w:val="1038"/>
        </w:numPr>
        <w:pStyle w:val="Compact"/>
      </w:pPr>
      <w:r>
        <w:t xml:space="preserve">⬜ [통계청 생명표]</w:t>
      </w:r>
    </w:p>
    <w:p>
      <w:pPr>
        <w:numPr>
          <w:ilvl w:val="0"/>
          <w:numId w:val="1038"/>
        </w:numPr>
        <w:pStyle w:val="Compact"/>
      </w:pPr>
      <w:r>
        <w:t xml:space="preserve">⬜ [기타 국내 비용/효용 자료원]</w:t>
      </w:r>
    </w:p>
    <w:p>
      <w:r>
        <w:pict>
          <v:rect style="width:0;height:1.5pt" o:hralign="center" o:hrstd="t" o:hr="t"/>
        </w:pict>
      </w:r>
    </w:p>
    <w:bookmarkEnd w:id="73"/>
    <w:bookmarkStart w:id="79" w:name="부록"/>
    <w:p>
      <w:pPr>
        <w:pStyle w:val="Heading1"/>
      </w:pPr>
      <w:r>
        <w:t xml:space="preserve">부록</w:t>
      </w:r>
    </w:p>
    <w:bookmarkStart w:id="74" w:name="부록-a-생존곡선-외삽-상세"/>
    <w:p>
      <w:pPr>
        <w:pStyle w:val="Heading2"/>
      </w:pPr>
      <w:r>
        <w:t xml:space="preserve">부록 A. 생존곡선 외삽 상세</w:t>
      </w:r>
    </w:p>
    <w:p>
      <w:pPr>
        <w:pStyle w:val="FirstParagraph"/>
      </w:pPr>
      <w:r>
        <w:t xml:space="preserve">⬜ [분포별 적합통계, KM 대비 적합 곡선, 재검열 유/무/IPCW별 counterfactual OS 곡선 — committee papers 구조 준용]</w:t>
      </w:r>
    </w:p>
    <w:bookmarkEnd w:id="74"/>
    <w:bookmarkStart w:id="75" w:name="부록-b-모형-투입변수-총괄표"/>
    <w:p>
      <w:pPr>
        <w:pStyle w:val="Heading2"/>
      </w:pPr>
      <w:r>
        <w:t xml:space="preserve">부록 B. 모형 투입변수 총괄표</w:t>
      </w:r>
    </w:p>
    <w:p>
      <w:pPr>
        <w:pStyle w:val="FirstParagraph"/>
      </w:pPr>
      <w:r>
        <w:t xml:space="preserve">⬜ [변수/기본값/범위/분포/자료원 — 각 행에 출처(TA1146 절 번호 또는 committee papers 페이지) 병기]</w:t>
      </w:r>
    </w:p>
    <w:bookmarkEnd w:id="75"/>
    <w:bookmarkStart w:id="76" w:name="부록-c-모형-검증-상세"/>
    <w:p>
      <w:pPr>
        <w:pStyle w:val="Heading2"/>
      </w:pPr>
      <w:r>
        <w:t xml:space="preserve">부록 C. 모형 검증 상세</w:t>
      </w:r>
    </w:p>
    <w:p>
      <w:pPr>
        <w:pStyle w:val="FirstParagraph"/>
      </w:pPr>
      <w:r>
        <w:t xml:space="preserve">⬜ [원모델 재현 대조표: 공개 ICER 4종(✅ §3.15) 기준]</w:t>
      </w:r>
    </w:p>
    <w:bookmarkEnd w:id="76"/>
    <w:bookmarkStart w:id="77" w:name="부록-d-전문가-자문-내역"/>
    <w:p>
      <w:pPr>
        <w:pStyle w:val="Heading2"/>
      </w:pPr>
      <w:r>
        <w:t xml:space="preserve">부록 D. 전문가 자문 내역</w:t>
      </w:r>
    </w:p>
    <w:p>
      <w:pPr>
        <w:pStyle w:val="FirstParagraph"/>
      </w:pPr>
      <w:r>
        <w:t xml:space="preserve">⬜ [국내 자문: 진료 패턴, 10년 OS 타당성(원평가 준거 1~8%·4~6% ✅ §3.10 대비) 등]</w:t>
      </w:r>
    </w:p>
    <w:bookmarkEnd w:id="77"/>
    <w:bookmarkStart w:id="78" w:name="부록-e-체계적-문헌고찰-해당-시"/>
    <w:p>
      <w:pPr>
        <w:pStyle w:val="Heading2"/>
      </w:pPr>
      <w:r>
        <w:t xml:space="preserve">부록 E. 체계적 문헌고찰 (해당 시)</w:t>
      </w:r>
    </w:p>
    <w:p>
      <w:pPr>
        <w:pStyle w:val="FirstParagraph"/>
      </w:pPr>
      <w:r>
        <w:t xml:space="preserve">⬜ [검색 전략, PRISMA, 문헌 목록]</w:t>
      </w:r>
    </w:p>
    <w:bookmarkEnd w:id="78"/>
    <w:bookmarkEnd w:id="7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Malgun Gothic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eastAsia="Malgun Gothic"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71" Target="https://www.nice.org.uk/guidance/ta1146" TargetMode="External" /><Relationship Type="http://schemas.openxmlformats.org/officeDocument/2006/relationships/hyperlink" Id="rId72" Target="https://www.nice.org.uk/guidance/ta88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1" Target="https://www.nice.org.uk/guidance/ta1146" TargetMode="External" /><Relationship Type="http://schemas.openxmlformats.org/officeDocument/2006/relationships/hyperlink" Id="rId72" Target="https://www.nice.org.uk/guidance/ta88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2026-09-22T05:21:12Z</dcterms:created>
  <dcterms:modified xsi:type="dcterms:W3CDTF">2026-09-22T05:21:12Z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