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center"/>
      </w:pPr>
      <w:r>
        <w:rPr>
          <w:b/>
          <w:sz w:val="40"/>
        </w:rPr>
        <w:t>REPORTE DE RESULTADOS – IMPORTACIÓN MÉXICO → NICARAGUA</w:t>
      </w:r>
    </w:p>
    <w:p>
      <w:pPr>
        <w:pStyle w:val="Heading1"/>
        <w:spacing w:after="120" w:line="259" w:lineRule="auto"/>
      </w:pPr>
      <w:r>
        <w:rPr>
          <w:sz w:val="22"/>
        </w:rPr>
        <w:t>Resumen de resultados</w:t>
      </w:r>
    </w:p>
    <w:p>
      <w:pPr>
        <w:spacing w:after="120" w:line="259" w:lineRule="auto"/>
        <w:jc w:val="both"/>
      </w:pPr>
      <w:r>
        <w:rPr>
          <w:sz w:val="22"/>
        </w:rPr>
        <w:t>El análisis de la base de datos de importación registra 50 productos y un importe total de US$40,359.00. El precio promedio de los registros es de US$7.74.</w:t>
      </w:r>
    </w:p>
    <w:p>
      <w:pPr>
        <w:spacing w:after="120" w:line="259" w:lineRule="auto"/>
        <w:jc w:val="both"/>
      </w:pPr>
      <w:r>
        <w:rPr>
          <w:sz w:val="22"/>
        </w:rPr>
        <w:t>El producto con mayor importe individual es Mochilas, código MEX-043, con US$1,912.50. Los productos cuyo origen es México representan US$36,919.50 del importe analizado.</w:t>
      </w:r>
    </w:p>
    <w:p>
      <w:pPr>
        <w:pStyle w:val="Heading1"/>
        <w:spacing w:after="120" w:line="259" w:lineRule="auto"/>
      </w:pPr>
      <w:r>
        <w:rPr>
          <w:sz w:val="22"/>
        </w:rPr>
        <w:t>Distribución de la información</w:t>
      </w:r>
    </w:p>
    <w:p>
      <w:pPr>
        <w:spacing w:after="120" w:line="259" w:lineRule="auto"/>
        <w:jc w:val="both"/>
      </w:pPr>
      <w:r>
        <w:rPr>
          <w:sz w:val="22"/>
        </w:rPr>
        <w:t>La base de datos reúne categorías de alimentos, accesorios, hogar, oficina, tecnología, limpieza y bebidas. Esta diversidad permite analizar la operación desde diferentes perspectivas y facilita la preparación de reportes por categoría.</w:t>
      </w:r>
    </w:p>
    <w:p>
      <w:pPr>
        <w:spacing w:after="120" w:line="259" w:lineRule="auto"/>
        <w:jc w:val="both"/>
      </w:pPr>
      <w:r>
        <w:rPr>
          <w:sz w:val="22"/>
        </w:rPr>
        <w:t>La clasificación por importe permite distinguir las operaciones que requieren mayor atención económica. El cálculo se realiza a partir de la cantidad y el precio unitario registrados.</w:t>
      </w:r>
    </w:p>
    <w:p>
      <w:pPr>
        <w:pStyle w:val="Heading1"/>
        <w:spacing w:after="120" w:line="259" w:lineRule="auto"/>
      </w:pPr>
      <w:r>
        <w:rPr>
          <w:sz w:val="22"/>
        </w:rPr>
        <w:t>Importancia para la empresa</w:t>
      </w:r>
    </w:p>
    <w:p>
      <w:pPr>
        <w:spacing w:after="120" w:line="259" w:lineRule="auto"/>
        <w:jc w:val="both"/>
      </w:pPr>
      <w:r>
        <w:rPr>
          <w:sz w:val="22"/>
        </w:rPr>
        <w:t>El reporte proporciona una visión resumida de la operación y puede servir como referencia para compras, administración, comercio internacional y planificación. La información organizada facilita la comunicación entre las áreas involucradas.</w:t>
      </w:r>
    </w:p>
    <w:p>
      <w:pPr>
        <w:spacing w:after="120" w:line="259" w:lineRule="auto"/>
        <w:jc w:val="both"/>
      </w:pPr>
      <w:r>
        <w:rPr>
          <w:sz w:val="22"/>
        </w:rPr>
        <w:t>El uso conjunto de Excel y documentos empresariales permite mantener una relación clara entre los datos numéricos y la documentación que respalda la operación.</w:t>
      </w:r>
    </w:p>
    <w:p>
      <w:pPr>
        <w:pStyle w:val="Heading1"/>
        <w:spacing w:after="120" w:line="259" w:lineRule="auto"/>
      </w:pPr>
      <w:r>
        <w:rPr>
          <w:sz w:val="22"/>
        </w:rPr>
        <w:t>Conclusión</w:t>
      </w:r>
    </w:p>
    <w:p>
      <w:pPr>
        <w:spacing w:after="120" w:line="259" w:lineRule="auto"/>
        <w:jc w:val="both"/>
      </w:pPr>
      <w:r>
        <w:rPr>
          <w:sz w:val="22"/>
        </w:rPr>
        <w:t>La operación analizada presenta un importe total de US$40,359.00 y una variedad de productos que requiere una gestión organizada. La información procesada proporciona una base para el seguimiento comercial y documental de la importación.</w:t>
      </w:r>
    </w:p>
    <w:p>
      <w:pPr>
        <w:pStyle w:val="Heading1"/>
        <w:spacing w:after="120" w:line="259" w:lineRule="auto"/>
      </w:pPr>
      <w:r>
        <w:rPr>
          <w:sz w:val="22"/>
        </w:rPr>
        <w:t>5. Interpretación de los resultados</w:t>
      </w:r>
    </w:p>
    <w:p>
      <w:pPr>
        <w:spacing w:after="120" w:line="259" w:lineRule="auto"/>
        <w:jc w:val="both"/>
      </w:pPr>
      <w:r>
        <w:rPr>
          <w:sz w:val="22"/>
        </w:rPr>
        <w:t>El importe total de US$40,359.00 representa la suma de los valores calculados para los 50 productos registrados. Este resultado ofrece una visión general de la magnitud económica de la operación y sirve como referencia para la administración.</w:t>
      </w:r>
    </w:p>
    <w:p>
      <w:pPr>
        <w:spacing w:after="120" w:line="259" w:lineRule="auto"/>
        <w:jc w:val="both"/>
      </w:pPr>
      <w:r>
        <w:rPr>
          <w:sz w:val="22"/>
        </w:rPr>
        <w:t>El producto Mochilas, código MEX-043, presenta el mayor importe individual con US$1,912.50. Este resultado no depende solamente del precio unitario, sino también de la cantidad registrada. Por eso, el análisis conjunto de ambas variables es importante para interpretar correctamente los datos.</w:t>
      </w:r>
    </w:p>
    <w:p>
      <w:pPr>
        <w:pStyle w:val="Heading1"/>
        <w:spacing w:after="120" w:line="259" w:lineRule="auto"/>
      </w:pPr>
      <w:r>
        <w:rPr>
          <w:sz w:val="22"/>
        </w:rPr>
        <w:t>6. Uso gerencial de la información</w:t>
      </w:r>
    </w:p>
    <w:p>
      <w:pPr>
        <w:spacing w:after="120" w:line="259" w:lineRule="auto"/>
        <w:jc w:val="both"/>
      </w:pPr>
      <w:r>
        <w:rPr>
          <w:sz w:val="22"/>
        </w:rPr>
        <w:t>Los resultados pueden apoyar diferentes decisiones administrativas. La gerencia puede revisar qué categorías concentran mayor valor, identificar productos que requieren seguimiento y comparar el comportamiento de diferentes registros. El área de compras puede utilizar la información para revisar precios y cantidades, mientras que administración puede utilizarla para elaborar presupuestos y reportes.</w:t>
      </w:r>
    </w:p>
    <w:p>
      <w:pPr>
        <w:spacing w:after="120" w:line="259" w:lineRule="auto"/>
        <w:jc w:val="both"/>
      </w:pPr>
      <w:r>
        <w:rPr>
          <w:sz w:val="22"/>
        </w:rPr>
        <w:t>La información también permite preparar presentaciones ejecutivas. Un resumen con indicadores claros facilita explicar la operación a personas que no necesitan revisar cada registro individual de la base de datos.</w:t>
      </w:r>
    </w:p>
    <w:p>
      <w:pPr>
        <w:pStyle w:val="Heading1"/>
        <w:spacing w:after="120" w:line="259" w:lineRule="auto"/>
      </w:pPr>
      <w:r>
        <w:rPr>
          <w:sz w:val="22"/>
        </w:rPr>
        <w:t>7. Gestión y continuidad</w:t>
      </w:r>
    </w:p>
    <w:p>
      <w:pPr>
        <w:spacing w:after="120" w:line="259" w:lineRule="auto"/>
        <w:jc w:val="both"/>
      </w:pPr>
      <w:r>
        <w:rPr>
          <w:sz w:val="22"/>
        </w:rPr>
        <w:t>El reporte debe mantenerse relacionado con el Excel y con los demás documentos de la operación. De esta manera, si surge una duda sobre un importe, el responsable puede regresar a la base de datos y revisar el producto, cantidad y precio utilizados.</w:t>
      </w:r>
    </w:p>
    <w:p>
      <w:pPr>
        <w:spacing w:after="120" w:line="259" w:lineRule="auto"/>
        <w:jc w:val="both"/>
      </w:pPr>
      <w:r>
        <w:rPr>
          <w:sz w:val="22"/>
        </w:rPr>
        <w:t>Esta conexión entre documentos fortalece la trazabilidad y facilita la revisión. La gestión documental convierte los resultados del análisis en información que puede ser consultada y utilizada posteriormente por diferentes áreas.</w:t>
      </w:r>
    </w:p>
    <w:p>
      <w:pPr>
        <w:pStyle w:val="Heading1"/>
        <w:spacing w:after="120" w:line="259" w:lineRule="auto"/>
      </w:pPr>
      <w:r>
        <w:rPr>
          <w:sz w:val="22"/>
        </w:rPr>
        <w:t>Información complementaria</w:t>
      </w:r>
    </w:p>
    <w:p>
      <w:pPr>
        <w:spacing w:after="120" w:line="259" w:lineRule="auto"/>
        <w:jc w:val="both"/>
      </w:pPr>
      <w:r>
        <w:rPr>
          <w:sz w:val="22"/>
        </w:rPr>
        <w:t>La información de este documento forma parte del sistema de gestión digital de NicaTrade International y se relaciona con la operación de importación México–Nicaragua. Su organización permite que los integrantes del equipo consulten los datos de manera clara y mantengan una referencia común durante el desarrollo de las actividades comerciales.</w:t>
      </w:r>
    </w:p>
    <w:p>
      <w:pPr>
        <w:spacing w:after="120" w:line="259" w:lineRule="auto"/>
        <w:jc w:val="both"/>
      </w:pPr>
      <w:r>
        <w:rPr>
          <w:sz w:val="22"/>
        </w:rPr>
        <w:t>La gestión adecuada de información contribuye a mejorar la eficiencia administrativa. Cuando los documentos están correctamente identificados y organizados, es más sencillo localizar antecedentes, comprobar datos, preparar reportes y comunicar resultados. Esto también facilita la continuidad del trabajo cuando diferentes personas participan en una misma operación.</w:t>
      </w:r>
    </w:p>
    <w:p>
      <w:pPr>
        <w:spacing w:after="120" w:line="259" w:lineRule="auto"/>
        <w:jc w:val="both"/>
      </w:pPr>
      <w:r>
        <w:rPr>
          <w:sz w:val="22"/>
        </w:rPr>
        <w:t>El uso de herramientas digitales permite combinar información numérica y documental. Excel proporciona cálculos y resultados, Word permite desarrollar documentos formales, PowerPoint facilita la comunicación visual y la gestión documental permite conservar los archivos relacionados. La integración de estas herramientas ayuda a convertir datos dispersos en información útil para la empresa.</w:t>
      </w:r>
    </w:p>
    <w:p>
      <w:pPr>
        <w:spacing w:after="120" w:line="259" w:lineRule="auto"/>
        <w:jc w:val="both"/>
      </w:pPr>
      <w:r>
        <w:rPr>
          <w:sz w:val="22"/>
        </w:rPr>
        <w:t>En el contexto de una operación internacional, la información debe mantenerse coherente desde el momento en que se registra hasta que se presenta a la administración. La consistencia de nombres, fechas, cantidades, precios y documentos facilita la revisión y disminuye la posibilidad de utilizar información equivocada.</w:t>
      </w:r>
    </w:p>
    <w:p>
      <w:pPr>
        <w:spacing w:after="120" w:line="259" w:lineRule="auto"/>
        <w:jc w:val="both"/>
      </w:pPr>
      <w:r>
        <w:rPr>
          <w:sz w:val="22"/>
        </w:rPr>
        <w:t>Por último, mantener una documentación organizada fortalece la capacidad de la empresa para responder a consultas internas, preparar nuevos análisis y dar seguimiento a sus relaciones comerciales. La información registrada durante una operación puede convertirse en una referencia para futuras compras y decisiones administrativas.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