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40"/>
        </w:rPr>
        <w:t>COTIZACIÓN COMERCIAL – PROVEEDOR MÉXICO</w:t>
      </w:r>
    </w:p>
    <w:p>
      <w:pPr>
        <w:pStyle w:val="Heading1"/>
        <w:spacing w:after="120" w:line="259" w:lineRule="auto"/>
      </w:pPr>
      <w:r>
        <w:rPr>
          <w:sz w:val="22"/>
        </w:rPr>
        <w:t>Información del proveedor</w:t>
      </w:r>
    </w:p>
    <w:p>
      <w:pPr>
        <w:spacing w:after="120" w:line="259" w:lineRule="auto"/>
        <w:jc w:val="both"/>
      </w:pPr>
      <w:r>
        <w:rPr>
          <w:sz w:val="22"/>
        </w:rPr>
        <w:t>Proveedor: Comercializadora México Internacional S.A.</w:t>
      </w:r>
    </w:p>
    <w:p>
      <w:pPr>
        <w:spacing w:after="120" w:line="259" w:lineRule="auto"/>
        <w:jc w:val="both"/>
      </w:pPr>
      <w:r>
        <w:rPr>
          <w:sz w:val="22"/>
        </w:rPr>
        <w:t>País de origen: México. Mercado de destino: Nicaragua.</w:t>
      </w:r>
    </w:p>
    <w:p>
      <w:pPr>
        <w:spacing w:after="120" w:line="259" w:lineRule="auto"/>
        <w:jc w:val="both"/>
      </w:pPr>
      <w:r>
        <w:rPr>
          <w:sz w:val="22"/>
        </w:rPr>
        <w:t>Área responsable: Departamento de Comercio Internacional.</w:t>
      </w:r>
    </w:p>
    <w:p>
      <w:pPr>
        <w:spacing w:after="120" w:line="259" w:lineRule="auto"/>
        <w:jc w:val="both"/>
      </w:pPr>
      <w:r>
        <w:rPr>
          <w:sz w:val="22"/>
        </w:rPr>
        <w:t>La empresa proveedora ofrece productos de consumo destinados al abastecimiento del mercado nicaragüense.</w:t>
      </w:r>
    </w:p>
    <w:p>
      <w:pPr>
        <w:pStyle w:val="Heading1"/>
        <w:spacing w:after="120" w:line="259" w:lineRule="auto"/>
      </w:pPr>
      <w:r>
        <w:rPr>
          <w:sz w:val="22"/>
        </w:rPr>
        <w:t>Detalle de la cotización</w:t>
      </w:r>
    </w:p>
    <w:p>
      <w:pPr>
        <w:spacing w:after="120" w:line="259" w:lineRule="auto"/>
        <w:jc w:val="both"/>
      </w:pPr>
      <w:r>
        <w:rPr>
          <w:sz w:val="22"/>
        </w:rPr>
        <w:t>La cotización contempla productos alimenticios, accesorios, artículos para el hogar, oficina, tecnología, limpieza y bebidas. Los precios unitarios se expresan en dólares estadounidenses para facilitar la comparación y el registro contable.</w:t>
      </w:r>
    </w:p>
    <w:p>
      <w:pPr>
        <w:spacing w:after="120" w:line="259" w:lineRule="auto"/>
        <w:jc w:val="both"/>
      </w:pPr>
      <w:r>
        <w:rPr>
          <w:sz w:val="22"/>
        </w:rPr>
        <w:t>El valor de cada línea comercial se determina considerando la cantidad solicitada y el precio unitario. La información puede utilizarse posteriormente para preparar órdenes de compra, comparar alternativas y elaborar reportes internos.</w:t>
      </w:r>
    </w:p>
    <w:p>
      <w:pPr>
        <w:pStyle w:val="Heading1"/>
        <w:spacing w:after="120" w:line="259" w:lineRule="auto"/>
      </w:pPr>
      <w:r>
        <w:rPr>
          <w:sz w:val="22"/>
        </w:rPr>
        <w:t>Condiciones comerciales</w:t>
      </w:r>
    </w:p>
    <w:p>
      <w:pPr>
        <w:spacing w:after="120" w:line="259" w:lineRule="auto"/>
        <w:jc w:val="both"/>
      </w:pPr>
      <w:r>
        <w:rPr>
          <w:sz w:val="22"/>
        </w:rPr>
        <w:t>Los precios indicados corresponden a valores de referencia para la operación analizada. Las condiciones de entrega, transporte, documentación de comercio exterior y recepción de mercancías deben coordinarse entre las áreas comerciales y logísticas.</w:t>
      </w:r>
    </w:p>
    <w:p>
      <w:pPr>
        <w:spacing w:after="120" w:line="259" w:lineRule="auto"/>
        <w:jc w:val="both"/>
      </w:pPr>
      <w:r>
        <w:rPr>
          <w:sz w:val="22"/>
        </w:rPr>
        <w:t>La documentación de la operación debe conservarse junto con los registros de proveedores, reportes de importación y demás documentos relacionados con la compra internacional.</w:t>
      </w:r>
    </w:p>
    <w:p>
      <w:pPr>
        <w:pStyle w:val="Heading1"/>
        <w:spacing w:after="120" w:line="259" w:lineRule="auto"/>
      </w:pPr>
      <w:r>
        <w:rPr>
          <w:sz w:val="22"/>
        </w:rPr>
        <w:t>Observaciones</w:t>
      </w:r>
    </w:p>
    <w:p>
      <w:pPr>
        <w:spacing w:after="120" w:line="259" w:lineRule="auto"/>
        <w:jc w:val="both"/>
      </w:pPr>
      <w:r>
        <w:rPr>
          <w:sz w:val="22"/>
        </w:rPr>
        <w:t>La cotización constituye un documento comercial de referencia para organizar la información de la operación. Su contenido se relaciona con la base de datos de importación y con el informe ejecutivo preparado por NicaTrade International.</w:t>
      </w:r>
    </w:p>
    <w:p>
      <w:pPr>
        <w:pStyle w:val="Heading1"/>
        <w:spacing w:after="120" w:line="259" w:lineRule="auto"/>
      </w:pPr>
      <w:r>
        <w:rPr>
          <w:sz w:val="22"/>
        </w:rPr>
        <w:t>5. Relación con la operación</w:t>
      </w:r>
    </w:p>
    <w:p>
      <w:pPr>
        <w:spacing w:after="120" w:line="259" w:lineRule="auto"/>
        <w:jc w:val="both"/>
      </w:pPr>
      <w:r>
        <w:rPr>
          <w:sz w:val="22"/>
        </w:rPr>
        <w:t>La cotización constituye una referencia comercial para una operación de importación. Su función es presentar información que permita valorar una posible compra antes de que se concrete. La empresa puede comparar los precios de la cotización con los registros de otras operaciones y analizar el impacto económico de adquirir determinadas cantidades.</w:t>
      </w:r>
    </w:p>
    <w:p>
      <w:pPr>
        <w:spacing w:after="120" w:line="259" w:lineRule="auto"/>
        <w:jc w:val="both"/>
      </w:pPr>
      <w:r>
        <w:rPr>
          <w:sz w:val="22"/>
        </w:rPr>
        <w:t>En una operación internacional, la cotización puede complementarse con información sobre condiciones de entrega, tiempos, moneda, disponibilidad y características del producto. La correcta organización de estos datos facilita la comunicación entre el proveedor y el importador.</w:t>
      </w:r>
    </w:p>
    <w:p>
      <w:pPr>
        <w:pStyle w:val="Heading1"/>
        <w:spacing w:after="120" w:line="259" w:lineRule="auto"/>
      </w:pPr>
      <w:r>
        <w:rPr>
          <w:sz w:val="22"/>
        </w:rPr>
        <w:t>6. Análisis comercial</w:t>
      </w:r>
    </w:p>
    <w:p>
      <w:pPr>
        <w:spacing w:after="120" w:line="259" w:lineRule="auto"/>
        <w:jc w:val="both"/>
      </w:pPr>
      <w:r>
        <w:rPr>
          <w:sz w:val="22"/>
        </w:rPr>
        <w:t>El análisis de una cotización permite determinar cuáles productos representan una mayor inversión. Al multiplicar cantidad por precio unitario se obtiene el importe de cada línea y se puede establecer qué productos requieren mayor atención dentro de la compra.</w:t>
      </w:r>
    </w:p>
    <w:p>
      <w:pPr>
        <w:spacing w:after="120" w:line="259" w:lineRule="auto"/>
        <w:jc w:val="both"/>
      </w:pPr>
      <w:r>
        <w:rPr>
          <w:sz w:val="22"/>
        </w:rPr>
        <w:t>También es posible utilizar la información para comparar alternativas. Si diferentes proveedores ofrecen productos similares, la empresa puede revisar precios, condiciones y disponibilidad antes de seleccionar una opción. De esta manera, la información comercial se transforma en un apoyo para la toma de decisiones.</w:t>
      </w:r>
    </w:p>
    <w:p>
      <w:pPr>
        <w:pStyle w:val="Heading1"/>
        <w:spacing w:after="120" w:line="259" w:lineRule="auto"/>
      </w:pPr>
      <w:r>
        <w:rPr>
          <w:sz w:val="22"/>
        </w:rPr>
        <w:t>7. Archivo y seguimiento</w:t>
      </w:r>
    </w:p>
    <w:p>
      <w:pPr>
        <w:spacing w:after="120" w:line="259" w:lineRule="auto"/>
        <w:jc w:val="both"/>
      </w:pPr>
      <w:r>
        <w:rPr>
          <w:sz w:val="22"/>
        </w:rPr>
        <w:t>La cotización debe conservarse dentro del repositorio de la empresa porque representa parte del historial documental de la operación. Mantenerla junto con los registros de proveedores, reportes y análisis permite consultar posteriormente la información que sirvió como referencia para la compra.</w:t>
      </w:r>
    </w:p>
    <w:p>
      <w:pPr>
        <w:spacing w:after="120" w:line="259" w:lineRule="auto"/>
        <w:jc w:val="both"/>
      </w:pPr>
      <w:r>
        <w:rPr>
          <w:sz w:val="22"/>
        </w:rPr>
        <w:t>Un archivo ordenado facilita la recuperación del documento y reduce el riesgo de perder información comercial. Por ello, la cotización forma parte de la gestión documental y no debe considerarse únicamente como un archivo aislado.</w:t>
      </w:r>
    </w:p>
    <w:p>
      <w:pPr>
        <w:pStyle w:val="Heading1"/>
        <w:spacing w:after="120" w:line="259" w:lineRule="auto"/>
      </w:pPr>
      <w:r>
        <w:rPr>
          <w:sz w:val="22"/>
        </w:rPr>
        <w:t>Información complementaria</w:t>
      </w:r>
    </w:p>
    <w:p>
      <w:pPr>
        <w:spacing w:after="120" w:line="259" w:lineRule="auto"/>
        <w:jc w:val="both"/>
      </w:pPr>
      <w:r>
        <w:rPr>
          <w:sz w:val="22"/>
        </w:rPr>
        <w:t>La información de este documento forma parte del sistema de gestión digital de NicaTrade International y se relaciona con la operación de importación México–Nicaragua. Su organización permite que los integrantes del equipo consulten los datos de manera clara y mantengan una referencia común durante el desarrollo de las actividades comerciales.</w:t>
      </w:r>
    </w:p>
    <w:p>
      <w:pPr>
        <w:spacing w:after="120" w:line="259" w:lineRule="auto"/>
        <w:jc w:val="both"/>
      </w:pPr>
      <w:r>
        <w:rPr>
          <w:sz w:val="22"/>
        </w:rPr>
        <w:t>La gestión adecuada de información contribuye a mejorar la eficiencia administrativa. Cuando los documentos están correctamente identificados y organizados, es más sencillo localizar antecedentes, comprobar datos, preparar reportes y comunicar resultados. Esto también facilita la continuidad del trabajo cuando diferentes personas participan en una misma operación.</w:t>
      </w:r>
    </w:p>
    <w:p>
      <w:pPr>
        <w:spacing w:after="120" w:line="259" w:lineRule="auto"/>
        <w:jc w:val="both"/>
      </w:pPr>
      <w:r>
        <w:rPr>
          <w:sz w:val="22"/>
        </w:rPr>
        <w:t>El uso de herramientas digitales permite combinar información numérica y documental. Excel proporciona cálculos y resultados, Word permite desarrollar documentos formales, PowerPoint facilita la comunicación visual y la gestión documental permite conservar los archivos relacionados. La integración de estas herramientas ayuda a convertir datos dispersos en información útil para la empresa.</w:t>
      </w:r>
    </w:p>
    <w:p>
      <w:pPr>
        <w:spacing w:after="120" w:line="259" w:lineRule="auto"/>
        <w:jc w:val="both"/>
      </w:pPr>
      <w:r>
        <w:rPr>
          <w:sz w:val="22"/>
        </w:rPr>
        <w:t>En el contexto de una operación internacional, la información debe mantenerse coherente desde el momento en que se registra hasta que se presenta a la administración. La consistencia de nombres, fechas, cantidades, precios y documentos facilita la revisión y disminuye la posibilidad de utilizar información equivocada.</w:t>
      </w:r>
    </w:p>
    <w:p>
      <w:pPr>
        <w:spacing w:after="120" w:line="259" w:lineRule="auto"/>
        <w:jc w:val="both"/>
      </w:pPr>
      <w:r>
        <w:rPr>
          <w:sz w:val="22"/>
        </w:rPr>
        <w:t>Por último, mantener una documentación organizada fortalece la capacidad de la empresa para responder a consultas internas, preparar nuevos análisis y dar seguimiento a sus relaciones comerciales. La información registrada durante una operación puede convertirse en una referencia para futuras compras y decisiones administrativas.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