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NicaTrade International</w:t>
      </w:r>
    </w:p>
    <w:p>
      <w:pPr>
        <w:jc w:val="center"/>
      </w:pPr>
      <w:r>
        <w:rPr>
          <w:b/>
          <w:sz w:val="24"/>
        </w:rPr>
        <w:t>Informe Ejecutivo — Operación de Importación México → Nicaragua</w:t>
      </w:r>
    </w:p>
    <w:p>
      <w:pPr>
        <w:jc w:val="center"/>
      </w:pPr>
      <w:r>
        <w:rPr>
          <w:i/>
        </w:rPr>
        <w:t>Proyecto académico | Gestión Digital de Información</w:t>
      </w:r>
    </w:p>
    <w:p>
      <w:pPr>
        <w:pStyle w:val="Heading1"/>
      </w:pPr>
      <w:r>
        <w:t>1. Descripción de la operación</w:t>
      </w:r>
    </w:p>
    <w:p>
      <w:r>
        <w:t>NicaTrade International es una empresa nicaragüense dedicada a la importación y exportación de productos alimenticios y de consumo hacia diferentes mercados de Centroamérica. El caso analizado corresponde a una operación de importación desde México hacia Nicaragua. La información incluye productos, cantidades, precios unitarios e importes totales.</w:t>
      </w:r>
    </w:p>
    <w:p>
      <w:pPr>
        <w:pStyle w:val="Heading1"/>
      </w:pPr>
      <w:r>
        <w:t>2. Productos y procesamiento de datos</w:t>
      </w:r>
    </w:p>
    <w:p>
      <w:r>
        <w:t>El análisis en Excel procesa 50 productos registrados. Para cada producto se calcula el importe total mediante cantidad multiplicada por precio unitario. Además, se utiliza una clasificación con la función SI para distinguir entre “Importe Alto” e “Importe Normal”, tomando como referencia un importe superior a US$1,000.</w:t>
      </w:r>
    </w:p>
    <w:p>
      <w:pPr>
        <w:pStyle w:val="Heading1"/>
      </w:pPr>
      <w:r>
        <w:t>3. Resultados principales</w:t>
      </w:r>
    </w:p>
    <w:tbl>
      <w:tblPr>
        <w:tblStyle w:val="TableGrid"/>
        <w:tblW w:type="auto" w:w="0"/>
        <w:tblLook w:firstColumn="1" w:firstRow="1" w:lastColumn="0" w:lastRow="0" w:noHBand="0" w:noVBand="1" w:val="04A0"/>
      </w:tblPr>
      <w:tblGrid>
        <w:gridCol w:w="4320"/>
        <w:gridCol w:w="4320"/>
      </w:tblGrid>
      <w:tr>
        <w:tc>
          <w:tcPr>
            <w:tcW w:type="dxa" w:w="4320"/>
          </w:tcPr>
          <w:p>
            <w:r>
              <w:t>Indicador</w:t>
            </w:r>
          </w:p>
        </w:tc>
        <w:tc>
          <w:tcPr>
            <w:tcW w:type="dxa" w:w="4320"/>
          </w:tcPr>
          <w:p>
            <w:r>
              <w:t>Resultado</w:t>
            </w:r>
          </w:p>
        </w:tc>
      </w:tr>
      <w:tr>
        <w:tc>
          <w:tcPr>
            <w:tcW w:type="dxa" w:w="4320"/>
          </w:tcPr>
          <w:p>
            <w:r>
              <w:t>Importe total</w:t>
            </w:r>
          </w:p>
        </w:tc>
        <w:tc>
          <w:tcPr>
            <w:tcW w:type="dxa" w:w="4320"/>
          </w:tcPr>
          <w:p>
            <w:r>
              <w:t>US$40,359.00</w:t>
            </w:r>
          </w:p>
        </w:tc>
      </w:tr>
      <w:tr>
        <w:tc>
          <w:tcPr>
            <w:tcW w:type="dxa" w:w="4320"/>
          </w:tcPr>
          <w:p>
            <w:r>
              <w:t>Productos registrados</w:t>
            </w:r>
          </w:p>
        </w:tc>
        <w:tc>
          <w:tcPr>
            <w:tcW w:type="dxa" w:w="4320"/>
          </w:tcPr>
          <w:p>
            <w:r>
              <w:t>50</w:t>
            </w:r>
          </w:p>
        </w:tc>
      </w:tr>
      <w:tr>
        <w:tc>
          <w:tcPr>
            <w:tcW w:type="dxa" w:w="4320"/>
          </w:tcPr>
          <w:p>
            <w:r>
              <w:t>Precio promedio</w:t>
            </w:r>
          </w:p>
        </w:tc>
        <w:tc>
          <w:tcPr>
            <w:tcW w:type="dxa" w:w="4320"/>
          </w:tcPr>
          <w:p>
            <w:r>
              <w:t>US$7.74</w:t>
            </w:r>
          </w:p>
        </w:tc>
      </w:tr>
      <w:tr>
        <w:tc>
          <w:tcPr>
            <w:tcW w:type="dxa" w:w="4320"/>
          </w:tcPr>
          <w:p>
            <w:r>
              <w:t>Importe de productos de México</w:t>
            </w:r>
          </w:p>
        </w:tc>
        <w:tc>
          <w:tcPr>
            <w:tcW w:type="dxa" w:w="4320"/>
          </w:tcPr>
          <w:p>
            <w:r>
              <w:t>US$36,919.50</w:t>
            </w:r>
          </w:p>
        </w:tc>
      </w:tr>
      <w:tr>
        <w:tc>
          <w:tcPr>
            <w:tcW w:type="dxa" w:w="4320"/>
          </w:tcPr>
          <w:p>
            <w:r>
              <w:t>Mayor importe</w:t>
            </w:r>
          </w:p>
        </w:tc>
        <w:tc>
          <w:tcPr>
            <w:tcW w:type="dxa" w:w="4320"/>
          </w:tcPr>
          <w:p>
            <w:r>
              <w:t>Mochilas (MEX-043) — US$1,912.50</w:t>
            </w:r>
          </w:p>
        </w:tc>
      </w:tr>
    </w:tbl>
    <w:p>
      <w:pPr>
        <w:pStyle w:val="Heading1"/>
      </w:pPr>
      <w:r>
        <w:t>4. Importancia de la gestión digital</w:t>
      </w:r>
    </w:p>
    <w:p>
      <w:r>
        <w:t>Organizar y analizar correctamente la información permite localizar datos con mayor facilidad, reducir duplicaciones, compartir documentos y disponer de información procesada para apoyar una operación comercial. En este proyecto, Excel procesa los datos, Word documenta los resultados, PowerPoint comunica los hallazgos, Google Drive organiza y facilita la colaboración, y GitHub funciona como repositorio digital y registro básico de cambios.</w:t>
      </w:r>
    </w:p>
    <w:p>
      <w:pPr>
        <w:pStyle w:val="Heading1"/>
      </w:pPr>
      <w:r>
        <w:t>5. Conclusión</w:t>
      </w:r>
    </w:p>
    <w:p>
      <w:r>
        <w:t>El microproyecto demuestra que la gestión de información empresarial requiere un proceso integrado y no solamente almacenamiento de archivos. Para NicaTrade International, la combinación de herramientas digitales permite pasar de datos dispersos a información organizada, procesada, comunicada y recuperable. Esta integración apoya la gestión documental de una operación internacional y facilita que los documentos relacionados permanezcan disponibles y estructurados.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