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Informe de Inteligencia Comercial – Nicaragua Exporta</w:t>
      </w:r>
    </w:p>
    <w:p>
      <w:pPr>
        <w:pStyle w:val="Heading2"/>
      </w:pPr>
      <w:r>
        <w:t>1. Situación actual</w:t>
      </w:r>
    </w:p>
    <w:p>
      <w:pPr>
        <w:jc w:val="both"/>
      </w:pPr>
      <w:r>
        <w:t>Nicaragua Exporta S.A. es una empresa ficticia dedicada a la comercialización y exportación de productos nicaragüenses hacia distintos mercados internacionales.</w:t>
      </w:r>
    </w:p>
    <w:p>
      <w:pPr>
        <w:pStyle w:val="Heading2"/>
      </w:pPr>
      <w:r>
        <w:t>2. Principales productos exportados</w:t>
      </w:r>
    </w:p>
    <w:p>
      <w:pPr>
        <w:jc w:val="both"/>
      </w:pPr>
      <w:r>
        <w:t>Café oro es el producto con mayor valor total en el período analizado. El análisis completo se encuentra en el archivo Excel de exportaciones.</w:t>
      </w:r>
    </w:p>
    <w:p>
      <w:pPr>
        <w:pStyle w:val="Heading2"/>
      </w:pPr>
      <w:r>
        <w:t>3. Principales mercados</w:t>
      </w:r>
    </w:p>
    <w:p>
      <w:pPr>
        <w:jc w:val="both"/>
      </w:pPr>
      <w:r>
        <w:t>Estados Unidos es el principal mercado por valor acumulado en las operaciones de julio a septiembre de 2026.</w:t>
      </w:r>
    </w:p>
    <w:p>
      <w:pPr>
        <w:pStyle w:val="Heading2"/>
      </w:pPr>
      <w:r>
        <w:t>4. Clientes internacionales</w:t>
      </w:r>
    </w:p>
    <w:p>
      <w:pPr>
        <w:jc w:val="both"/>
      </w:pPr>
      <w:r>
        <w:t>Iberia Seafood representa el mayor valor acumulado entre los clientes analizados.</w:t>
      </w:r>
    </w:p>
    <w:p>
      <w:pPr>
        <w:pStyle w:val="Heading2"/>
      </w:pPr>
      <w:r>
        <w:t>5. Hallazgos</w:t>
      </w:r>
    </w:p>
    <w:p>
      <w:pPr>
        <w:jc w:val="both"/>
      </w:pPr>
      <w:r>
        <w:t>1) Café oro concentra el mayor valor. 2) Estados Unidos es el principal destino. 3) Iberia Seafood es el cliente de mayor valor. 4) El valor de cada operación depende de cantidad y precio por kg. 5) Las operaciones utilizan distintos Incoterms.</w:t>
      </w:r>
    </w:p>
    <w:p>
      <w:pPr>
        <w:pStyle w:val="Heading2"/>
      </w:pPr>
      <w:r>
        <w:t>6. Recomendaciones</w:t>
      </w:r>
    </w:p>
    <w:p>
      <w:pPr>
        <w:jc w:val="both"/>
      </w:pPr>
      <w:r>
        <w:t>1) Priorizar seguimiento comercial de los mercados con mayor valor. 2) Fortalecer las relaciones con los clientes de mayor aporte. 3) Monitorear volumen, precio e Incoterm en las operaciones de mayor valor.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