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Permisos y sistema de nomenclatura – Nicaragua Exporta</w:t>
      </w:r>
    </w:p>
    <w:p>
      <w:pPr>
        <w:pStyle w:val="Heading2"/>
      </w:pPr>
      <w:r>
        <w:t>Nomenclatura aplicada</w:t>
      </w:r>
    </w:p>
    <w:p>
      <w:pPr>
        <w:jc w:val="both"/>
      </w:pPr>
      <w:r>
        <w:t>Formato: AREA_DOCUMENTO_PRODUCTO_PAIS_FECHA_VERSION. Ejemplo: EXP_FACTURA_CAFE_USA_2026-07_V01.</w:t>
      </w:r>
    </w:p>
    <w:p>
      <w:pPr>
        <w:pStyle w:val="Heading2"/>
      </w:pPr>
      <w:r>
        <w:t>Permisos propuestos para Google Drive</w:t>
      </w:r>
    </w:p>
    <w:p>
      <w:pPr>
        <w:jc w:val="both"/>
      </w:pPr>
      <w:r>
        <w:t>Administrador del repositorio: Editor. Analista de Comercio Internacional: Editor de archivos de análisis. Analista de Mercados: Editor de informes. Información de clientes: acceso restringido a miembros del equipo; evitar edición pública.</w:t>
      </w:r>
    </w:p>
    <w:p>
      <w:pPr>
        <w:pStyle w:val="Heading2"/>
      </w:pPr>
      <w:r>
        <w:t>Justificación</w:t>
      </w:r>
    </w:p>
    <w:p>
      <w:pPr>
        <w:jc w:val="both"/>
      </w:pPr>
      <w:r>
        <w:t>Un documento con información de clientes internacionales no debe estar disponible para edición pública porque puede contener datos comerciales que deben conservarse íntegros y controlados. La edición restringida reduce modificaciones no autorizadas y facilita la trazabilidad.</w:t>
      </w:r>
    </w:p>
    <w:p>
      <w:pPr>
        <w:pStyle w:val="Heading2"/>
      </w:pPr>
      <w:r>
        <w:t>Estructura</w:t>
      </w:r>
    </w:p>
    <w:p>
      <w:pPr>
        <w:jc w:val="both"/>
      </w:pPr>
      <w:r>
        <w:t>Exportaciones; Clientes Internacionales; Proveedores Nacionales; Documentación Comercial; Reportes; Trabajo Colaborativo; Gestión; Evidencias.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