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007FFF"/>
          <w:sz w:val="60"/>
          <w:szCs w:val="60"/>
        </w:rPr>
        <w:t xml:space="preserve">GO-TO-MARKET</w:t>
      </w:r>
    </w:p>
    <w:p>
      <w:pPr>
        <w:spacing w:after="80"/>
        <w:jc w:val="center"/>
      </w:pPr>
      <w:r>
        <w:rPr>
          <w:color w:val="555555"/>
          <w:sz w:val="34"/>
          <w:szCs w:val="34"/>
        </w:rPr>
        <w:t xml:space="preserve">Le Congo D'Abord</w:t>
      </w:r>
    </w:p>
    <w:p>
      <w:pPr>
        <w:spacing w:after="60"/>
        <w:jc w:val="center"/>
      </w:pPr>
      <w:r>
        <w:rPr>
          <w:b/>
          <w:bCs/>
          <w:color w:val="0055CC"/>
          <w:sz w:val="24"/>
          <w:szCs w:val="24"/>
        </w:rPr>
        <w:t xml:space="preserve">Plan de lancement — Ville pilote : KINSHASA</w:t>
      </w:r>
    </w:p>
    <w:p>
      <w:pPr>
        <w:spacing w:after="400"/>
        <w:jc w:val="center"/>
      </w:pPr>
      <w:r>
        <w:rPr>
          <w:color w:val="555555"/>
          <w:sz w:val="20"/>
          <w:szCs w:val="20"/>
        </w:rPr>
        <w:t xml:space="preserve">Fenêtre de lancement : 2027  ·  Cotisation 1 USD/mois (12 USD/an)</w:t>
      </w:r>
    </w:p>
    <w:p>
      <w:pPr>
        <w:spacing w:before="600"/>
        <w:jc w:val="center"/>
      </w:pPr>
      <w:r>
        <w:rPr>
          <w:i/>
          <w:iCs/>
          <w:color w:val="CE1126"/>
          <w:sz w:val="24"/>
          <w:szCs w:val="24"/>
        </w:rPr>
        <w:t xml:space="preserve">« La compétence avant les promesses »</w:t>
      </w:r>
    </w:p>
    <w:p>
      <w:pPr>
        <w:spacing w:before="1600"/>
        <w:jc w:val="center"/>
      </w:pPr>
      <w:r>
        <w:rPr>
          <w:i/>
          <w:iCs/>
          <w:color w:val="555555"/>
          <w:sz w:val="16"/>
          <w:szCs w:val="16"/>
        </w:rPr>
        <w:t xml:space="preserve">Toutes les valeurs monétaires sont des ESTIMATIONS en USD, à confirmer par devis fournisseurs.</w:t>
      </w:r>
    </w:p>
    <w:p>
      <w:r>
        <w:br w:type="page"/>
      </w:r>
    </w:p>
    <w:p>
      <w:pPr>
        <w:pStyle w:val="Heading1"/>
        <w:spacing w:after="140" w:before="340"/>
      </w:pPr>
      <w:r>
        <w:rPr>
          <w:color w:val="0055CC"/>
        </w:rPr>
        <w:t xml:space="preserve">Résumé exécutif</w:t>
      </w:r>
    </w:p>
    <w:p>
      <w:pPr>
        <w:spacing w:after="130"/>
      </w:pPr>
      <w:r>
        <w:rPr>
          <w:sz w:val="22"/>
          <w:szCs w:val="22"/>
        </w:rPr>
        <w:t xml:space="preserve">Le Congo D'Abord lance à Kinshasa un modèle d'acquisition organique-first : WhatsApp, mérite et une boucle de recommandation portent la croissance, avec un budget marketing initial volontairement modeste. Ce document verrouille la ville pilote (Kinshasa), fixe le plan 30/60/90, cartographie les fournisseurs et leur sourcing, et fournit deux budgets chiffrés (bootstrap et financé).</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40"/>
      </w:tblGrid>
      <w:tr>
        <w:trPr>
          <w:tblHeader/>
        </w:trPr>
        <w:tc>
          <w:tcPr>
            <w:tcW w:type="dxa" w:w="2600"/>
            <w:shd w:fill="007FFF" w:val="clear"/>
            <w:tcMar>
              <w:top w:type="dxa" w:w="60"/>
              <w:left w:type="dxa" w:w="100"/>
              <w:bottom w:type="dxa" w:w="60"/>
              <w:right w:type="dxa" w:w="100"/>
            </w:tcMar>
          </w:tcPr>
          <w:p>
            <w:r>
              <w:rPr>
                <w:b/>
                <w:bCs/>
                <w:color w:val="FFFFFF"/>
                <w:sz w:val="18"/>
                <w:szCs w:val="18"/>
              </w:rPr>
              <w:t xml:space="preserve">Indicateur</w:t>
            </w:r>
          </w:p>
        </w:tc>
        <w:tc>
          <w:tcPr>
            <w:tcW w:type="dxa" w:w="2000"/>
            <w:shd w:fill="007FFF" w:val="clear"/>
            <w:tcMar>
              <w:top w:type="dxa" w:w="60"/>
              <w:left w:type="dxa" w:w="100"/>
              <w:bottom w:type="dxa" w:w="60"/>
              <w:right w:type="dxa" w:w="100"/>
            </w:tcMar>
          </w:tcPr>
          <w:p>
            <w:r>
              <w:rPr>
                <w:b/>
                <w:bCs/>
                <w:color w:val="FFFFFF"/>
                <w:sz w:val="18"/>
                <w:szCs w:val="18"/>
              </w:rPr>
              <w:t xml:space="preserve">Cible</w:t>
            </w:r>
          </w:p>
        </w:tc>
        <w:tc>
          <w:tcPr>
            <w:tcW w:type="dxa" w:w="4640"/>
            <w:shd w:fill="007FFF" w:val="clear"/>
            <w:tcMar>
              <w:top w:type="dxa" w:w="60"/>
              <w:left w:type="dxa" w:w="100"/>
              <w:bottom w:type="dxa" w:w="60"/>
              <w:right w:type="dxa" w:w="100"/>
            </w:tcMar>
          </w:tcPr>
          <w:p>
            <w:r>
              <w:rPr>
                <w:b/>
                <w:bCs/>
                <w:color w:val="FFFFFF"/>
                <w:sz w:val="18"/>
                <w:szCs w:val="18"/>
              </w:rPr>
              <w:t xml:space="preserve">Note</w:t>
            </w:r>
          </w:p>
        </w:tc>
      </w:tr>
      <w:tr>
        <w:tc>
          <w:tcPr>
            <w:tcW w:type="dxa" w:w="2600"/>
            <w:tcMar>
              <w:top w:type="dxa" w:w="60"/>
              <w:left w:type="dxa" w:w="100"/>
              <w:bottom w:type="dxa" w:w="60"/>
              <w:right w:type="dxa" w:w="100"/>
            </w:tcMar>
          </w:tcPr>
          <w:p>
            <w:r>
              <w:rPr>
                <w:b w:val="false"/>
                <w:bCs w:val="false"/>
                <w:sz w:val="20"/>
                <w:szCs w:val="20"/>
              </w:rPr>
              <w:t xml:space="preserve">Cotisation</w:t>
            </w:r>
          </w:p>
        </w:tc>
        <w:tc>
          <w:tcPr>
            <w:tcW w:type="dxa" w:w="2000"/>
            <w:tcMar>
              <w:top w:type="dxa" w:w="60"/>
              <w:left w:type="dxa" w:w="100"/>
              <w:bottom w:type="dxa" w:w="60"/>
              <w:right w:type="dxa" w:w="100"/>
            </w:tcMar>
          </w:tcPr>
          <w:p>
            <w:r>
              <w:rPr>
                <w:b w:val="false"/>
                <w:bCs w:val="false"/>
                <w:sz w:val="20"/>
                <w:szCs w:val="20"/>
              </w:rPr>
              <w:t xml:space="preserve">1 USD/mois · 12 USD/an</w:t>
            </w:r>
          </w:p>
        </w:tc>
        <w:tc>
          <w:tcPr>
            <w:tcW w:type="dxa" w:w="4640"/>
            <w:tcMar>
              <w:top w:type="dxa" w:w="60"/>
              <w:left w:type="dxa" w:w="100"/>
              <w:bottom w:type="dxa" w:w="60"/>
              <w:right w:type="dxa" w:w="100"/>
            </w:tcMar>
          </w:tcPr>
          <w:p>
            <w:r>
              <w:rPr>
                <w:b w:val="false"/>
                <w:bCs w:val="false"/>
                <w:sz w:val="20"/>
                <w:szCs w:val="20"/>
              </w:rPr>
              <w:t xml:space="preserve">Barrière d’entrée la plus basse du marché</w:t>
            </w:r>
          </w:p>
        </w:tc>
      </w:tr>
      <w:tr>
        <w:tc>
          <w:tcPr>
            <w:tcW w:type="dxa" w:w="2600"/>
            <w:shd w:fill="F4F8FC" w:val="clear"/>
            <w:tcMar>
              <w:top w:type="dxa" w:w="60"/>
              <w:left w:type="dxa" w:w="100"/>
              <w:bottom w:type="dxa" w:w="60"/>
              <w:right w:type="dxa" w:w="100"/>
            </w:tcMar>
          </w:tcPr>
          <w:p>
            <w:r>
              <w:rPr>
                <w:b w:val="false"/>
                <w:bCs w:val="false"/>
                <w:sz w:val="20"/>
                <w:szCs w:val="20"/>
              </w:rPr>
              <w:t xml:space="preserve">Seuil de rentabilité</w:t>
            </w:r>
          </w:p>
        </w:tc>
        <w:tc>
          <w:tcPr>
            <w:tcW w:type="dxa" w:w="2000"/>
            <w:shd w:fill="F4F8FC" w:val="clear"/>
            <w:tcMar>
              <w:top w:type="dxa" w:w="60"/>
              <w:left w:type="dxa" w:w="100"/>
              <w:bottom w:type="dxa" w:w="60"/>
              <w:right w:type="dxa" w:w="100"/>
            </w:tcMar>
          </w:tcPr>
          <w:p>
            <w:r>
              <w:rPr>
                <w:b/>
                <w:bCs/>
                <w:sz w:val="20"/>
                <w:szCs w:val="20"/>
              </w:rPr>
              <w:t xml:space="preserve">~120 membres cotisants</w:t>
            </w:r>
          </w:p>
        </w:tc>
        <w:tc>
          <w:tcPr>
            <w:tcW w:type="dxa" w:w="4640"/>
            <w:shd w:fill="F4F8FC" w:val="clear"/>
            <w:tcMar>
              <w:top w:type="dxa" w:w="60"/>
              <w:left w:type="dxa" w:w="100"/>
              <w:bottom w:type="dxa" w:w="60"/>
              <w:right w:type="dxa" w:w="100"/>
            </w:tcMar>
          </w:tcPr>
          <w:p>
            <w:r>
              <w:rPr>
                <w:b w:val="false"/>
                <w:bCs w:val="false"/>
                <w:sz w:val="20"/>
                <w:szCs w:val="20"/>
              </w:rPr>
              <w:t xml:space="preserve">Couvre l’overhead fixe mensuel</w:t>
            </w:r>
          </w:p>
        </w:tc>
      </w:tr>
      <w:tr>
        <w:tc>
          <w:tcPr>
            <w:tcW w:type="dxa" w:w="2600"/>
            <w:tcMar>
              <w:top w:type="dxa" w:w="60"/>
              <w:left w:type="dxa" w:w="100"/>
              <w:bottom w:type="dxa" w:w="60"/>
              <w:right w:type="dxa" w:w="100"/>
            </w:tcMar>
          </w:tcPr>
          <w:p>
            <w:r>
              <w:rPr>
                <w:b w:val="false"/>
                <w:bCs w:val="false"/>
                <w:sz w:val="20"/>
                <w:szCs w:val="20"/>
              </w:rPr>
              <w:t xml:space="preserve">Marge à l’échelle</w:t>
            </w:r>
          </w:p>
        </w:tc>
        <w:tc>
          <w:tcPr>
            <w:tcW w:type="dxa" w:w="2000"/>
            <w:tcMar>
              <w:top w:type="dxa" w:w="60"/>
              <w:left w:type="dxa" w:w="100"/>
              <w:bottom w:type="dxa" w:w="60"/>
              <w:right w:type="dxa" w:w="100"/>
            </w:tcMar>
          </w:tcPr>
          <w:p>
            <w:r>
              <w:rPr>
                <w:b/>
                <w:bCs/>
                <w:color w:val="1E7A4D"/>
                <w:sz w:val="20"/>
                <w:szCs w:val="20"/>
              </w:rPr>
              <w:t xml:space="preserve">85–90 %</w:t>
            </w:r>
          </w:p>
        </w:tc>
        <w:tc>
          <w:tcPr>
            <w:tcW w:type="dxa" w:w="4640"/>
            <w:tcMar>
              <w:top w:type="dxa" w:w="60"/>
              <w:left w:type="dxa" w:w="100"/>
              <w:bottom w:type="dxa" w:w="60"/>
              <w:right w:type="dxa" w:w="100"/>
            </w:tcMar>
          </w:tcPr>
          <w:p>
            <w:r>
              <w:rPr>
                <w:b w:val="false"/>
                <w:bCs w:val="false"/>
                <w:sz w:val="20"/>
                <w:szCs w:val="20"/>
              </w:rPr>
              <w:t xml:space="preserve">Si encaissement annuel + IA plafonnée</w:t>
            </w:r>
          </w:p>
        </w:tc>
      </w:tr>
      <w:tr>
        <w:tc>
          <w:tcPr>
            <w:tcW w:type="dxa" w:w="2600"/>
            <w:shd w:fill="F4F8FC" w:val="clear"/>
            <w:tcMar>
              <w:top w:type="dxa" w:w="60"/>
              <w:left w:type="dxa" w:w="100"/>
              <w:bottom w:type="dxa" w:w="60"/>
              <w:right w:type="dxa" w:w="100"/>
            </w:tcMar>
          </w:tcPr>
          <w:p>
            <w:r>
              <w:rPr>
                <w:b w:val="false"/>
                <w:bCs w:val="false"/>
                <w:sz w:val="20"/>
                <w:szCs w:val="20"/>
              </w:rPr>
              <w:t xml:space="preserve">Actifs SEO prêts</w:t>
            </w:r>
          </w:p>
        </w:tc>
        <w:tc>
          <w:tcPr>
            <w:tcW w:type="dxa" w:w="2000"/>
            <w:shd w:fill="F4F8FC" w:val="clear"/>
            <w:tcMar>
              <w:top w:type="dxa" w:w="60"/>
              <w:left w:type="dxa" w:w="100"/>
              <w:bottom w:type="dxa" w:w="60"/>
              <w:right w:type="dxa" w:w="100"/>
            </w:tcMar>
          </w:tcPr>
          <w:p>
            <w:r>
              <w:rPr>
                <w:b w:val="false"/>
                <w:bCs w:val="false"/>
                <w:sz w:val="20"/>
                <w:szCs w:val="20"/>
              </w:rPr>
              <w:t xml:space="preserve">115 pages</w:t>
            </w:r>
          </w:p>
        </w:tc>
        <w:tc>
          <w:tcPr>
            <w:tcW w:type="dxa" w:w="4640"/>
            <w:shd w:fill="F4F8FC" w:val="clear"/>
            <w:tcMar>
              <w:top w:type="dxa" w:w="60"/>
              <w:left w:type="dxa" w:w="100"/>
              <w:bottom w:type="dxa" w:w="60"/>
              <w:right w:type="dxa" w:w="100"/>
            </w:tcMar>
          </w:tcPr>
          <w:p>
            <w:r>
              <w:rPr>
                <w:b w:val="false"/>
                <w:bCs w:val="false"/>
                <w:sz w:val="20"/>
                <w:szCs w:val="20"/>
              </w:rPr>
              <w:t xml:space="preserve">FR + Lingala + Swahili + 26 provinces</w:t>
            </w:r>
          </w:p>
        </w:tc>
      </w:tr>
      <w:tr>
        <w:tc>
          <w:tcPr>
            <w:tcW w:type="dxa" w:w="2600"/>
            <w:tcMar>
              <w:top w:type="dxa" w:w="60"/>
              <w:left w:type="dxa" w:w="100"/>
              <w:bottom w:type="dxa" w:w="60"/>
              <w:right w:type="dxa" w:w="100"/>
            </w:tcMar>
          </w:tcPr>
          <w:p>
            <w:r>
              <w:rPr>
                <w:b w:val="false"/>
                <w:bCs w:val="false"/>
                <w:sz w:val="20"/>
                <w:szCs w:val="20"/>
              </w:rPr>
              <w:t xml:space="preserve">Budget lancement (lean)</w:t>
            </w:r>
          </w:p>
        </w:tc>
        <w:tc>
          <w:tcPr>
            <w:tcW w:type="dxa" w:w="2000"/>
            <w:tcMar>
              <w:top w:type="dxa" w:w="60"/>
              <w:left w:type="dxa" w:w="100"/>
              <w:bottom w:type="dxa" w:w="60"/>
              <w:right w:type="dxa" w:w="100"/>
            </w:tcMar>
          </w:tcPr>
          <w:p>
            <w:r>
              <w:rPr>
                <w:b/>
                <w:bCs/>
                <w:sz w:val="20"/>
                <w:szCs w:val="20"/>
              </w:rPr>
              <w:t xml:space="preserve">~1 500–2 000 USD</w:t>
            </w:r>
          </w:p>
        </w:tc>
        <w:tc>
          <w:tcPr>
            <w:tcW w:type="dxa" w:w="4640"/>
            <w:tcMar>
              <w:top w:type="dxa" w:w="60"/>
              <w:left w:type="dxa" w:w="100"/>
              <w:bottom w:type="dxa" w:w="60"/>
              <w:right w:type="dxa" w:w="100"/>
            </w:tcMar>
          </w:tcPr>
          <w:p>
            <w:r>
              <w:rPr>
                <w:b w:val="false"/>
                <w:bCs w:val="false"/>
                <w:sz w:val="20"/>
                <w:szCs w:val="20"/>
              </w:rPr>
              <w:t xml:space="preserve">90 jours, bootstrap</w:t>
            </w:r>
          </w:p>
        </w:tc>
      </w:tr>
      <w:tr>
        <w:tc>
          <w:tcPr>
            <w:tcW w:type="dxa" w:w="2600"/>
            <w:shd w:fill="F4F8FC" w:val="clear"/>
            <w:tcMar>
              <w:top w:type="dxa" w:w="60"/>
              <w:left w:type="dxa" w:w="100"/>
              <w:bottom w:type="dxa" w:w="60"/>
              <w:right w:type="dxa" w:w="100"/>
            </w:tcMar>
          </w:tcPr>
          <w:p>
            <w:r>
              <w:rPr>
                <w:b w:val="false"/>
                <w:bCs w:val="false"/>
                <w:sz w:val="20"/>
                <w:szCs w:val="20"/>
              </w:rPr>
              <w:t xml:space="preserve">Budget lancement (financé)</w:t>
            </w:r>
          </w:p>
        </w:tc>
        <w:tc>
          <w:tcPr>
            <w:tcW w:type="dxa" w:w="2000"/>
            <w:shd w:fill="F4F8FC" w:val="clear"/>
            <w:tcMar>
              <w:top w:type="dxa" w:w="60"/>
              <w:left w:type="dxa" w:w="100"/>
              <w:bottom w:type="dxa" w:w="60"/>
              <w:right w:type="dxa" w:w="100"/>
            </w:tcMar>
          </w:tcPr>
          <w:p>
            <w:r>
              <w:rPr>
                <w:b/>
                <w:bCs/>
                <w:sz w:val="20"/>
                <w:szCs w:val="20"/>
              </w:rPr>
              <w:t xml:space="preserve">~13 000–15 000 USD</w:t>
            </w:r>
          </w:p>
        </w:tc>
        <w:tc>
          <w:tcPr>
            <w:tcW w:type="dxa" w:w="4640"/>
            <w:shd w:fill="F4F8FC" w:val="clear"/>
            <w:tcMar>
              <w:top w:type="dxa" w:w="60"/>
              <w:left w:type="dxa" w:w="100"/>
              <w:bottom w:type="dxa" w:w="60"/>
              <w:right w:type="dxa" w:w="100"/>
            </w:tcMar>
          </w:tcPr>
          <w:p>
            <w:r>
              <w:rPr>
                <w:b w:val="false"/>
                <w:bCs w:val="false"/>
                <w:sz w:val="20"/>
                <w:szCs w:val="20"/>
              </w:rPr>
              <w:t xml:space="preserve">90 jours, avec agence + paid</w:t>
            </w:r>
          </w:p>
        </w:tc>
      </w:tr>
    </w:tbl>
    <w:p>
      <w:pPr>
        <w:spacing w:after="120"/>
      </w:pPr>
    </w:p>
    <w:p>
      <w:pPr>
        <w:pStyle w:val="Heading1"/>
        <w:spacing w:after="140" w:before="340"/>
      </w:pPr>
      <w:r>
        <w:rPr>
          <w:color w:val="0055CC"/>
        </w:rPr>
        <w:t xml:space="preserve">1. Positionnement</w:t>
      </w:r>
    </w:p>
    <w:p>
      <w:pPr>
        <w:spacing w:after="130"/>
      </w:pPr>
      <w:r>
        <w:rPr>
          <w:sz w:val="22"/>
          <w:szCs w:val="22"/>
        </w:rPr>
        <w:t xml:space="preserve">Nous ne vendons pas « encore un parti ». Nous offrons une place dans un mouvement où l’effort compte, la voix remonte, et l’entrée coûte moins qu’une bière. Trois promesses vérifiables, impossibles à imiter pour les partis traditionnels :</w:t>
      </w:r>
    </w:p>
    <w:p>
      <w:pPr>
        <w:pStyle w:val="ListParagraph"/>
        <w:numPr>
          <w:ilvl w:val="0"/>
          <w:numId w:val="2"/>
        </w:numPr>
        <w:spacing w:after="60"/>
      </w:pPr>
      <w:r>
        <w:rPr>
          <w:b/>
          <w:bCs/>
          <w:sz w:val="22"/>
          <w:szCs w:val="22"/>
        </w:rPr>
        <w:t xml:space="preserve">Le mérite, pas l’argent — </w:t>
      </w:r>
      <w:r>
        <w:rPr>
          <w:sz w:val="22"/>
          <w:szCs w:val="22"/>
        </w:rPr>
        <w:t xml:space="preserve">candidats choisis par une formule publique à 8 critères.</w:t>
      </w:r>
    </w:p>
    <w:p>
      <w:pPr>
        <w:pStyle w:val="ListParagraph"/>
        <w:numPr>
          <w:ilvl w:val="0"/>
          <w:numId w:val="2"/>
        </w:numPr>
        <w:spacing w:after="60"/>
      </w:pPr>
      <w:r>
        <w:rPr>
          <w:b/>
          <w:bCs/>
          <w:sz w:val="22"/>
          <w:szCs w:val="22"/>
        </w:rPr>
        <w:t xml:space="preserve">La transparence totale — </w:t>
      </w:r>
      <w:r>
        <w:rPr>
          <w:sz w:val="22"/>
          <w:szCs w:val="22"/>
        </w:rPr>
        <w:t xml:space="preserve">chaque dollar tracé par Mobile Money.</w:t>
      </w:r>
    </w:p>
    <w:p>
      <w:pPr>
        <w:pStyle w:val="ListParagraph"/>
        <w:numPr>
          <w:ilvl w:val="0"/>
          <w:numId w:val="2"/>
        </w:numPr>
        <w:spacing w:after="60"/>
      </w:pPr>
      <w:r>
        <w:rPr>
          <w:b/>
          <w:bCs/>
          <w:sz w:val="22"/>
          <w:szCs w:val="22"/>
        </w:rPr>
        <w:t xml:space="preserve">Du village à la Présidence — </w:t>
      </w:r>
      <w:r>
        <w:rPr>
          <w:sz w:val="22"/>
          <w:szCs w:val="22"/>
        </w:rPr>
        <w:t xml:space="preserve">chaque citoyen cartographié, 26 provinces, 5 langues.</w:t>
      </w:r>
    </w:p>
    <w:p>
      <w:pPr>
        <w:pStyle w:val="Heading1"/>
        <w:spacing w:after="140" w:before="340"/>
      </w:pPr>
      <w:r>
        <w:rPr>
          <w:color w:val="0055CC"/>
        </w:rPr>
        <w:t xml:space="preserve">2. Ville pilote verrouillée : KINSHASA</w:t>
      </w:r>
    </w:p>
    <w:p>
      <w:pPr>
        <w:spacing w:after="130"/>
      </w:pPr>
      <w:r>
        <w:rPr>
          <w:sz w:val="22"/>
          <w:szCs w:val="22"/>
        </w:rPr>
        <w:t xml:space="preserve">Décision : le lancement se concentre exclusivement sur Kinshasa pendant les 90 premiers jours. Une seule ville densifie l’effet de réseau, réduit le coût d’acquisition et crée une preuve sociale visible avant l’expansion nationale.</w:t>
      </w:r>
    </w:p>
    <w:p>
      <w:pPr>
        <w:pStyle w:val="Heading2"/>
        <w:spacing w:after="100" w:before="260"/>
      </w:pPr>
      <w:r>
        <w:rPr>
          <w:color w:val="007FFF"/>
        </w:rPr>
        <w:t xml:space="preserve">Pourquoi Kinshasa</w:t>
      </w:r>
    </w:p>
    <w:p>
      <w:pPr>
        <w:pStyle w:val="ListParagraph"/>
        <w:numPr>
          <w:ilvl w:val="0"/>
          <w:numId w:val="2"/>
        </w:numPr>
        <w:spacing w:after="60"/>
      </w:pPr>
      <w:r>
        <w:rPr>
          <w:sz w:val="22"/>
          <w:szCs w:val="22"/>
        </w:rPr>
        <w:t xml:space="preserve">~15 millions d’habitants — le plus grand bassin de membres potentiels du pays.</w:t>
      </w:r>
    </w:p>
    <w:p>
      <w:pPr>
        <w:pStyle w:val="ListParagraph"/>
        <w:numPr>
          <w:ilvl w:val="0"/>
          <w:numId w:val="2"/>
        </w:numPr>
        <w:spacing w:after="60"/>
      </w:pPr>
      <w:r>
        <w:rPr>
          <w:sz w:val="22"/>
          <w:szCs w:val="22"/>
        </w:rPr>
        <w:t xml:space="preserve">La plus forte connectivité mobile et le plus grand usage de WhatsApp — le canal viral natif.</w:t>
      </w:r>
    </w:p>
    <w:p>
      <w:pPr>
        <w:pStyle w:val="ListParagraph"/>
        <w:numPr>
          <w:ilvl w:val="0"/>
          <w:numId w:val="2"/>
        </w:numPr>
        <w:spacing w:after="60"/>
      </w:pPr>
      <w:r>
        <w:rPr>
          <w:sz w:val="22"/>
          <w:szCs w:val="22"/>
        </w:rPr>
        <w:t xml:space="preserve">Concentration de jeunes diplômés (segment P1) et de médias nationaux (presse = backlinks).</w:t>
      </w:r>
    </w:p>
    <w:p>
      <w:pPr>
        <w:pStyle w:val="ListParagraph"/>
        <w:numPr>
          <w:ilvl w:val="0"/>
          <w:numId w:val="2"/>
        </w:numPr>
        <w:spacing w:after="60"/>
      </w:pPr>
      <w:r>
        <w:rPr>
          <w:sz w:val="22"/>
          <w:szCs w:val="22"/>
        </w:rPr>
        <w:t xml:space="preserve">Siège de la direction du parti — exécution terrain directe, coûts de déplacement nuls.</w:t>
      </w:r>
    </w:p>
    <w:p>
      <w:pPr>
        <w:pStyle w:val="Heading2"/>
        <w:spacing w:after="100" w:before="260"/>
      </w:pPr>
      <w:r>
        <w:rPr>
          <w:color w:val="007FFF"/>
        </w:rPr>
        <w:t xml:space="preserve">Focalisation intra-Kinshasa (ordre d’attaque)</w:t>
      </w:r>
    </w:p>
    <w:p>
      <w:pPr>
        <w:spacing w:after="130"/>
      </w:pPr>
      <w:r>
        <w:rPr>
          <w:sz w:val="22"/>
          <w:szCs w:val="22"/>
        </w:rPr>
        <w:t xml:space="preserve">Concentrer les 3 premiers mois sur 4 districts à forte densité étudiante et entrepreneuriale, puis élargir :</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40"/>
      </w:tblGrid>
      <w:tr>
        <w:trPr>
          <w:tblHeader/>
        </w:trPr>
        <w:tc>
          <w:tcPr>
            <w:tcW w:type="dxa" w:w="3200"/>
            <w:shd w:fill="007FFF" w:val="clear"/>
            <w:tcMar>
              <w:top w:type="dxa" w:w="60"/>
              <w:left w:type="dxa" w:w="100"/>
              <w:bottom w:type="dxa" w:w="60"/>
              <w:right w:type="dxa" w:w="100"/>
            </w:tcMar>
          </w:tcPr>
          <w:p>
            <w:r>
              <w:rPr>
                <w:b/>
                <w:bCs/>
                <w:color w:val="FFFFFF"/>
                <w:sz w:val="18"/>
                <w:szCs w:val="18"/>
              </w:rPr>
              <w:t xml:space="preserve">Vague</w:t>
            </w:r>
          </w:p>
        </w:tc>
        <w:tc>
          <w:tcPr>
            <w:tcW w:type="dxa" w:w="3200"/>
            <w:shd w:fill="007FFF" w:val="clear"/>
            <w:tcMar>
              <w:top w:type="dxa" w:w="60"/>
              <w:left w:type="dxa" w:w="100"/>
              <w:bottom w:type="dxa" w:w="60"/>
              <w:right w:type="dxa" w:w="100"/>
            </w:tcMar>
          </w:tcPr>
          <w:p>
            <w:r>
              <w:rPr>
                <w:b/>
                <w:bCs/>
                <w:color w:val="FFFFFF"/>
                <w:sz w:val="18"/>
                <w:szCs w:val="18"/>
              </w:rPr>
              <w:t xml:space="preserve">Zones (communes)</w:t>
            </w:r>
          </w:p>
        </w:tc>
        <w:tc>
          <w:tcPr>
            <w:tcW w:type="dxa" w:w="2840"/>
            <w:shd w:fill="007FFF" w:val="clear"/>
            <w:tcMar>
              <w:top w:type="dxa" w:w="60"/>
              <w:left w:type="dxa" w:w="100"/>
              <w:bottom w:type="dxa" w:w="60"/>
              <w:right w:type="dxa" w:w="100"/>
            </w:tcMar>
          </w:tcPr>
          <w:p>
            <w:r>
              <w:rPr>
                <w:b/>
                <w:bCs/>
                <w:color w:val="FFFFFF"/>
                <w:sz w:val="18"/>
                <w:szCs w:val="18"/>
              </w:rPr>
              <w:t xml:space="preserve">Cible</w:t>
            </w:r>
          </w:p>
        </w:tc>
      </w:tr>
      <w:tr>
        <w:tc>
          <w:tcPr>
            <w:tcW w:type="dxa" w:w="3200"/>
            <w:tcMar>
              <w:top w:type="dxa" w:w="60"/>
              <w:left w:type="dxa" w:w="100"/>
              <w:bottom w:type="dxa" w:w="60"/>
              <w:right w:type="dxa" w:w="100"/>
            </w:tcMar>
          </w:tcPr>
          <w:p>
            <w:r>
              <w:rPr>
                <w:b w:val="false"/>
                <w:bCs w:val="false"/>
                <w:sz w:val="20"/>
                <w:szCs w:val="20"/>
              </w:rPr>
              <w:t xml:space="preserve">Vague 1 (J1–30)</w:t>
            </w:r>
          </w:p>
        </w:tc>
        <w:tc>
          <w:tcPr>
            <w:tcW w:type="dxa" w:w="3200"/>
            <w:tcMar>
              <w:top w:type="dxa" w:w="60"/>
              <w:left w:type="dxa" w:w="100"/>
              <w:bottom w:type="dxa" w:w="60"/>
              <w:right w:type="dxa" w:w="100"/>
            </w:tcMar>
          </w:tcPr>
          <w:p>
            <w:r>
              <w:rPr>
                <w:b w:val="false"/>
                <w:bCs w:val="false"/>
                <w:sz w:val="20"/>
                <w:szCs w:val="20"/>
              </w:rPr>
              <w:t xml:space="preserve">Gombe, Limete, Lingwala</w:t>
            </w:r>
          </w:p>
        </w:tc>
        <w:tc>
          <w:tcPr>
            <w:tcW w:type="dxa" w:w="2840"/>
            <w:tcMar>
              <w:top w:type="dxa" w:w="60"/>
              <w:left w:type="dxa" w:w="100"/>
              <w:bottom w:type="dxa" w:w="60"/>
              <w:right w:type="dxa" w:w="100"/>
            </w:tcMar>
          </w:tcPr>
          <w:p>
            <w:r>
              <w:rPr>
                <w:b w:val="false"/>
                <w:bCs w:val="false"/>
                <w:sz w:val="20"/>
                <w:szCs w:val="20"/>
              </w:rPr>
              <w:t xml:space="preserve">Jeunes actifs, étudiants, cadres</w:t>
            </w:r>
          </w:p>
        </w:tc>
      </w:tr>
      <w:tr>
        <w:tc>
          <w:tcPr>
            <w:tcW w:type="dxa" w:w="3200"/>
            <w:shd w:fill="F4F8FC" w:val="clear"/>
            <w:tcMar>
              <w:top w:type="dxa" w:w="60"/>
              <w:left w:type="dxa" w:w="100"/>
              <w:bottom w:type="dxa" w:w="60"/>
              <w:right w:type="dxa" w:w="100"/>
            </w:tcMar>
          </w:tcPr>
          <w:p>
            <w:r>
              <w:rPr>
                <w:b w:val="false"/>
                <w:bCs w:val="false"/>
                <w:sz w:val="20"/>
                <w:szCs w:val="20"/>
              </w:rPr>
              <w:t xml:space="preserve">Vague 2 (J31–60)</w:t>
            </w:r>
          </w:p>
        </w:tc>
        <w:tc>
          <w:tcPr>
            <w:tcW w:type="dxa" w:w="3200"/>
            <w:shd w:fill="F4F8FC" w:val="clear"/>
            <w:tcMar>
              <w:top w:type="dxa" w:w="60"/>
              <w:left w:type="dxa" w:w="100"/>
              <w:bottom w:type="dxa" w:w="60"/>
              <w:right w:type="dxa" w:w="100"/>
            </w:tcMar>
          </w:tcPr>
          <w:p>
            <w:r>
              <w:rPr>
                <w:b w:val="false"/>
                <w:bCs w:val="false"/>
                <w:sz w:val="20"/>
                <w:szCs w:val="20"/>
              </w:rPr>
              <w:t xml:space="preserve">Ngaliema, Kalamu, Kasa-Vubu</w:t>
            </w:r>
          </w:p>
        </w:tc>
        <w:tc>
          <w:tcPr>
            <w:tcW w:type="dxa" w:w="2840"/>
            <w:shd w:fill="F4F8FC" w:val="clear"/>
            <w:tcMar>
              <w:top w:type="dxa" w:w="60"/>
              <w:left w:type="dxa" w:w="100"/>
              <w:bottom w:type="dxa" w:w="60"/>
              <w:right w:type="dxa" w:w="100"/>
            </w:tcMar>
          </w:tcPr>
          <w:p>
            <w:r>
              <w:rPr>
                <w:b w:val="false"/>
                <w:bCs w:val="false"/>
                <w:sz w:val="20"/>
                <w:szCs w:val="20"/>
              </w:rPr>
              <w:t xml:space="preserve">Classe moyenne, associations</w:t>
            </w:r>
          </w:p>
        </w:tc>
      </w:tr>
      <w:tr>
        <w:tc>
          <w:tcPr>
            <w:tcW w:type="dxa" w:w="3200"/>
            <w:tcMar>
              <w:top w:type="dxa" w:w="60"/>
              <w:left w:type="dxa" w:w="100"/>
              <w:bottom w:type="dxa" w:w="60"/>
              <w:right w:type="dxa" w:w="100"/>
            </w:tcMar>
          </w:tcPr>
          <w:p>
            <w:r>
              <w:rPr>
                <w:b w:val="false"/>
                <w:bCs w:val="false"/>
                <w:sz w:val="20"/>
                <w:szCs w:val="20"/>
              </w:rPr>
              <w:t xml:space="preserve">Vague 3 (J61–90)</w:t>
            </w:r>
          </w:p>
        </w:tc>
        <w:tc>
          <w:tcPr>
            <w:tcW w:type="dxa" w:w="3200"/>
            <w:tcMar>
              <w:top w:type="dxa" w:w="60"/>
              <w:left w:type="dxa" w:w="100"/>
              <w:bottom w:type="dxa" w:w="60"/>
              <w:right w:type="dxa" w:w="100"/>
            </w:tcMar>
          </w:tcPr>
          <w:p>
            <w:r>
              <w:rPr>
                <w:b w:val="false"/>
                <w:bCs w:val="false"/>
                <w:sz w:val="20"/>
                <w:szCs w:val="20"/>
              </w:rPr>
              <w:t xml:space="preserve">Masina, Ndjili, Kimbanseke</w:t>
            </w:r>
          </w:p>
        </w:tc>
        <w:tc>
          <w:tcPr>
            <w:tcW w:type="dxa" w:w="2840"/>
            <w:tcMar>
              <w:top w:type="dxa" w:w="60"/>
              <w:left w:type="dxa" w:w="100"/>
              <w:bottom w:type="dxa" w:w="60"/>
              <w:right w:type="dxa" w:w="100"/>
            </w:tcMar>
          </w:tcPr>
          <w:p>
            <w:r>
              <w:rPr>
                <w:b w:val="false"/>
                <w:bCs w:val="false"/>
                <w:sz w:val="20"/>
                <w:szCs w:val="20"/>
              </w:rPr>
              <w:t xml:space="preserve">Grand volume populaire</w:t>
            </w:r>
          </w:p>
        </w:tc>
      </w:tr>
    </w:tbl>
    <w:p>
      <w:pPr>
        <w:spacing w:after="120"/>
      </w:pPr>
      <w:r>
        <w:rPr>
          <w:i/>
          <w:iCs/>
          <w:color w:val="555555"/>
          <w:sz w:val="18"/>
          <w:szCs w:val="18"/>
        </w:rPr>
        <w:t xml:space="preserve">Après J90 : réplication du playbook Kinshasa vers Lubumbashi puis Goma.</w:t>
      </w:r>
    </w:p>
    <w:p>
      <w:r>
        <w:br w:type="page"/>
      </w:r>
    </w:p>
    <w:p>
      <w:pPr>
        <w:pStyle w:val="Heading1"/>
        <w:spacing w:after="140" w:before="340"/>
      </w:pPr>
      <w:r>
        <w:rPr>
          <w:color w:val="0055CC"/>
        </w:rPr>
        <w:t xml:space="preserve">3. Segments clients</w:t>
      </w:r>
    </w:p>
    <w:p>
      <w:pPr>
        <w:spacing w:after="130"/>
      </w:pPr>
      <w:r>
        <w:rPr>
          <w:sz w:val="22"/>
          <w:szCs w:val="22"/>
        </w:rPr>
        <w:t xml:space="preserve">Cinq segments classés par facilité de conversion. Attaquer P1 en premier : forte douleur, forte connectivité, fort bouche-à-oreille.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840"/>
      </w:tblGrid>
      <w:tr>
        <w:trPr>
          <w:tblHeader/>
        </w:trPr>
        <w:tc>
          <w:tcPr>
            <w:tcW w:type="dxa" w:w="2200"/>
            <w:shd w:fill="007FFF" w:val="clear"/>
            <w:tcMar>
              <w:top w:type="dxa" w:w="60"/>
              <w:left w:type="dxa" w:w="100"/>
              <w:bottom w:type="dxa" w:w="60"/>
              <w:right w:type="dxa" w:w="100"/>
            </w:tcMar>
          </w:tcPr>
          <w:p>
            <w:r>
              <w:rPr>
                <w:b/>
                <w:bCs/>
                <w:color w:val="FFFFFF"/>
                <w:sz w:val="18"/>
                <w:szCs w:val="18"/>
              </w:rPr>
              <w:t xml:space="preserve">Segment</w:t>
            </w:r>
          </w:p>
        </w:tc>
        <w:tc>
          <w:tcPr>
            <w:tcW w:type="dxa" w:w="2600"/>
            <w:shd w:fill="007FFF" w:val="clear"/>
            <w:tcMar>
              <w:top w:type="dxa" w:w="60"/>
              <w:left w:type="dxa" w:w="100"/>
              <w:bottom w:type="dxa" w:w="60"/>
              <w:right w:type="dxa" w:w="100"/>
            </w:tcMar>
          </w:tcPr>
          <w:p>
            <w:r>
              <w:rPr>
                <w:b/>
                <w:bCs/>
                <w:color w:val="FFFFFF"/>
                <w:sz w:val="18"/>
                <w:szCs w:val="18"/>
              </w:rPr>
              <w:t xml:space="preserve">Pourquoi il convertit</w:t>
            </w:r>
          </w:p>
        </w:tc>
        <w:tc>
          <w:tcPr>
            <w:tcW w:type="dxa" w:w="2600"/>
            <w:shd w:fill="007FFF" w:val="clear"/>
            <w:tcMar>
              <w:top w:type="dxa" w:w="60"/>
              <w:left w:type="dxa" w:w="100"/>
              <w:bottom w:type="dxa" w:w="60"/>
              <w:right w:type="dxa" w:w="100"/>
            </w:tcMar>
          </w:tcPr>
          <w:p>
            <w:r>
              <w:rPr>
                <w:b/>
                <w:bCs/>
                <w:color w:val="FFFFFF"/>
                <w:sz w:val="18"/>
                <w:szCs w:val="18"/>
              </w:rPr>
              <w:t xml:space="preserve">Message</w:t>
            </w:r>
          </w:p>
        </w:tc>
        <w:tc>
          <w:tcPr>
            <w:tcW w:type="dxa" w:w="1840"/>
            <w:shd w:fill="007FFF" w:val="clear"/>
            <w:tcMar>
              <w:top w:type="dxa" w:w="60"/>
              <w:left w:type="dxa" w:w="100"/>
              <w:bottom w:type="dxa" w:w="60"/>
              <w:right w:type="dxa" w:w="100"/>
            </w:tcMar>
          </w:tcPr>
          <w:p>
            <w:r>
              <w:rPr>
                <w:b/>
                <w:bCs/>
                <w:color w:val="FFFFFF"/>
                <w:sz w:val="18"/>
                <w:szCs w:val="18"/>
              </w:rPr>
              <w:t xml:space="preserve">Priorité</w:t>
            </w:r>
          </w:p>
        </w:tc>
      </w:tr>
      <w:tr>
        <w:tc>
          <w:tcPr>
            <w:tcW w:type="dxa" w:w="2200"/>
            <w:tcMar>
              <w:top w:type="dxa" w:w="60"/>
              <w:left w:type="dxa" w:w="100"/>
              <w:bottom w:type="dxa" w:w="60"/>
              <w:right w:type="dxa" w:w="100"/>
            </w:tcMar>
          </w:tcPr>
          <w:p>
            <w:r>
              <w:rPr>
                <w:b w:val="false"/>
                <w:bCs w:val="false"/>
                <w:sz w:val="20"/>
                <w:szCs w:val="20"/>
              </w:rPr>
              <w:t xml:space="preserve">Jeunes urbains diplômés (18–35)</w:t>
            </w:r>
          </w:p>
        </w:tc>
        <w:tc>
          <w:tcPr>
            <w:tcW w:type="dxa" w:w="2600"/>
            <w:tcMar>
              <w:top w:type="dxa" w:w="60"/>
              <w:left w:type="dxa" w:w="100"/>
              <w:bottom w:type="dxa" w:w="60"/>
              <w:right w:type="dxa" w:w="100"/>
            </w:tcMar>
          </w:tcPr>
          <w:p>
            <w:r>
              <w:rPr>
                <w:b w:val="false"/>
                <w:bCs w:val="false"/>
                <w:sz w:val="20"/>
                <w:szCs w:val="20"/>
              </w:rPr>
              <w:t xml:space="preserve">Chômage + exclusion ; partagent tout</w:t>
            </w:r>
          </w:p>
        </w:tc>
        <w:tc>
          <w:tcPr>
            <w:tcW w:type="dxa" w:w="2600"/>
            <w:tcMar>
              <w:top w:type="dxa" w:w="60"/>
              <w:left w:type="dxa" w:w="100"/>
              <w:bottom w:type="dxa" w:w="60"/>
              <w:right w:type="dxa" w:w="100"/>
            </w:tcMar>
          </w:tcPr>
          <w:p>
            <w:r>
              <w:rPr>
                <w:b w:val="false"/>
                <w:bCs w:val="false"/>
                <w:sz w:val="20"/>
                <w:szCs w:val="20"/>
              </w:rPr>
              <w:t xml:space="preserve">« Ton diplôme a une valeur politique »</w:t>
            </w:r>
          </w:p>
        </w:tc>
        <w:tc>
          <w:tcPr>
            <w:tcW w:type="dxa" w:w="1840"/>
            <w:tcMar>
              <w:top w:type="dxa" w:w="60"/>
              <w:left w:type="dxa" w:w="100"/>
              <w:bottom w:type="dxa" w:w="60"/>
              <w:right w:type="dxa" w:w="100"/>
            </w:tcMar>
          </w:tcPr>
          <w:p>
            <w:r>
              <w:rPr>
                <w:b/>
                <w:bCs/>
                <w:color w:val="007FFF"/>
                <w:sz w:val="20"/>
                <w:szCs w:val="20"/>
              </w:rPr>
              <w:t xml:space="preserve">P1</w:t>
            </w:r>
          </w:p>
        </w:tc>
      </w:tr>
      <w:tr>
        <w:tc>
          <w:tcPr>
            <w:tcW w:type="dxa" w:w="2200"/>
            <w:shd w:fill="F4F8FC" w:val="clear"/>
            <w:tcMar>
              <w:top w:type="dxa" w:w="60"/>
              <w:left w:type="dxa" w:w="100"/>
              <w:bottom w:type="dxa" w:w="60"/>
              <w:right w:type="dxa" w:w="100"/>
            </w:tcMar>
          </w:tcPr>
          <w:p>
            <w:r>
              <w:rPr>
                <w:b w:val="false"/>
                <w:bCs w:val="false"/>
                <w:sz w:val="20"/>
                <w:szCs w:val="20"/>
              </w:rPr>
              <w:t xml:space="preserve">Diaspora congolaise</w:t>
            </w:r>
          </w:p>
        </w:tc>
        <w:tc>
          <w:tcPr>
            <w:tcW w:type="dxa" w:w="2600"/>
            <w:shd w:fill="F4F8FC" w:val="clear"/>
            <w:tcMar>
              <w:top w:type="dxa" w:w="60"/>
              <w:left w:type="dxa" w:w="100"/>
              <w:bottom w:type="dxa" w:w="60"/>
              <w:right w:type="dxa" w:w="100"/>
            </w:tcMar>
          </w:tcPr>
          <w:p>
            <w:r>
              <w:rPr>
                <w:b w:val="false"/>
                <w:bCs w:val="false"/>
                <w:sz w:val="20"/>
                <w:szCs w:val="20"/>
              </w:rPr>
              <w:t xml:space="preserve">Veut agir ; pouvoir de cotisation 10×</w:t>
            </w:r>
          </w:p>
        </w:tc>
        <w:tc>
          <w:tcPr>
            <w:tcW w:type="dxa" w:w="2600"/>
            <w:shd w:fill="F4F8FC" w:val="clear"/>
            <w:tcMar>
              <w:top w:type="dxa" w:w="60"/>
              <w:left w:type="dxa" w:w="100"/>
              <w:bottom w:type="dxa" w:w="60"/>
              <w:right w:type="dxa" w:w="100"/>
            </w:tcMar>
          </w:tcPr>
          <w:p>
            <w:r>
              <w:rPr>
                <w:b w:val="false"/>
                <w:bCs w:val="false"/>
                <w:sz w:val="20"/>
                <w:szCs w:val="20"/>
              </w:rPr>
              <w:t xml:space="preserve">« Agir pour le pays sans le quitter »</w:t>
            </w:r>
          </w:p>
        </w:tc>
        <w:tc>
          <w:tcPr>
            <w:tcW w:type="dxa" w:w="1840"/>
            <w:shd w:fill="F4F8FC" w:val="clear"/>
            <w:tcMar>
              <w:top w:type="dxa" w:w="60"/>
              <w:left w:type="dxa" w:w="100"/>
              <w:bottom w:type="dxa" w:w="60"/>
              <w:right w:type="dxa" w:w="100"/>
            </w:tcMar>
          </w:tcPr>
          <w:p>
            <w:r>
              <w:rPr>
                <w:b/>
                <w:bCs/>
                <w:color w:val="007FFF"/>
                <w:sz w:val="20"/>
                <w:szCs w:val="20"/>
              </w:rPr>
              <w:t xml:space="preserve">P1</w:t>
            </w:r>
          </w:p>
        </w:tc>
      </w:tr>
      <w:tr>
        <w:tc>
          <w:tcPr>
            <w:tcW w:type="dxa" w:w="2200"/>
            <w:tcMar>
              <w:top w:type="dxa" w:w="60"/>
              <w:left w:type="dxa" w:w="100"/>
              <w:bottom w:type="dxa" w:w="60"/>
              <w:right w:type="dxa" w:w="100"/>
            </w:tcMar>
          </w:tcPr>
          <w:p>
            <w:r>
              <w:rPr>
                <w:b w:val="false"/>
                <w:bCs w:val="false"/>
                <w:sz w:val="20"/>
                <w:szCs w:val="20"/>
              </w:rPr>
              <w:t xml:space="preserve">Femmes engagées (25–45)</w:t>
            </w:r>
          </w:p>
        </w:tc>
        <w:tc>
          <w:tcPr>
            <w:tcW w:type="dxa" w:w="2600"/>
            <w:tcMar>
              <w:top w:type="dxa" w:w="60"/>
              <w:left w:type="dxa" w:w="100"/>
              <w:bottom w:type="dxa" w:w="60"/>
              <w:right w:type="dxa" w:w="100"/>
            </w:tcMar>
          </w:tcPr>
          <w:p>
            <w:r>
              <w:rPr>
                <w:b w:val="false"/>
                <w:bCs w:val="false"/>
                <w:sz w:val="20"/>
                <w:szCs w:val="20"/>
              </w:rPr>
              <w:t xml:space="preserve">Sous-représentées ; formule neutre au genre</w:t>
            </w:r>
          </w:p>
        </w:tc>
        <w:tc>
          <w:tcPr>
            <w:tcW w:type="dxa" w:w="2600"/>
            <w:tcMar>
              <w:top w:type="dxa" w:w="60"/>
              <w:left w:type="dxa" w:w="100"/>
              <w:bottom w:type="dxa" w:w="60"/>
              <w:right w:type="dxa" w:w="100"/>
            </w:tcMar>
          </w:tcPr>
          <w:p>
            <w:r>
              <w:rPr>
                <w:b w:val="false"/>
                <w:bCs w:val="false"/>
                <w:sz w:val="20"/>
                <w:szCs w:val="20"/>
              </w:rPr>
              <w:t xml:space="preserve">« Briser le plafond par le mérite »</w:t>
            </w:r>
          </w:p>
        </w:tc>
        <w:tc>
          <w:tcPr>
            <w:tcW w:type="dxa" w:w="1840"/>
            <w:tcMar>
              <w:top w:type="dxa" w:w="60"/>
              <w:left w:type="dxa" w:w="100"/>
              <w:bottom w:type="dxa" w:w="60"/>
              <w:right w:type="dxa" w:w="100"/>
            </w:tcMar>
          </w:tcPr>
          <w:p>
            <w:r>
              <w:rPr>
                <w:b w:val="false"/>
                <w:bCs w:val="false"/>
                <w:sz w:val="20"/>
                <w:szCs w:val="20"/>
              </w:rPr>
              <w:t xml:space="preserve">P2</w:t>
            </w:r>
          </w:p>
        </w:tc>
      </w:tr>
      <w:tr>
        <w:tc>
          <w:tcPr>
            <w:tcW w:type="dxa" w:w="2200"/>
            <w:shd w:fill="F4F8FC" w:val="clear"/>
            <w:tcMar>
              <w:top w:type="dxa" w:w="60"/>
              <w:left w:type="dxa" w:w="100"/>
              <w:bottom w:type="dxa" w:w="60"/>
              <w:right w:type="dxa" w:w="100"/>
            </w:tcMar>
          </w:tcPr>
          <w:p>
            <w:r>
              <w:rPr>
                <w:b w:val="false"/>
                <w:bCs w:val="false"/>
                <w:sz w:val="20"/>
                <w:szCs w:val="20"/>
              </w:rPr>
              <w:t xml:space="preserve">Leaders communautaires</w:t>
            </w:r>
          </w:p>
        </w:tc>
        <w:tc>
          <w:tcPr>
            <w:tcW w:type="dxa" w:w="2600"/>
            <w:shd w:fill="F4F8FC" w:val="clear"/>
            <w:tcMar>
              <w:top w:type="dxa" w:w="60"/>
              <w:left w:type="dxa" w:w="100"/>
              <w:bottom w:type="dxa" w:w="60"/>
              <w:right w:type="dxa" w:w="100"/>
            </w:tcMar>
          </w:tcPr>
          <w:p>
            <w:r>
              <w:rPr>
                <w:b w:val="false"/>
                <w:bCs w:val="false"/>
                <w:sz w:val="20"/>
                <w:szCs w:val="20"/>
              </w:rPr>
              <w:t xml:space="preserve">Réseaux existants ; multiplicateurs</w:t>
            </w:r>
          </w:p>
        </w:tc>
        <w:tc>
          <w:tcPr>
            <w:tcW w:type="dxa" w:w="2600"/>
            <w:shd w:fill="F4F8FC" w:val="clear"/>
            <w:tcMar>
              <w:top w:type="dxa" w:w="60"/>
              <w:left w:type="dxa" w:w="100"/>
              <w:bottom w:type="dxa" w:w="60"/>
              <w:right w:type="dxa" w:w="100"/>
            </w:tcMar>
          </w:tcPr>
          <w:p>
            <w:r>
              <w:rPr>
                <w:b w:val="false"/>
                <w:bCs w:val="false"/>
                <w:sz w:val="20"/>
                <w:szCs w:val="20"/>
              </w:rPr>
              <w:t xml:space="preserve">« Devenez le visage du changement »</w:t>
            </w:r>
          </w:p>
        </w:tc>
        <w:tc>
          <w:tcPr>
            <w:tcW w:type="dxa" w:w="1840"/>
            <w:shd w:fill="F4F8FC" w:val="clear"/>
            <w:tcMar>
              <w:top w:type="dxa" w:w="60"/>
              <w:left w:type="dxa" w:w="100"/>
              <w:bottom w:type="dxa" w:w="60"/>
              <w:right w:type="dxa" w:w="100"/>
            </w:tcMar>
          </w:tcPr>
          <w:p>
            <w:r>
              <w:rPr>
                <w:b w:val="false"/>
                <w:bCs w:val="false"/>
                <w:sz w:val="20"/>
                <w:szCs w:val="20"/>
              </w:rPr>
              <w:t xml:space="preserve">P2</w:t>
            </w:r>
          </w:p>
        </w:tc>
      </w:tr>
      <w:tr>
        <w:tc>
          <w:tcPr>
            <w:tcW w:type="dxa" w:w="2200"/>
            <w:tcMar>
              <w:top w:type="dxa" w:w="60"/>
              <w:left w:type="dxa" w:w="100"/>
              <w:bottom w:type="dxa" w:w="60"/>
              <w:right w:type="dxa" w:w="100"/>
            </w:tcMar>
          </w:tcPr>
          <w:p>
            <w:r>
              <w:rPr>
                <w:b w:val="false"/>
                <w:bCs w:val="false"/>
                <w:sz w:val="20"/>
                <w:szCs w:val="20"/>
              </w:rPr>
              <w:t xml:space="preserve">Ruraux &amp; villages</w:t>
            </w:r>
          </w:p>
        </w:tc>
        <w:tc>
          <w:tcPr>
            <w:tcW w:type="dxa" w:w="2600"/>
            <w:tcMar>
              <w:top w:type="dxa" w:w="60"/>
              <w:left w:type="dxa" w:w="100"/>
              <w:bottom w:type="dxa" w:w="60"/>
              <w:right w:type="dxa" w:w="100"/>
            </w:tcMar>
          </w:tcPr>
          <w:p>
            <w:r>
              <w:rPr>
                <w:b w:val="false"/>
                <w:bCs w:val="false"/>
                <w:sz w:val="20"/>
                <w:szCs w:val="20"/>
              </w:rPr>
              <w:t xml:space="preserve">Grand nombre, internet fragile</w:t>
            </w:r>
          </w:p>
        </w:tc>
        <w:tc>
          <w:tcPr>
            <w:tcW w:type="dxa" w:w="2600"/>
            <w:tcMar>
              <w:top w:type="dxa" w:w="60"/>
              <w:left w:type="dxa" w:w="100"/>
              <w:bottom w:type="dxa" w:w="60"/>
              <w:right w:type="dxa" w:w="100"/>
            </w:tcMar>
          </w:tcPr>
          <w:p>
            <w:r>
              <w:rPr>
                <w:b w:val="false"/>
                <w:bCs w:val="false"/>
                <w:sz w:val="20"/>
                <w:szCs w:val="20"/>
              </w:rPr>
              <w:t xml:space="preserve">« Votre village devient visible »</w:t>
            </w:r>
          </w:p>
        </w:tc>
        <w:tc>
          <w:tcPr>
            <w:tcW w:type="dxa" w:w="1840"/>
            <w:tcMar>
              <w:top w:type="dxa" w:w="60"/>
              <w:left w:type="dxa" w:w="100"/>
              <w:bottom w:type="dxa" w:w="60"/>
              <w:right w:type="dxa" w:w="100"/>
            </w:tcMar>
          </w:tcPr>
          <w:p>
            <w:r>
              <w:rPr>
                <w:b w:val="false"/>
                <w:bCs w:val="false"/>
                <w:sz w:val="20"/>
                <w:szCs w:val="20"/>
              </w:rPr>
              <w:t xml:space="preserve">P3</w:t>
            </w:r>
          </w:p>
        </w:tc>
      </w:tr>
    </w:tbl>
    <w:p>
      <w:pPr>
        <w:spacing w:after="120"/>
      </w:pPr>
      <w:r>
        <w:rPr>
          <w:i/>
          <w:iCs/>
          <w:color w:val="555555"/>
          <w:sz w:val="18"/>
          <w:szCs w:val="18"/>
        </w:rPr>
        <w:t xml:space="preserve">Répartition d’effort : 40 % jeunes urbains · 25 % diaspora · 20 % femmes &amp; leaders · 15 % ruraux.</w:t>
      </w:r>
    </w:p>
    <w:p>
      <w:pPr>
        <w:pStyle w:val="Heading1"/>
        <w:spacing w:after="140" w:before="340"/>
      </w:pPr>
      <w:r>
        <w:rPr>
          <w:color w:val="0055CC"/>
        </w:rPr>
        <w:t xml:space="preserve">4. Décrocher les 100 premiers membres</w:t>
      </w:r>
    </w:p>
    <w:p>
      <w:pPr>
        <w:spacing w:after="130"/>
      </w:pPr>
      <w:r>
        <w:rPr>
          <w:sz w:val="22"/>
          <w:szCs w:val="22"/>
        </w:rPr>
        <w:t xml:space="preserve">Les fondateurs acquièrent les 100 premiers à la main — pas par algorithme. La règle du cercle 1→3 : chaque contact de confiance en amène trois.</w:t>
      </w:r>
    </w:p>
    <w:p>
      <w:pPr>
        <w:pStyle w:val="ListParagraph"/>
        <w:numPr>
          <w:ilvl w:val="0"/>
          <w:numId w:val="2"/>
        </w:numPr>
        <w:spacing w:after="60"/>
      </w:pPr>
      <w:r>
        <w:rPr>
          <w:sz w:val="22"/>
          <w:szCs w:val="22"/>
        </w:rPr>
        <w:t xml:space="preserve">Semaine 1 : l’équipe fondatrice écrit personnellement à 40 contacts → 40 membres n°1.</w:t>
      </w:r>
    </w:p>
    <w:p>
      <w:pPr>
        <w:pStyle w:val="ListParagraph"/>
        <w:numPr>
          <w:ilvl w:val="0"/>
          <w:numId w:val="2"/>
        </w:numPr>
        <w:spacing w:after="60"/>
      </w:pPr>
      <w:r>
        <w:rPr>
          <w:sz w:val="22"/>
          <w:szCs w:val="22"/>
        </w:rPr>
        <w:t xml:space="preserve">Chaque membre reçoit son lien de parrainage et invite 3 proches → 120 membres en 3 vagues.</w:t>
      </w:r>
    </w:p>
    <w:p>
      <w:pPr>
        <w:pStyle w:val="ListParagraph"/>
        <w:numPr>
          <w:ilvl w:val="0"/>
          <w:numId w:val="2"/>
        </w:numPr>
        <w:spacing w:after="60"/>
      </w:pPr>
      <w:r>
        <w:rPr>
          <w:sz w:val="22"/>
          <w:szCs w:val="22"/>
        </w:rPr>
        <w:t xml:space="preserve">Canaux coût-zéro : groupes WhatsApp existants, messages 1-à-1, réseau du fondateur, associations &amp; églises alliées, premier article de presse.</w:t>
      </w:r>
    </w:p>
    <w:p>
      <w:pPr>
        <w:pStyle w:val="ListParagraph"/>
        <w:numPr>
          <w:ilvl w:val="0"/>
          <w:numId w:val="2"/>
        </w:numPr>
        <w:spacing w:after="60"/>
      </w:pPr>
      <w:r>
        <w:rPr>
          <w:sz w:val="22"/>
          <w:szCs w:val="22"/>
        </w:rPr>
        <w:t xml:space="preserve">Filmer les 20 premiers témoignages — preuve sociale pour le membre n°101.</w:t>
      </w:r>
    </w:p>
    <w:p>
      <w:pPr>
        <w:pStyle w:val="Heading1"/>
        <w:spacing w:after="140" w:before="340"/>
      </w:pPr>
      <w:r>
        <w:rPr>
          <w:color w:val="0055CC"/>
        </w:rPr>
        <w:t xml:space="preserve">5. Plan 30 / 60 / 90 jours</w:t>
      </w:r>
    </w:p>
    <w:p>
      <w:pPr>
        <w:pStyle w:val="Heading2"/>
        <w:spacing w:after="100" w:before="260"/>
      </w:pPr>
      <w:r>
        <w:rPr>
          <w:color w:val="007FFF"/>
        </w:rPr>
        <w:t xml:space="preserve">30 jours — Fondations vivantes</w:t>
      </w:r>
    </w:p>
    <w:p>
      <w:pPr>
        <w:spacing w:after="130"/>
      </w:pPr>
      <w:r>
        <w:rPr>
          <w:sz w:val="22"/>
          <w:szCs w:val="22"/>
        </w:rPr>
        <w:t xml:space="preserve">Objectif : 100 membres réels, paiement fonctionnel à Kinshasa.</w:t>
      </w:r>
    </w:p>
    <w:p>
      <w:pPr>
        <w:pStyle w:val="ListParagraph"/>
        <w:numPr>
          <w:ilvl w:val="0"/>
          <w:numId w:val="2"/>
        </w:numPr>
        <w:spacing w:after="60"/>
      </w:pPr>
      <w:r>
        <w:rPr>
          <w:sz w:val="22"/>
          <w:szCs w:val="22"/>
        </w:rPr>
        <w:t xml:space="preserve">Ouvrir les 3 comptes bloquants : passerelle de paiement, base de données, clés IA.</w:t>
      </w:r>
    </w:p>
    <w:p>
      <w:pPr>
        <w:pStyle w:val="ListParagraph"/>
        <w:numPr>
          <w:ilvl w:val="0"/>
          <w:numId w:val="2"/>
        </w:numPr>
        <w:spacing w:after="60"/>
      </w:pPr>
      <w:r>
        <w:rPr>
          <w:sz w:val="22"/>
          <w:szCs w:val="22"/>
        </w:rPr>
        <w:t xml:space="preserve">Lancer le cercle 1→3 (40 messages personnels).</w:t>
      </w:r>
    </w:p>
    <w:p>
      <w:pPr>
        <w:pStyle w:val="ListParagraph"/>
        <w:numPr>
          <w:ilvl w:val="0"/>
          <w:numId w:val="2"/>
        </w:numPr>
        <w:spacing w:after="60"/>
      </w:pPr>
      <w:r>
        <w:rPr>
          <w:sz w:val="22"/>
          <w:szCs w:val="22"/>
        </w:rPr>
        <w:t xml:space="preserve">Vérifier le cycle de paiement de bout en bout avec 5 vrais paiements de 1 USD.</w:t>
      </w:r>
    </w:p>
    <w:p>
      <w:pPr>
        <w:pStyle w:val="ListParagraph"/>
        <w:numPr>
          <w:ilvl w:val="0"/>
          <w:numId w:val="2"/>
        </w:numPr>
        <w:spacing w:after="60"/>
      </w:pPr>
      <w:r>
        <w:rPr>
          <w:sz w:val="22"/>
          <w:szCs w:val="22"/>
        </w:rPr>
        <w:t xml:space="preserve">Activer l’IA sur le site ; soumettre le sitemap à Google Search Console.</w:t>
      </w:r>
    </w:p>
    <w:p>
      <w:pPr>
        <w:pStyle w:val="Heading2"/>
        <w:spacing w:after="100" w:before="260"/>
      </w:pPr>
      <w:r>
        <w:rPr>
          <w:color w:val="007FFF"/>
        </w:rPr>
        <w:t xml:space="preserve">60 jours — La boucle tourne</w:t>
      </w:r>
    </w:p>
    <w:p>
      <w:pPr>
        <w:spacing w:after="130"/>
      </w:pPr>
      <w:r>
        <w:rPr>
          <w:sz w:val="22"/>
          <w:szCs w:val="22"/>
        </w:rPr>
        <w:t xml:space="preserve">Objectif : le parrainage génère plus que le contact direct. Cible : 500–1 000 membres.</w:t>
      </w:r>
    </w:p>
    <w:p>
      <w:pPr>
        <w:pStyle w:val="ListParagraph"/>
        <w:numPr>
          <w:ilvl w:val="0"/>
          <w:numId w:val="2"/>
        </w:numPr>
        <w:spacing w:after="60"/>
      </w:pPr>
      <w:r>
        <w:rPr>
          <w:sz w:val="22"/>
          <w:szCs w:val="22"/>
        </w:rPr>
        <w:t xml:space="preserve">Activer le moteur de croissance IA (3 posts/semaine, Lingala + Français).</w:t>
      </w:r>
    </w:p>
    <w:p>
      <w:pPr>
        <w:pStyle w:val="ListParagraph"/>
        <w:numPr>
          <w:ilvl w:val="0"/>
          <w:numId w:val="2"/>
        </w:numPr>
        <w:spacing w:after="60"/>
      </w:pPr>
      <w:r>
        <w:rPr>
          <w:sz w:val="22"/>
          <w:szCs w:val="22"/>
        </w:rPr>
        <w:t xml:space="preserve">Lancer la newsletter hebdomadaire vers tous les inscrits.</w:t>
      </w:r>
    </w:p>
    <w:p>
      <w:pPr>
        <w:pStyle w:val="ListParagraph"/>
        <w:numPr>
          <w:ilvl w:val="0"/>
          <w:numId w:val="2"/>
        </w:numPr>
        <w:spacing w:after="60"/>
      </w:pPr>
      <w:r>
        <w:rPr>
          <w:sz w:val="22"/>
          <w:szCs w:val="22"/>
        </w:rPr>
        <w:t xml:space="preserve">Recruter &amp; former 10 coordinateurs parmi les 100 premiers.</w:t>
      </w:r>
    </w:p>
    <w:p>
      <w:pPr>
        <w:pStyle w:val="ListParagraph"/>
        <w:numPr>
          <w:ilvl w:val="0"/>
          <w:numId w:val="2"/>
        </w:numPr>
        <w:spacing w:after="60"/>
      </w:pPr>
      <w:r>
        <w:rPr>
          <w:sz w:val="22"/>
          <w:szCs w:val="22"/>
        </w:rPr>
        <w:t xml:space="preserve">Engager marketwaros.com pour la création &amp; les campagnes (voir §7).</w:t>
      </w:r>
    </w:p>
    <w:p>
      <w:pPr>
        <w:pStyle w:val="ListParagraph"/>
        <w:numPr>
          <w:ilvl w:val="0"/>
          <w:numId w:val="2"/>
        </w:numPr>
        <w:spacing w:after="60"/>
      </w:pPr>
      <w:r>
        <w:rPr>
          <w:sz w:val="22"/>
          <w:szCs w:val="22"/>
        </w:rPr>
        <w:t xml:space="preserve">Décrocher 1 article de presse (Actualité.cd, 7sur7, Radio Okapi).</w:t>
      </w:r>
    </w:p>
    <w:p>
      <w:pPr>
        <w:pStyle w:val="Heading2"/>
        <w:spacing w:after="100" w:before="260"/>
      </w:pPr>
      <w:r>
        <w:rPr>
          <w:color w:val="007FFF"/>
        </w:rPr>
        <w:t xml:space="preserve">90 jours — Machine reproductible</w:t>
      </w:r>
    </w:p>
    <w:p>
      <w:pPr>
        <w:spacing w:after="130"/>
      </w:pPr>
      <w:r>
        <w:rPr>
          <w:sz w:val="22"/>
          <w:szCs w:val="22"/>
        </w:rPr>
        <w:t xml:space="preserve">Objectif : coût d’acquisition connu. Cible : 3 000–5 000 membres, rentabilité dépassée.</w:t>
      </w:r>
    </w:p>
    <w:p>
      <w:pPr>
        <w:pStyle w:val="ListParagraph"/>
        <w:numPr>
          <w:ilvl w:val="0"/>
          <w:numId w:val="2"/>
        </w:numPr>
        <w:spacing w:after="60"/>
      </w:pPr>
      <w:r>
        <w:rPr>
          <w:sz w:val="22"/>
          <w:szCs w:val="22"/>
        </w:rPr>
        <w:t xml:space="preserve">Le SEO commence à ranker — trafic organique sur les pages Kinshasa &amp; provinces.</w:t>
      </w:r>
    </w:p>
    <w:p>
      <w:pPr>
        <w:pStyle w:val="ListParagraph"/>
        <w:numPr>
          <w:ilvl w:val="0"/>
          <w:numId w:val="2"/>
        </w:numPr>
        <w:spacing w:after="60"/>
      </w:pPr>
      <w:r>
        <w:rPr>
          <w:sz w:val="22"/>
          <w:szCs w:val="22"/>
        </w:rPr>
        <w:t xml:space="preserve">Formaliser le playbook et préparer l’expansion vers Lubumbashi &amp; Goma.</w:t>
      </w:r>
    </w:p>
    <w:p>
      <w:r>
        <w:br w:type="page"/>
      </w:r>
    </w:p>
    <w:p>
      <w:pPr>
        <w:pStyle w:val="Heading1"/>
        <w:spacing w:after="140" w:before="340"/>
      </w:pPr>
      <w:r>
        <w:rPr>
          <w:color w:val="0055CC"/>
        </w:rPr>
        <w:t xml:space="preserve">6. Moteur d’acquisition (déjà construit)</w:t>
      </w:r>
    </w:p>
    <w:p>
      <w:pPr>
        <w:spacing w:after="130"/>
      </w:pPr>
      <w:r>
        <w:rPr>
          <w:sz w:val="22"/>
          <w:szCs w:val="22"/>
        </w:rPr>
        <w:t xml:space="preserve">La plupart des startups doivent bâtir leur acquisition. La nôtre est dans le produit — il suffit de l’allumer.</w:t>
      </w:r>
    </w:p>
    <w:p>
      <w:pPr>
        <w:pStyle w:val="ListParagraph"/>
        <w:numPr>
          <w:ilvl w:val="0"/>
          <w:numId w:val="2"/>
        </w:numPr>
        <w:spacing w:after="60"/>
      </w:pPr>
      <w:r>
        <w:rPr>
          <w:sz w:val="22"/>
          <w:szCs w:val="22"/>
        </w:rPr>
        <w:t xml:space="preserve">Boucle de parrainage WhatsApp : lien personnel + 3 messages prêts à envoyer.</w:t>
      </w:r>
    </w:p>
    <w:p>
      <w:pPr>
        <w:pStyle w:val="ListParagraph"/>
        <w:numPr>
          <w:ilvl w:val="0"/>
          <w:numId w:val="2"/>
        </w:numPr>
        <w:spacing w:after="60"/>
      </w:pPr>
      <w:r>
        <w:rPr>
          <w:sz w:val="22"/>
          <w:szCs w:val="22"/>
        </w:rPr>
        <w:t xml:space="preserve">Arsenal SEO : 115 pages, autopilote qui publie 1 article/jour.</w:t>
      </w:r>
    </w:p>
    <w:p>
      <w:pPr>
        <w:pStyle w:val="ListParagraph"/>
        <w:numPr>
          <w:ilvl w:val="0"/>
          <w:numId w:val="2"/>
        </w:numPr>
        <w:spacing w:after="60"/>
      </w:pPr>
      <w:r>
        <w:rPr>
          <w:sz w:val="22"/>
          <w:szCs w:val="22"/>
        </w:rPr>
        <w:t xml:space="preserve">Moteur de croissance IA : 10 outils (posts, pubs, emails, vidéos, hashtags…).</w:t>
      </w:r>
    </w:p>
    <w:p>
      <w:pPr>
        <w:pStyle w:val="ListParagraph"/>
        <w:numPr>
          <w:ilvl w:val="0"/>
          <w:numId w:val="2"/>
        </w:numPr>
        <w:spacing w:after="60"/>
      </w:pPr>
      <w:r>
        <w:rPr>
          <w:sz w:val="22"/>
          <w:szCs w:val="22"/>
        </w:rPr>
        <w:t xml:space="preserve">Newsletter hebdomadaire automatique : 19 hyperliens vers la conversion.</w:t>
      </w:r>
    </w:p>
    <w:p>
      <w:pPr>
        <w:spacing w:after="120"/>
      </w:pPr>
      <w:r>
        <w:rPr>
          <w:i/>
          <w:iCs/>
          <w:color w:val="555555"/>
          <w:sz w:val="18"/>
          <w:szCs w:val="18"/>
        </w:rPr>
        <w:t xml:space="preserve">Vérité sur les « backlinks » : aucun logiciel n’en crée. Ils s’obtiennent par la viralité WhatsApp et la presse. Ne pas acheter de backlinks (pénalité Google).</w:t>
      </w:r>
    </w:p>
    <w:p>
      <w:pPr>
        <w:pStyle w:val="Heading1"/>
        <w:spacing w:after="140" w:before="340"/>
      </w:pPr>
      <w:r>
        <w:rPr>
          <w:color w:val="0055CC"/>
        </w:rPr>
        <w:t xml:space="preserve">7. Marketing — recommandation forte : Marketwaros</w:t>
      </w:r>
    </w:p>
    <w:p>
      <w:pPr>
        <w:spacing w:after="130"/>
      </w:pPr>
      <w:r>
        <w:rPr>
          <w:sz w:val="22"/>
          <w:szCs w:val="22"/>
        </w:rPr>
        <w:t xml:space="preserve">L’organique porte l’acquisition ; un partenaire d’exécution la démultiplie. Recommandation : confier la direction créative, la production des campagnes, l’amplification multi-canal et l’optimisation des performances à Marketwaros (marketwaros.com).</w:t>
      </w:r>
    </w:p>
    <w:p>
      <w:pPr>
        <w:spacing w:after="130"/>
      </w:pPr>
      <w:r>
        <w:rPr>
          <w:sz w:val="22"/>
          <w:szCs w:val="22"/>
        </w:rPr>
        <w:t xml:space="preserve">Quand : engager Marketwaros en phase 60 jours — une fois le paiement live et les 100 premiers acquis — pour ne pas payer d’amplification avant d’avoir un produit qui convertit.</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4200"/>
        <w:gridCol w:w="4240"/>
      </w:tblGrid>
      <w:tr>
        <w:trPr>
          <w:tblHeader/>
        </w:trPr>
        <w:tc>
          <w:tcPr>
            <w:tcW w:type="dxa" w:w="4200"/>
            <w:shd w:fill="007FFF" w:val="clear"/>
            <w:tcMar>
              <w:top w:type="dxa" w:w="60"/>
              <w:left w:type="dxa" w:w="100"/>
              <w:bottom w:type="dxa" w:w="60"/>
              <w:right w:type="dxa" w:w="100"/>
            </w:tcMar>
          </w:tcPr>
          <w:p>
            <w:r>
              <w:rPr>
                <w:b/>
                <w:bCs/>
                <w:color w:val="FFFFFF"/>
                <w:sz w:val="18"/>
                <w:szCs w:val="18"/>
              </w:rPr>
              <w:t xml:space="preserve">Le partenaire exécute</w:t>
            </w:r>
          </w:p>
        </w:tc>
        <w:tc>
          <w:tcPr>
            <w:tcW w:type="dxa" w:w="4240"/>
            <w:shd w:fill="007FFF" w:val="clear"/>
            <w:tcMar>
              <w:top w:type="dxa" w:w="60"/>
              <w:left w:type="dxa" w:w="100"/>
              <w:bottom w:type="dxa" w:w="60"/>
              <w:right w:type="dxa" w:w="100"/>
            </w:tcMar>
          </w:tcPr>
          <w:p>
            <w:r>
              <w:rPr>
                <w:b/>
                <w:bCs/>
                <w:color w:val="FFFFFF"/>
                <w:sz w:val="18"/>
                <w:szCs w:val="18"/>
              </w:rPr>
              <w:t xml:space="preserve">L’équipe garde en interne</w:t>
            </w:r>
          </w:p>
        </w:tc>
      </w:tr>
      <w:tr>
        <w:tc>
          <w:tcPr>
            <w:tcW w:type="dxa" w:w="4200"/>
            <w:tcMar>
              <w:top w:type="dxa" w:w="60"/>
              <w:left w:type="dxa" w:w="100"/>
              <w:bottom w:type="dxa" w:w="60"/>
              <w:right w:type="dxa" w:w="100"/>
            </w:tcMar>
          </w:tcPr>
          <w:p>
            <w:r>
              <w:rPr>
                <w:b w:val="false"/>
                <w:bCs w:val="false"/>
                <w:sz w:val="20"/>
                <w:szCs w:val="20"/>
              </w:rPr>
              <w:t xml:space="preserve">Direction créative &amp; identité de campagne</w:t>
            </w:r>
          </w:p>
        </w:tc>
        <w:tc>
          <w:tcPr>
            <w:tcW w:type="dxa" w:w="4240"/>
            <w:tcMar>
              <w:top w:type="dxa" w:w="60"/>
              <w:left w:type="dxa" w:w="100"/>
              <w:bottom w:type="dxa" w:w="60"/>
              <w:right w:type="dxa" w:w="100"/>
            </w:tcMar>
          </w:tcPr>
          <w:p>
            <w:r>
              <w:rPr>
                <w:b w:val="false"/>
                <w:bCs w:val="false"/>
                <w:sz w:val="20"/>
                <w:szCs w:val="20"/>
              </w:rPr>
              <w:t xml:space="preserve">Relation avec les coordinateurs</w:t>
            </w:r>
          </w:p>
        </w:tc>
      </w:tr>
      <w:tr>
        <w:tc>
          <w:tcPr>
            <w:tcW w:type="dxa" w:w="4200"/>
            <w:shd w:fill="F4F8FC" w:val="clear"/>
            <w:tcMar>
              <w:top w:type="dxa" w:w="60"/>
              <w:left w:type="dxa" w:w="100"/>
              <w:bottom w:type="dxa" w:w="60"/>
              <w:right w:type="dxa" w:w="100"/>
            </w:tcMar>
          </w:tcPr>
          <w:p>
            <w:r>
              <w:rPr>
                <w:b w:val="false"/>
                <w:bCs w:val="false"/>
                <w:sz w:val="20"/>
                <w:szCs w:val="20"/>
              </w:rPr>
              <w:t xml:space="preserve">Production vidéo courte (TikTok, Reels)</w:t>
            </w:r>
          </w:p>
        </w:tc>
        <w:tc>
          <w:tcPr>
            <w:tcW w:type="dxa" w:w="4240"/>
            <w:shd w:fill="F4F8FC" w:val="clear"/>
            <w:tcMar>
              <w:top w:type="dxa" w:w="60"/>
              <w:left w:type="dxa" w:w="100"/>
              <w:bottom w:type="dxa" w:w="60"/>
              <w:right w:type="dxa" w:w="100"/>
            </w:tcMar>
          </w:tcPr>
          <w:p>
            <w:r>
              <w:rPr>
                <w:b w:val="false"/>
                <w:bCs w:val="false"/>
                <w:sz w:val="20"/>
                <w:szCs w:val="20"/>
              </w:rPr>
              <w:t xml:space="preserve">Message politique &amp; ligne du parti</w:t>
            </w:r>
          </w:p>
        </w:tc>
      </w:tr>
      <w:tr>
        <w:tc>
          <w:tcPr>
            <w:tcW w:type="dxa" w:w="4200"/>
            <w:tcMar>
              <w:top w:type="dxa" w:w="60"/>
              <w:left w:type="dxa" w:w="100"/>
              <w:bottom w:type="dxa" w:w="60"/>
              <w:right w:type="dxa" w:w="100"/>
            </w:tcMar>
          </w:tcPr>
          <w:p>
            <w:r>
              <w:rPr>
                <w:b w:val="false"/>
                <w:bCs w:val="false"/>
                <w:sz w:val="20"/>
                <w:szCs w:val="20"/>
              </w:rPr>
              <w:t xml:space="preserve">Gestion &amp; amplification réseaux</w:t>
            </w:r>
          </w:p>
        </w:tc>
        <w:tc>
          <w:tcPr>
            <w:tcW w:type="dxa" w:w="4240"/>
            <w:tcMar>
              <w:top w:type="dxa" w:w="60"/>
              <w:left w:type="dxa" w:w="100"/>
              <w:bottom w:type="dxa" w:w="60"/>
              <w:right w:type="dxa" w:w="100"/>
            </w:tcMar>
          </w:tcPr>
          <w:p>
            <w:r>
              <w:rPr>
                <w:b w:val="false"/>
                <w:bCs w:val="false"/>
                <w:sz w:val="20"/>
                <w:szCs w:val="20"/>
              </w:rPr>
              <w:t xml:space="preserve">Demandes personnelles du fondateur</w:t>
            </w:r>
          </w:p>
        </w:tc>
      </w:tr>
      <w:tr>
        <w:tc>
          <w:tcPr>
            <w:tcW w:type="dxa" w:w="4200"/>
            <w:shd w:fill="F4F8FC" w:val="clear"/>
            <w:tcMar>
              <w:top w:type="dxa" w:w="60"/>
              <w:left w:type="dxa" w:w="100"/>
              <w:bottom w:type="dxa" w:w="60"/>
              <w:right w:type="dxa" w:w="100"/>
            </w:tcMar>
          </w:tcPr>
          <w:p>
            <w:r>
              <w:rPr>
                <w:b w:val="false"/>
                <w:bCs w:val="false"/>
                <w:sz w:val="20"/>
                <w:szCs w:val="20"/>
              </w:rPr>
              <w:t xml:space="preserve">A/B testing des messages par segment</w:t>
            </w:r>
          </w:p>
        </w:tc>
        <w:tc>
          <w:tcPr>
            <w:tcW w:type="dxa" w:w="4240"/>
            <w:shd w:fill="F4F8FC" w:val="clear"/>
            <w:tcMar>
              <w:top w:type="dxa" w:w="60"/>
              <w:left w:type="dxa" w:w="100"/>
              <w:bottom w:type="dxa" w:w="60"/>
              <w:right w:type="dxa" w:w="100"/>
            </w:tcMar>
          </w:tcPr>
          <w:p>
            <w:r>
              <w:rPr>
                <w:b w:val="false"/>
                <w:bCs w:val="false"/>
                <w:sz w:val="20"/>
                <w:szCs w:val="20"/>
              </w:rPr>
              <w:t xml:space="preserve">Modération &amp; communauté</w:t>
            </w:r>
          </w:p>
        </w:tc>
      </w:tr>
      <w:tr>
        <w:tc>
          <w:tcPr>
            <w:tcW w:type="dxa" w:w="4200"/>
            <w:tcMar>
              <w:top w:type="dxa" w:w="60"/>
              <w:left w:type="dxa" w:w="100"/>
              <w:bottom w:type="dxa" w:w="60"/>
              <w:right w:type="dxa" w:w="100"/>
            </w:tcMar>
          </w:tcPr>
          <w:p>
            <w:r>
              <w:rPr>
                <w:b w:val="false"/>
                <w:bCs w:val="false"/>
                <w:sz w:val="20"/>
                <w:szCs w:val="20"/>
              </w:rPr>
              <w:t xml:space="preserve">Analytics &amp; optimisation continue</w:t>
            </w:r>
          </w:p>
        </w:tc>
        <w:tc>
          <w:tcPr>
            <w:tcW w:type="dxa" w:w="4240"/>
            <w:tcMar>
              <w:top w:type="dxa" w:w="60"/>
              <w:left w:type="dxa" w:w="100"/>
              <w:bottom w:type="dxa" w:w="60"/>
              <w:right w:type="dxa" w:w="100"/>
            </w:tcMar>
          </w:tcPr>
          <w:p>
            <w:r>
              <w:rPr>
                <w:b w:val="false"/>
                <w:bCs w:val="false"/>
                <w:sz w:val="20"/>
                <w:szCs w:val="20"/>
              </w:rPr>
              <w:t xml:space="preserve">La décision finale (l’humain décide)</w:t>
            </w:r>
          </w:p>
        </w:tc>
      </w:tr>
    </w:tbl>
    <w:p>
      <w:pPr>
        <w:spacing w:after="120"/>
      </w:pPr>
      <w:r>
        <w:rPr>
          <w:i/>
          <w:iCs/>
          <w:color w:val="555555"/>
          <w:sz w:val="18"/>
          <w:szCs w:val="18"/>
        </w:rPr>
        <w:t xml:space="preserve">Contact recommandé : https://www.marketwaros.com/</w:t>
      </w:r>
    </w:p>
    <w:p>
      <w:r>
        <w:br w:type="page"/>
      </w:r>
    </w:p>
    <w:p>
      <w:pPr>
        <w:pStyle w:val="Heading1"/>
        <w:spacing w:after="140" w:before="340"/>
      </w:pPr>
      <w:r>
        <w:rPr>
          <w:color w:val="0055CC"/>
        </w:rPr>
        <w:t xml:space="preserve">8. Fournisseurs &amp; sourcing</w:t>
      </w:r>
    </w:p>
    <w:p>
      <w:pPr>
        <w:spacing w:after="130"/>
      </w:pPr>
      <w:r>
        <w:rPr>
          <w:sz w:val="22"/>
          <w:szCs w:val="22"/>
        </w:rPr>
        <w:t xml:space="preserve">Ici, les « fournisseurs » sont les briques d’infrastructure et de services. La plupart s’ouvrent en minutes ; deux ont des délais longs et fixent la vraie date de lancement.</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1640"/>
      </w:tblGrid>
      <w:tr>
        <w:trPr>
          <w:tblHeader/>
        </w:trPr>
        <w:tc>
          <w:tcPr>
            <w:tcW w:type="dxa" w:w="2200"/>
            <w:shd w:fill="007FFF" w:val="clear"/>
            <w:tcMar>
              <w:top w:type="dxa" w:w="60"/>
              <w:left w:type="dxa" w:w="100"/>
              <w:bottom w:type="dxa" w:w="60"/>
              <w:right w:type="dxa" w:w="100"/>
            </w:tcMar>
          </w:tcPr>
          <w:p>
            <w:r>
              <w:rPr>
                <w:b/>
                <w:bCs/>
                <w:color w:val="FFFFFF"/>
                <w:sz w:val="18"/>
                <w:szCs w:val="18"/>
              </w:rPr>
              <w:t xml:space="preserve">Fournisseur</w:t>
            </w:r>
          </w:p>
        </w:tc>
        <w:tc>
          <w:tcPr>
            <w:tcW w:type="dxa" w:w="2400"/>
            <w:shd w:fill="007FFF" w:val="clear"/>
            <w:tcMar>
              <w:top w:type="dxa" w:w="60"/>
              <w:left w:type="dxa" w:w="100"/>
              <w:bottom w:type="dxa" w:w="60"/>
              <w:right w:type="dxa" w:w="100"/>
            </w:tcMar>
          </w:tcPr>
          <w:p>
            <w:r>
              <w:rPr>
                <w:b/>
                <w:bCs/>
                <w:color w:val="FFFFFF"/>
                <w:sz w:val="18"/>
                <w:szCs w:val="18"/>
              </w:rPr>
              <w:t xml:space="preserve">Comment le sourcer</w:t>
            </w:r>
          </w:p>
        </w:tc>
        <w:tc>
          <w:tcPr>
            <w:tcW w:type="dxa" w:w="2200"/>
            <w:shd w:fill="007FFF" w:val="clear"/>
            <w:tcMar>
              <w:top w:type="dxa" w:w="60"/>
              <w:left w:type="dxa" w:w="100"/>
              <w:bottom w:type="dxa" w:w="60"/>
              <w:right w:type="dxa" w:w="100"/>
            </w:tcMar>
          </w:tcPr>
          <w:p>
            <w:r>
              <w:rPr>
                <w:b/>
                <w:bCs/>
                <w:color w:val="FFFFFF"/>
                <w:sz w:val="18"/>
                <w:szCs w:val="18"/>
              </w:rPr>
              <w:t xml:space="preserve">Délai</w:t>
            </w:r>
          </w:p>
        </w:tc>
        <w:tc>
          <w:tcPr>
            <w:tcW w:type="dxa" w:w="1640"/>
            <w:shd w:fill="007FFF" w:val="clear"/>
            <w:tcMar>
              <w:top w:type="dxa" w:w="60"/>
              <w:left w:type="dxa" w:w="100"/>
              <w:bottom w:type="dxa" w:w="60"/>
              <w:right w:type="dxa" w:w="100"/>
            </w:tcMar>
          </w:tcPr>
          <w:p>
            <w:r>
              <w:rPr>
                <w:b/>
                <w:bCs/>
                <w:color w:val="FFFFFF"/>
                <w:sz w:val="18"/>
                <w:szCs w:val="18"/>
              </w:rPr>
              <w:t xml:space="preserve">Coût indicatif</w:t>
            </w:r>
          </w:p>
        </w:tc>
      </w:tr>
      <w:tr>
        <w:tc>
          <w:tcPr>
            <w:tcW w:type="dxa" w:w="2200"/>
            <w:tcMar>
              <w:top w:type="dxa" w:w="60"/>
              <w:left w:type="dxa" w:w="100"/>
              <w:bottom w:type="dxa" w:w="60"/>
              <w:right w:type="dxa" w:w="100"/>
            </w:tcMar>
          </w:tcPr>
          <w:p>
            <w:r>
              <w:rPr>
                <w:b w:val="false"/>
                <w:bCs w:val="false"/>
                <w:sz w:val="20"/>
                <w:szCs w:val="20"/>
              </w:rPr>
              <w:t xml:space="preserve">Passerelle paiement (BitriPay / MaxiCash / CinetPay)</w:t>
            </w:r>
          </w:p>
        </w:tc>
        <w:tc>
          <w:tcPr>
            <w:tcW w:type="dxa" w:w="2400"/>
            <w:tcMar>
              <w:top w:type="dxa" w:w="60"/>
              <w:left w:type="dxa" w:w="100"/>
              <w:bottom w:type="dxa" w:w="60"/>
              <w:right w:type="dxa" w:w="100"/>
            </w:tcMar>
          </w:tcPr>
          <w:p>
            <w:r>
              <w:rPr>
                <w:b w:val="false"/>
                <w:bCs w:val="false"/>
                <w:sz w:val="20"/>
                <w:szCs w:val="20"/>
              </w:rPr>
              <w:t xml:space="preserve">Compte marchand : docs légaux + KYB. Comparer les frais FIXES par transaction.</w:t>
            </w:r>
          </w:p>
        </w:tc>
        <w:tc>
          <w:tcPr>
            <w:tcW w:type="dxa" w:w="2200"/>
            <w:tcMar>
              <w:top w:type="dxa" w:w="60"/>
              <w:left w:type="dxa" w:w="100"/>
              <w:bottom w:type="dxa" w:w="60"/>
              <w:right w:type="dxa" w:w="100"/>
            </w:tcMar>
          </w:tcPr>
          <w:p>
            <w:r>
              <w:rPr>
                <w:b w:val="false"/>
                <w:bCs w:val="false"/>
                <w:sz w:val="20"/>
                <w:szCs w:val="20"/>
              </w:rPr>
              <w:t xml:space="preserve">1–3 sem.</w:t>
            </w:r>
          </w:p>
        </w:tc>
        <w:tc>
          <w:tcPr>
            <w:tcW w:type="dxa" w:w="1640"/>
            <w:tcMar>
              <w:top w:type="dxa" w:w="60"/>
              <w:left w:type="dxa" w:w="100"/>
              <w:bottom w:type="dxa" w:w="60"/>
              <w:right w:type="dxa" w:w="100"/>
            </w:tcMar>
          </w:tcPr>
          <w:p>
            <w:r>
              <w:rPr>
                <w:b w:val="false"/>
                <w:bCs w:val="false"/>
                <w:sz w:val="20"/>
                <w:szCs w:val="20"/>
              </w:rPr>
              <w:t xml:space="preserve">~3–3,5 % + fixe</w:t>
            </w:r>
          </w:p>
        </w:tc>
      </w:tr>
      <w:tr>
        <w:tc>
          <w:tcPr>
            <w:tcW w:type="dxa" w:w="2200"/>
            <w:shd w:fill="F4F8FC" w:val="clear"/>
            <w:tcMar>
              <w:top w:type="dxa" w:w="60"/>
              <w:left w:type="dxa" w:w="100"/>
              <w:bottom w:type="dxa" w:w="60"/>
              <w:right w:type="dxa" w:w="100"/>
            </w:tcMar>
          </w:tcPr>
          <w:p>
            <w:r>
              <w:rPr>
                <w:b w:val="false"/>
                <w:bCs w:val="false"/>
                <w:sz w:val="20"/>
                <w:szCs w:val="20"/>
              </w:rPr>
              <w:t xml:space="preserve">IA (Anthropic / OpenAI / Google)</w:t>
            </w:r>
          </w:p>
        </w:tc>
        <w:tc>
          <w:tcPr>
            <w:tcW w:type="dxa" w:w="2400"/>
            <w:shd w:fill="F4F8FC" w:val="clear"/>
            <w:tcMar>
              <w:top w:type="dxa" w:w="60"/>
              <w:left w:type="dxa" w:w="100"/>
              <w:bottom w:type="dxa" w:w="60"/>
              <w:right w:type="dxa" w:w="100"/>
            </w:tcMar>
          </w:tcPr>
          <w:p>
            <w:r>
              <w:rPr>
                <w:b w:val="false"/>
                <w:bCs w:val="false"/>
                <w:sz w:val="20"/>
                <w:szCs w:val="20"/>
              </w:rPr>
              <w:t xml:space="preserve">Clés en ligne (5 min). Repli codé Claude→OpenAI→Gemini.</w:t>
            </w:r>
          </w:p>
        </w:tc>
        <w:tc>
          <w:tcPr>
            <w:tcW w:type="dxa" w:w="2200"/>
            <w:shd w:fill="F4F8FC" w:val="clear"/>
            <w:tcMar>
              <w:top w:type="dxa" w:w="60"/>
              <w:left w:type="dxa" w:w="100"/>
              <w:bottom w:type="dxa" w:w="60"/>
              <w:right w:type="dxa" w:w="100"/>
            </w:tcMar>
          </w:tcPr>
          <w:p>
            <w:r>
              <w:rPr>
                <w:b w:val="false"/>
                <w:bCs w:val="false"/>
                <w:sz w:val="20"/>
                <w:szCs w:val="20"/>
              </w:rPr>
              <w:t xml:space="preserve">Minutes</w:t>
            </w:r>
          </w:p>
        </w:tc>
        <w:tc>
          <w:tcPr>
            <w:tcW w:type="dxa" w:w="1640"/>
            <w:shd w:fill="F4F8FC" w:val="clear"/>
            <w:tcMar>
              <w:top w:type="dxa" w:w="60"/>
              <w:left w:type="dxa" w:w="100"/>
              <w:bottom w:type="dxa" w:w="60"/>
              <w:right w:type="dxa" w:w="100"/>
            </w:tcMar>
          </w:tcPr>
          <w:p>
            <w:r>
              <w:rPr>
                <w:b w:val="false"/>
                <w:bCs w:val="false"/>
                <w:sz w:val="20"/>
                <w:szCs w:val="20"/>
              </w:rPr>
              <w:t xml:space="preserve">À l’usage</w:t>
            </w:r>
          </w:p>
        </w:tc>
      </w:tr>
      <w:tr>
        <w:tc>
          <w:tcPr>
            <w:tcW w:type="dxa" w:w="2200"/>
            <w:tcMar>
              <w:top w:type="dxa" w:w="60"/>
              <w:left w:type="dxa" w:w="100"/>
              <w:bottom w:type="dxa" w:w="60"/>
              <w:right w:type="dxa" w:w="100"/>
            </w:tcMar>
          </w:tcPr>
          <w:p>
            <w:r>
              <w:rPr>
                <w:b w:val="false"/>
                <w:bCs w:val="false"/>
                <w:sz w:val="20"/>
                <w:szCs w:val="20"/>
              </w:rPr>
              <w:t xml:space="preserve">Base de données (Firebase)</w:t>
            </w:r>
          </w:p>
        </w:tc>
        <w:tc>
          <w:tcPr>
            <w:tcW w:type="dxa" w:w="2400"/>
            <w:tcMar>
              <w:top w:type="dxa" w:w="60"/>
              <w:left w:type="dxa" w:w="100"/>
              <w:bottom w:type="dxa" w:w="60"/>
              <w:right w:type="dxa" w:w="100"/>
            </w:tcMar>
          </w:tcPr>
          <w:p>
            <w:r>
              <w:rPr>
                <w:b w:val="false"/>
                <w:bCs w:val="false"/>
                <w:sz w:val="20"/>
                <w:szCs w:val="20"/>
              </w:rPr>
              <w:t xml:space="preserve">Compte Google → projet → clés Web.</w:t>
            </w:r>
          </w:p>
        </w:tc>
        <w:tc>
          <w:tcPr>
            <w:tcW w:type="dxa" w:w="2200"/>
            <w:tcMar>
              <w:top w:type="dxa" w:w="60"/>
              <w:left w:type="dxa" w:w="100"/>
              <w:bottom w:type="dxa" w:w="60"/>
              <w:right w:type="dxa" w:w="100"/>
            </w:tcMar>
          </w:tcPr>
          <w:p>
            <w:r>
              <w:rPr>
                <w:b w:val="false"/>
                <w:bCs w:val="false"/>
                <w:sz w:val="20"/>
                <w:szCs w:val="20"/>
              </w:rPr>
              <w:t xml:space="preserve">15 min</w:t>
            </w:r>
          </w:p>
        </w:tc>
        <w:tc>
          <w:tcPr>
            <w:tcW w:type="dxa" w:w="1640"/>
            <w:tcMar>
              <w:top w:type="dxa" w:w="60"/>
              <w:left w:type="dxa" w:w="100"/>
              <w:bottom w:type="dxa" w:w="60"/>
              <w:right w:type="dxa" w:w="100"/>
            </w:tcMar>
          </w:tcPr>
          <w:p>
            <w:r>
              <w:rPr>
                <w:b w:val="false"/>
                <w:bCs w:val="false"/>
                <w:sz w:val="20"/>
                <w:szCs w:val="20"/>
              </w:rPr>
              <w:t xml:space="preserve">0–25 $/mois</w:t>
            </w:r>
          </w:p>
        </w:tc>
      </w:tr>
      <w:tr>
        <w:tc>
          <w:tcPr>
            <w:tcW w:type="dxa" w:w="2200"/>
            <w:shd w:fill="F4F8FC" w:val="clear"/>
            <w:tcMar>
              <w:top w:type="dxa" w:w="60"/>
              <w:left w:type="dxa" w:w="100"/>
              <w:bottom w:type="dxa" w:w="60"/>
              <w:right w:type="dxa" w:w="100"/>
            </w:tcMar>
          </w:tcPr>
          <w:p>
            <w:r>
              <w:rPr>
                <w:b w:val="false"/>
                <w:bCs w:val="false"/>
                <w:sz w:val="20"/>
                <w:szCs w:val="20"/>
              </w:rPr>
              <w:t xml:space="preserve">Hébergement (Vercel)</w:t>
            </w:r>
          </w:p>
        </w:tc>
        <w:tc>
          <w:tcPr>
            <w:tcW w:type="dxa" w:w="2400"/>
            <w:shd w:fill="F4F8FC" w:val="clear"/>
            <w:tcMar>
              <w:top w:type="dxa" w:w="60"/>
              <w:left w:type="dxa" w:w="100"/>
              <w:bottom w:type="dxa" w:w="60"/>
              <w:right w:type="dxa" w:w="100"/>
            </w:tcMar>
          </w:tcPr>
          <w:p>
            <w:r>
              <w:rPr>
                <w:b w:val="false"/>
                <w:bCs w:val="false"/>
                <w:sz w:val="20"/>
                <w:szCs w:val="20"/>
              </w:rPr>
              <w:t xml:space="preserve">Connecter le dépôt GitHub ; Root = frontend.</w:t>
            </w:r>
          </w:p>
        </w:tc>
        <w:tc>
          <w:tcPr>
            <w:tcW w:type="dxa" w:w="2200"/>
            <w:shd w:fill="F4F8FC" w:val="clear"/>
            <w:tcMar>
              <w:top w:type="dxa" w:w="60"/>
              <w:left w:type="dxa" w:w="100"/>
              <w:bottom w:type="dxa" w:w="60"/>
              <w:right w:type="dxa" w:w="100"/>
            </w:tcMar>
          </w:tcPr>
          <w:p>
            <w:r>
              <w:rPr>
                <w:b w:val="false"/>
                <w:bCs w:val="false"/>
                <w:sz w:val="20"/>
                <w:szCs w:val="20"/>
              </w:rPr>
              <w:t xml:space="preserve">Minutes</w:t>
            </w:r>
          </w:p>
        </w:tc>
        <w:tc>
          <w:tcPr>
            <w:tcW w:type="dxa" w:w="1640"/>
            <w:shd w:fill="F4F8FC" w:val="clear"/>
            <w:tcMar>
              <w:top w:type="dxa" w:w="60"/>
              <w:left w:type="dxa" w:w="100"/>
              <w:bottom w:type="dxa" w:w="60"/>
              <w:right w:type="dxa" w:w="100"/>
            </w:tcMar>
          </w:tcPr>
          <w:p>
            <w:r>
              <w:rPr>
                <w:b w:val="false"/>
                <w:bCs w:val="false"/>
                <w:sz w:val="20"/>
                <w:szCs w:val="20"/>
              </w:rPr>
              <w:t xml:space="preserve">~20 $/mois</w:t>
            </w:r>
          </w:p>
        </w:tc>
      </w:tr>
      <w:tr>
        <w:tc>
          <w:tcPr>
            <w:tcW w:type="dxa" w:w="2200"/>
            <w:tcMar>
              <w:top w:type="dxa" w:w="60"/>
              <w:left w:type="dxa" w:w="100"/>
              <w:bottom w:type="dxa" w:w="60"/>
              <w:right w:type="dxa" w:w="100"/>
            </w:tcMar>
          </w:tcPr>
          <w:p>
            <w:r>
              <w:rPr>
                <w:b w:val="false"/>
                <w:bCs w:val="false"/>
                <w:sz w:val="20"/>
                <w:szCs w:val="20"/>
              </w:rPr>
              <w:t xml:space="preserve">Email (Resend)</w:t>
            </w:r>
          </w:p>
        </w:tc>
        <w:tc>
          <w:tcPr>
            <w:tcW w:type="dxa" w:w="2400"/>
            <w:tcMar>
              <w:top w:type="dxa" w:w="60"/>
              <w:left w:type="dxa" w:w="100"/>
              <w:bottom w:type="dxa" w:w="60"/>
              <w:right w:type="dxa" w:w="100"/>
            </w:tcMar>
          </w:tcPr>
          <w:p>
            <w:r>
              <w:rPr>
                <w:b w:val="false"/>
                <w:bCs w:val="false"/>
                <w:sz w:val="20"/>
                <w:szCs w:val="20"/>
              </w:rPr>
              <w:t xml:space="preserve">Compte + vérifier le domaine (SPF/DKIM).</w:t>
            </w:r>
          </w:p>
        </w:tc>
        <w:tc>
          <w:tcPr>
            <w:tcW w:type="dxa" w:w="2200"/>
            <w:tcMar>
              <w:top w:type="dxa" w:w="60"/>
              <w:left w:type="dxa" w:w="100"/>
              <w:bottom w:type="dxa" w:w="60"/>
              <w:right w:type="dxa" w:w="100"/>
            </w:tcMar>
          </w:tcPr>
          <w:p>
            <w:r>
              <w:rPr>
                <w:b w:val="false"/>
                <w:bCs w:val="false"/>
                <w:sz w:val="20"/>
                <w:szCs w:val="20"/>
              </w:rPr>
              <w:t xml:space="preserve">1 jour</w:t>
            </w:r>
          </w:p>
        </w:tc>
        <w:tc>
          <w:tcPr>
            <w:tcW w:type="dxa" w:w="1640"/>
            <w:tcMar>
              <w:top w:type="dxa" w:w="60"/>
              <w:left w:type="dxa" w:w="100"/>
              <w:bottom w:type="dxa" w:w="60"/>
              <w:right w:type="dxa" w:w="100"/>
            </w:tcMar>
          </w:tcPr>
          <w:p>
            <w:r>
              <w:rPr>
                <w:b w:val="false"/>
                <w:bCs w:val="false"/>
                <w:sz w:val="20"/>
                <w:szCs w:val="20"/>
              </w:rPr>
              <w:t xml:space="preserve">0–20 $/mois</w:t>
            </w:r>
          </w:p>
        </w:tc>
      </w:tr>
      <w:tr>
        <w:tc>
          <w:tcPr>
            <w:tcW w:type="dxa" w:w="2200"/>
            <w:shd w:fill="F4F8FC" w:val="clear"/>
            <w:tcMar>
              <w:top w:type="dxa" w:w="60"/>
              <w:left w:type="dxa" w:w="100"/>
              <w:bottom w:type="dxa" w:w="60"/>
              <w:right w:type="dxa" w:w="100"/>
            </w:tcMar>
          </w:tcPr>
          <w:p>
            <w:r>
              <w:rPr>
                <w:b w:val="false"/>
                <w:bCs w:val="false"/>
                <w:sz w:val="20"/>
                <w:szCs w:val="20"/>
              </w:rPr>
              <w:t xml:space="preserve">Domaine congodabord.cd</w:t>
            </w:r>
          </w:p>
        </w:tc>
        <w:tc>
          <w:tcPr>
            <w:tcW w:type="dxa" w:w="2400"/>
            <w:shd w:fill="F4F8FC" w:val="clear"/>
            <w:tcMar>
              <w:top w:type="dxa" w:w="60"/>
              <w:left w:type="dxa" w:w="100"/>
              <w:bottom w:type="dxa" w:w="60"/>
              <w:right w:type="dxa" w:w="100"/>
            </w:tcMar>
          </w:tcPr>
          <w:p>
            <w:r>
              <w:rPr>
                <w:b w:val="false"/>
                <w:bCs w:val="false"/>
                <w:sz w:val="20"/>
                <w:szCs w:val="20"/>
              </w:rPr>
              <w:t xml:space="preserve">Registraire .cd — réserver maintenant.</w:t>
            </w:r>
          </w:p>
        </w:tc>
        <w:tc>
          <w:tcPr>
            <w:tcW w:type="dxa" w:w="2200"/>
            <w:shd w:fill="F4F8FC" w:val="clear"/>
            <w:tcMar>
              <w:top w:type="dxa" w:w="60"/>
              <w:left w:type="dxa" w:w="100"/>
              <w:bottom w:type="dxa" w:w="60"/>
              <w:right w:type="dxa" w:w="100"/>
            </w:tcMar>
          </w:tcPr>
          <w:p>
            <w:r>
              <w:rPr>
                <w:b w:val="false"/>
                <w:bCs w:val="false"/>
                <w:sz w:val="20"/>
                <w:szCs w:val="20"/>
              </w:rPr>
              <w:t xml:space="preserve">1 jour</w:t>
            </w:r>
          </w:p>
        </w:tc>
        <w:tc>
          <w:tcPr>
            <w:tcW w:type="dxa" w:w="1640"/>
            <w:shd w:fill="F4F8FC" w:val="clear"/>
            <w:tcMar>
              <w:top w:type="dxa" w:w="60"/>
              <w:left w:type="dxa" w:w="100"/>
              <w:bottom w:type="dxa" w:w="60"/>
              <w:right w:type="dxa" w:w="100"/>
            </w:tcMar>
          </w:tcPr>
          <w:p>
            <w:r>
              <w:rPr>
                <w:b w:val="false"/>
                <w:bCs w:val="false"/>
                <w:sz w:val="20"/>
                <w:szCs w:val="20"/>
              </w:rPr>
              <w:t xml:space="preserve">~15–50 $/an</w:t>
            </w:r>
          </w:p>
        </w:tc>
      </w:tr>
      <w:tr>
        <w:tc>
          <w:tcPr>
            <w:tcW w:type="dxa" w:w="2200"/>
            <w:tcMar>
              <w:top w:type="dxa" w:w="60"/>
              <w:left w:type="dxa" w:w="100"/>
              <w:bottom w:type="dxa" w:w="60"/>
              <w:right w:type="dxa" w:w="100"/>
            </w:tcMar>
          </w:tcPr>
          <w:p>
            <w:r>
              <w:rPr>
                <w:b w:val="false"/>
                <w:bCs w:val="false"/>
                <w:color w:val="CE1126"/>
                <w:sz w:val="20"/>
                <w:szCs w:val="20"/>
              </w:rPr>
              <w:t xml:space="preserve">Enregistrement légal (CENI / Ministère)</w:t>
            </w:r>
          </w:p>
        </w:tc>
        <w:tc>
          <w:tcPr>
            <w:tcW w:type="dxa" w:w="2400"/>
            <w:tcMar>
              <w:top w:type="dxa" w:w="60"/>
              <w:left w:type="dxa" w:w="100"/>
              <w:bottom w:type="dxa" w:w="60"/>
              <w:right w:type="dxa" w:w="100"/>
            </w:tcMar>
          </w:tcPr>
          <w:p>
            <w:r>
              <w:rPr>
                <w:b w:val="false"/>
                <w:bCs w:val="false"/>
                <w:sz w:val="20"/>
                <w:szCs w:val="20"/>
              </w:rPr>
              <w:t xml:space="preserve">Dossier officiel — chemin critique le plus long.</w:t>
            </w:r>
          </w:p>
        </w:tc>
        <w:tc>
          <w:tcPr>
            <w:tcW w:type="dxa" w:w="2200"/>
            <w:tcMar>
              <w:top w:type="dxa" w:w="60"/>
              <w:left w:type="dxa" w:w="100"/>
              <w:bottom w:type="dxa" w:w="60"/>
              <w:right w:type="dxa" w:w="100"/>
            </w:tcMar>
          </w:tcPr>
          <w:p>
            <w:r>
              <w:rPr>
                <w:b w:val="false"/>
                <w:bCs w:val="false"/>
                <w:sz w:val="20"/>
                <w:szCs w:val="20"/>
              </w:rPr>
              <w:t xml:space="preserve">Mois</w:t>
            </w:r>
          </w:p>
        </w:tc>
        <w:tc>
          <w:tcPr>
            <w:tcW w:type="dxa" w:w="1640"/>
            <w:tcMar>
              <w:top w:type="dxa" w:w="60"/>
              <w:left w:type="dxa" w:w="100"/>
              <w:bottom w:type="dxa" w:w="60"/>
              <w:right w:type="dxa" w:w="100"/>
            </w:tcMar>
          </w:tcPr>
          <w:p>
            <w:r>
              <w:rPr>
                <w:b w:val="false"/>
                <w:bCs w:val="false"/>
                <w:sz w:val="20"/>
                <w:szCs w:val="20"/>
              </w:rPr>
              <w:t xml:space="preserve">Frais officiels</w:t>
            </w:r>
          </w:p>
        </w:tc>
      </w:tr>
      <w:tr>
        <w:tc>
          <w:tcPr>
            <w:tcW w:type="dxa" w:w="2200"/>
            <w:shd w:fill="F4F8FC" w:val="clear"/>
            <w:tcMar>
              <w:top w:type="dxa" w:w="60"/>
              <w:left w:type="dxa" w:w="100"/>
              <w:bottom w:type="dxa" w:w="60"/>
              <w:right w:type="dxa" w:w="100"/>
            </w:tcMar>
          </w:tcPr>
          <w:p>
            <w:r>
              <w:rPr>
                <w:b w:val="false"/>
                <w:bCs w:val="false"/>
                <w:sz w:val="20"/>
                <w:szCs w:val="20"/>
              </w:rPr>
              <w:t xml:space="preserve">SMS (agrégateur local, optionnel)</w:t>
            </w:r>
          </w:p>
        </w:tc>
        <w:tc>
          <w:tcPr>
            <w:tcW w:type="dxa" w:w="2400"/>
            <w:shd w:fill="F4F8FC" w:val="clear"/>
            <w:tcMar>
              <w:top w:type="dxa" w:w="60"/>
              <w:left w:type="dxa" w:w="100"/>
              <w:bottom w:type="dxa" w:w="60"/>
              <w:right w:type="dxa" w:w="100"/>
            </w:tcMar>
          </w:tcPr>
          <w:p>
            <w:r>
              <w:rPr>
                <w:b w:val="false"/>
                <w:bCs w:val="false"/>
                <w:sz w:val="20"/>
                <w:szCs w:val="20"/>
              </w:rPr>
              <w:t xml:space="preserve">Phase d’échelle, pas au lancement.</w:t>
            </w:r>
          </w:p>
        </w:tc>
        <w:tc>
          <w:tcPr>
            <w:tcW w:type="dxa" w:w="2200"/>
            <w:shd w:fill="F4F8FC" w:val="clear"/>
            <w:tcMar>
              <w:top w:type="dxa" w:w="60"/>
              <w:left w:type="dxa" w:w="100"/>
              <w:bottom w:type="dxa" w:w="60"/>
              <w:right w:type="dxa" w:w="100"/>
            </w:tcMar>
          </w:tcPr>
          <w:p>
            <w:r>
              <w:rPr>
                <w:b w:val="false"/>
                <w:bCs w:val="false"/>
                <w:sz w:val="20"/>
                <w:szCs w:val="20"/>
              </w:rPr>
              <w:t xml:space="preserve">1–2 sem.</w:t>
            </w:r>
          </w:p>
        </w:tc>
        <w:tc>
          <w:tcPr>
            <w:tcW w:type="dxa" w:w="1640"/>
            <w:shd w:fill="F4F8FC" w:val="clear"/>
            <w:tcMar>
              <w:top w:type="dxa" w:w="60"/>
              <w:left w:type="dxa" w:w="100"/>
              <w:bottom w:type="dxa" w:w="60"/>
              <w:right w:type="dxa" w:w="100"/>
            </w:tcMar>
          </w:tcPr>
          <w:p>
            <w:r>
              <w:rPr>
                <w:b w:val="false"/>
                <w:bCs w:val="false"/>
                <w:sz w:val="20"/>
                <w:szCs w:val="20"/>
              </w:rPr>
              <w:t xml:space="preserve">Par SMS</w:t>
            </w:r>
          </w:p>
        </w:tc>
      </w:tr>
    </w:tbl>
    <w:p>
      <w:pPr>
        <w:spacing w:after="130"/>
      </w:pPr>
      <w:r>
        <w:rPr>
          <w:b/>
          <w:bCs/>
          <w:color w:val="CE1126"/>
          <w:sz w:val="22"/>
          <w:szCs w:val="22"/>
        </w:rPr>
        <w:t xml:space="preserve">Deux items sont des chemins critiques : l’enregistrement légal et le compte marchand. Lancer ces deux démarches en premier — elles fixent la date de lancement réelle.</w:t>
      </w:r>
    </w:p>
    <w:p>
      <w:r>
        <w:br w:type="page"/>
      </w:r>
    </w:p>
    <w:p>
      <w:pPr>
        <w:pStyle w:val="Heading1"/>
        <w:spacing w:after="140" w:before="340"/>
      </w:pPr>
      <w:r>
        <w:rPr>
          <w:color w:val="0055CC"/>
        </w:rPr>
        <w:t xml:space="preserve">9. Budget — chiffres réels (estimations USD)</w:t>
      </w:r>
    </w:p>
    <w:p>
      <w:pPr>
        <w:spacing w:after="130"/>
      </w:pPr>
      <w:r>
        <w:rPr>
          <w:sz w:val="22"/>
          <w:szCs w:val="22"/>
        </w:rPr>
        <w:t xml:space="preserve">Deux scénarios sur 90 jours. Tous les montants sont des estimations à confirmer par devis. Les frais de passerelle sont un pourcentage par transaction, hors budget fixe ci-dessous.</w:t>
      </w:r>
    </w:p>
    <w:p>
      <w:pPr>
        <w:pStyle w:val="Heading2"/>
        <w:spacing w:after="100" w:before="260"/>
      </w:pPr>
      <w:r>
        <w:rPr>
          <w:color w:val="007FFF"/>
        </w:rPr>
        <w:t xml:space="preserve">9.1 Coûts d’infrastructure (récurrents)</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640"/>
      </w:tblGrid>
      <w:tr>
        <w:trPr>
          <w:tblHeader/>
        </w:trPr>
        <w:tc>
          <w:tcPr>
            <w:tcW w:type="dxa" w:w="3400"/>
            <w:shd w:fill="007FFF" w:val="clear"/>
            <w:tcMar>
              <w:top w:type="dxa" w:w="60"/>
              <w:left w:type="dxa" w:w="100"/>
              <w:bottom w:type="dxa" w:w="60"/>
              <w:right w:type="dxa" w:w="100"/>
            </w:tcMar>
          </w:tcPr>
          <w:p>
            <w:r>
              <w:rPr>
                <w:b/>
                <w:bCs/>
                <w:color w:val="FFFFFF"/>
                <w:sz w:val="18"/>
                <w:szCs w:val="18"/>
              </w:rPr>
              <w:t xml:space="preserve">Poste</w:t>
            </w:r>
          </w:p>
        </w:tc>
        <w:tc>
          <w:tcPr>
            <w:tcW w:type="dxa" w:w="1700"/>
            <w:shd w:fill="007FFF" w:val="clear"/>
            <w:tcMar>
              <w:top w:type="dxa" w:w="60"/>
              <w:left w:type="dxa" w:w="100"/>
              <w:bottom w:type="dxa" w:w="60"/>
              <w:right w:type="dxa" w:w="100"/>
            </w:tcMar>
          </w:tcPr>
          <w:p>
            <w:r>
              <w:rPr>
                <w:b/>
                <w:bCs/>
                <w:color w:val="FFFFFF"/>
                <w:sz w:val="18"/>
                <w:szCs w:val="18"/>
              </w:rPr>
              <w:t xml:space="preserve">Mensuel</w:t>
            </w:r>
          </w:p>
        </w:tc>
        <w:tc>
          <w:tcPr>
            <w:tcW w:type="dxa" w:w="1700"/>
            <w:shd w:fill="007FFF" w:val="clear"/>
            <w:tcMar>
              <w:top w:type="dxa" w:w="60"/>
              <w:left w:type="dxa" w:w="100"/>
              <w:bottom w:type="dxa" w:w="60"/>
              <w:right w:type="dxa" w:w="100"/>
            </w:tcMar>
          </w:tcPr>
          <w:p>
            <w:r>
              <w:rPr>
                <w:b/>
                <w:bCs/>
                <w:color w:val="FFFFFF"/>
                <w:sz w:val="18"/>
                <w:szCs w:val="18"/>
              </w:rPr>
              <w:t xml:space="preserve">x3 mois</w:t>
            </w:r>
          </w:p>
        </w:tc>
        <w:tc>
          <w:tcPr>
            <w:tcW w:type="dxa" w:w="1640"/>
            <w:shd w:fill="007FFF" w:val="clear"/>
            <w:tcMar>
              <w:top w:type="dxa" w:w="60"/>
              <w:left w:type="dxa" w:w="100"/>
              <w:bottom w:type="dxa" w:w="60"/>
              <w:right w:type="dxa" w:w="100"/>
            </w:tcMar>
          </w:tcPr>
          <w:p>
            <w:r>
              <w:rPr>
                <w:b/>
                <w:bCs/>
                <w:color w:val="FFFFFF"/>
                <w:sz w:val="18"/>
                <w:szCs w:val="18"/>
              </w:rPr>
              <w:t xml:space="preserve">Note</w:t>
            </w:r>
          </w:p>
        </w:tc>
      </w:tr>
      <w:tr>
        <w:tc>
          <w:tcPr>
            <w:tcW w:type="dxa" w:w="3400"/>
            <w:tcMar>
              <w:top w:type="dxa" w:w="60"/>
              <w:left w:type="dxa" w:w="100"/>
              <w:bottom w:type="dxa" w:w="60"/>
              <w:right w:type="dxa" w:w="100"/>
            </w:tcMar>
          </w:tcPr>
          <w:p>
            <w:r>
              <w:rPr>
                <w:b w:val="false"/>
                <w:bCs w:val="false"/>
                <w:sz w:val="20"/>
                <w:szCs w:val="20"/>
              </w:rPr>
              <w:t xml:space="preserve">Hébergement Vercel Pro</w:t>
            </w:r>
          </w:p>
        </w:tc>
        <w:tc>
          <w:tcPr>
            <w:tcW w:type="dxa" w:w="1700"/>
            <w:tcMar>
              <w:top w:type="dxa" w:w="60"/>
              <w:left w:type="dxa" w:w="100"/>
              <w:bottom w:type="dxa" w:w="60"/>
              <w:right w:type="dxa" w:w="100"/>
            </w:tcMar>
          </w:tcPr>
          <w:p>
            <w:r>
              <w:rPr>
                <w:b w:val="false"/>
                <w:bCs w:val="false"/>
                <w:sz w:val="20"/>
                <w:szCs w:val="20"/>
              </w:rPr>
              <w:t xml:space="preserve">20</w:t>
            </w:r>
          </w:p>
        </w:tc>
        <w:tc>
          <w:tcPr>
            <w:tcW w:type="dxa" w:w="1700"/>
            <w:tcMar>
              <w:top w:type="dxa" w:w="60"/>
              <w:left w:type="dxa" w:w="100"/>
              <w:bottom w:type="dxa" w:w="60"/>
              <w:right w:type="dxa" w:w="100"/>
            </w:tcMar>
          </w:tcPr>
          <w:p>
            <w:r>
              <w:rPr>
                <w:b w:val="false"/>
                <w:bCs w:val="false"/>
                <w:sz w:val="20"/>
                <w:szCs w:val="20"/>
              </w:rPr>
              <w:t xml:space="preserve">60</w:t>
            </w:r>
          </w:p>
        </w:tc>
        <w:tc>
          <w:tcPr>
            <w:tcW w:type="dxa" w:w="1640"/>
            <w:tcMar>
              <w:top w:type="dxa" w:w="60"/>
              <w:left w:type="dxa" w:w="100"/>
              <w:bottom w:type="dxa" w:w="60"/>
              <w:right w:type="dxa" w:w="100"/>
            </w:tcMar>
          </w:tcPr>
          <w:p>
            <w:r>
              <w:rPr>
                <w:b w:val="false"/>
                <w:bCs w:val="false"/>
                <w:sz w:val="20"/>
                <w:szCs w:val="20"/>
              </w:rPr>
              <w:t xml:space="preserve">Fixe</w:t>
            </w:r>
          </w:p>
        </w:tc>
      </w:tr>
      <w:tr>
        <w:tc>
          <w:tcPr>
            <w:tcW w:type="dxa" w:w="3400"/>
            <w:shd w:fill="F4F8FC" w:val="clear"/>
            <w:tcMar>
              <w:top w:type="dxa" w:w="60"/>
              <w:left w:type="dxa" w:w="100"/>
              <w:bottom w:type="dxa" w:w="60"/>
              <w:right w:type="dxa" w:w="100"/>
            </w:tcMar>
          </w:tcPr>
          <w:p>
            <w:r>
              <w:rPr>
                <w:b w:val="false"/>
                <w:bCs w:val="false"/>
                <w:sz w:val="20"/>
                <w:szCs w:val="20"/>
              </w:rPr>
              <w:t xml:space="preserve">Base de données Firebase</w:t>
            </w:r>
          </w:p>
        </w:tc>
        <w:tc>
          <w:tcPr>
            <w:tcW w:type="dxa" w:w="1700"/>
            <w:shd w:fill="F4F8FC" w:val="clear"/>
            <w:tcMar>
              <w:top w:type="dxa" w:w="60"/>
              <w:left w:type="dxa" w:w="100"/>
              <w:bottom w:type="dxa" w:w="60"/>
              <w:right w:type="dxa" w:w="100"/>
            </w:tcMar>
          </w:tcPr>
          <w:p>
            <w:r>
              <w:rPr>
                <w:b w:val="false"/>
                <w:bCs w:val="false"/>
                <w:sz w:val="20"/>
                <w:szCs w:val="20"/>
              </w:rPr>
              <w:t xml:space="preserve">0–25</w:t>
            </w:r>
          </w:p>
        </w:tc>
        <w:tc>
          <w:tcPr>
            <w:tcW w:type="dxa" w:w="1700"/>
            <w:shd w:fill="F4F8FC" w:val="clear"/>
            <w:tcMar>
              <w:top w:type="dxa" w:w="60"/>
              <w:left w:type="dxa" w:w="100"/>
              <w:bottom w:type="dxa" w:w="60"/>
              <w:right w:type="dxa" w:w="100"/>
            </w:tcMar>
          </w:tcPr>
          <w:p>
            <w:r>
              <w:rPr>
                <w:b w:val="false"/>
                <w:bCs w:val="false"/>
                <w:sz w:val="20"/>
                <w:szCs w:val="20"/>
              </w:rPr>
              <w:t xml:space="preserve">0–75</w:t>
            </w:r>
          </w:p>
        </w:tc>
        <w:tc>
          <w:tcPr>
            <w:tcW w:type="dxa" w:w="1640"/>
            <w:shd w:fill="F4F8FC" w:val="clear"/>
            <w:tcMar>
              <w:top w:type="dxa" w:w="60"/>
              <w:left w:type="dxa" w:w="100"/>
              <w:bottom w:type="dxa" w:w="60"/>
              <w:right w:type="dxa" w:w="100"/>
            </w:tcMar>
          </w:tcPr>
          <w:p>
            <w:r>
              <w:rPr>
                <w:b w:val="false"/>
                <w:bCs w:val="false"/>
                <w:sz w:val="20"/>
                <w:szCs w:val="20"/>
              </w:rPr>
              <w:t xml:space="preserve">Gratuit à faible volume</w:t>
            </w:r>
          </w:p>
        </w:tc>
      </w:tr>
      <w:tr>
        <w:tc>
          <w:tcPr>
            <w:tcW w:type="dxa" w:w="3400"/>
            <w:tcMar>
              <w:top w:type="dxa" w:w="60"/>
              <w:left w:type="dxa" w:w="100"/>
              <w:bottom w:type="dxa" w:w="60"/>
              <w:right w:type="dxa" w:w="100"/>
            </w:tcMar>
          </w:tcPr>
          <w:p>
            <w:r>
              <w:rPr>
                <w:b w:val="false"/>
                <w:bCs w:val="false"/>
                <w:sz w:val="20"/>
                <w:szCs w:val="20"/>
              </w:rPr>
              <w:t xml:space="preserve">Email Resend</w:t>
            </w:r>
          </w:p>
        </w:tc>
        <w:tc>
          <w:tcPr>
            <w:tcW w:type="dxa" w:w="1700"/>
            <w:tcMar>
              <w:top w:type="dxa" w:w="60"/>
              <w:left w:type="dxa" w:w="100"/>
              <w:bottom w:type="dxa" w:w="60"/>
              <w:right w:type="dxa" w:w="100"/>
            </w:tcMar>
          </w:tcPr>
          <w:p>
            <w:r>
              <w:rPr>
                <w:b w:val="false"/>
                <w:bCs w:val="false"/>
                <w:sz w:val="20"/>
                <w:szCs w:val="20"/>
              </w:rPr>
              <w:t xml:space="preserve">0–20</w:t>
            </w:r>
          </w:p>
        </w:tc>
        <w:tc>
          <w:tcPr>
            <w:tcW w:type="dxa" w:w="1700"/>
            <w:tcMar>
              <w:top w:type="dxa" w:w="60"/>
              <w:left w:type="dxa" w:w="100"/>
              <w:bottom w:type="dxa" w:w="60"/>
              <w:right w:type="dxa" w:w="100"/>
            </w:tcMar>
          </w:tcPr>
          <w:p>
            <w:r>
              <w:rPr>
                <w:b w:val="false"/>
                <w:bCs w:val="false"/>
                <w:sz w:val="20"/>
                <w:szCs w:val="20"/>
              </w:rPr>
              <w:t xml:space="preserve">0–60</w:t>
            </w:r>
          </w:p>
        </w:tc>
        <w:tc>
          <w:tcPr>
            <w:tcW w:type="dxa" w:w="1640"/>
            <w:tcMar>
              <w:top w:type="dxa" w:w="60"/>
              <w:left w:type="dxa" w:w="100"/>
              <w:bottom w:type="dxa" w:w="60"/>
              <w:right w:type="dxa" w:w="100"/>
            </w:tcMar>
          </w:tcPr>
          <w:p>
            <w:r>
              <w:rPr>
                <w:b w:val="false"/>
                <w:bCs w:val="false"/>
                <w:sz w:val="20"/>
                <w:szCs w:val="20"/>
              </w:rPr>
              <w:t xml:space="preserve">Gratuit sous 3 000 emails/mois</w:t>
            </w:r>
          </w:p>
        </w:tc>
      </w:tr>
      <w:tr>
        <w:tc>
          <w:tcPr>
            <w:tcW w:type="dxa" w:w="3400"/>
            <w:shd w:fill="F4F8FC" w:val="clear"/>
            <w:tcMar>
              <w:top w:type="dxa" w:w="60"/>
              <w:left w:type="dxa" w:w="100"/>
              <w:bottom w:type="dxa" w:w="60"/>
              <w:right w:type="dxa" w:w="100"/>
            </w:tcMar>
          </w:tcPr>
          <w:p>
            <w:r>
              <w:rPr>
                <w:b w:val="false"/>
                <w:bCs w:val="false"/>
                <w:sz w:val="20"/>
                <w:szCs w:val="20"/>
              </w:rPr>
              <w:t xml:space="preserve">IA (usage plafonné par ACU)</w:t>
            </w:r>
          </w:p>
        </w:tc>
        <w:tc>
          <w:tcPr>
            <w:tcW w:type="dxa" w:w="1700"/>
            <w:shd w:fill="F4F8FC" w:val="clear"/>
            <w:tcMar>
              <w:top w:type="dxa" w:w="60"/>
              <w:left w:type="dxa" w:w="100"/>
              <w:bottom w:type="dxa" w:w="60"/>
              <w:right w:type="dxa" w:w="100"/>
            </w:tcMar>
          </w:tcPr>
          <w:p>
            <w:r>
              <w:rPr>
                <w:b w:val="false"/>
                <w:bCs w:val="false"/>
                <w:sz w:val="20"/>
                <w:szCs w:val="20"/>
              </w:rPr>
              <w:t xml:space="preserve">30–60</w:t>
            </w:r>
          </w:p>
        </w:tc>
        <w:tc>
          <w:tcPr>
            <w:tcW w:type="dxa" w:w="1700"/>
            <w:shd w:fill="F4F8FC" w:val="clear"/>
            <w:tcMar>
              <w:top w:type="dxa" w:w="60"/>
              <w:left w:type="dxa" w:w="100"/>
              <w:bottom w:type="dxa" w:w="60"/>
              <w:right w:type="dxa" w:w="100"/>
            </w:tcMar>
          </w:tcPr>
          <w:p>
            <w:r>
              <w:rPr>
                <w:b w:val="false"/>
                <w:bCs w:val="false"/>
                <w:sz w:val="20"/>
                <w:szCs w:val="20"/>
              </w:rPr>
              <w:t xml:space="preserve">90–180</w:t>
            </w:r>
          </w:p>
        </w:tc>
        <w:tc>
          <w:tcPr>
            <w:tcW w:type="dxa" w:w="1640"/>
            <w:shd w:fill="F4F8FC" w:val="clear"/>
            <w:tcMar>
              <w:top w:type="dxa" w:w="60"/>
              <w:left w:type="dxa" w:w="100"/>
              <w:bottom w:type="dxa" w:w="60"/>
              <w:right w:type="dxa" w:w="100"/>
            </w:tcMar>
          </w:tcPr>
          <w:p>
            <w:r>
              <w:rPr>
                <w:b w:val="false"/>
                <w:bCs w:val="false"/>
                <w:sz w:val="20"/>
                <w:szCs w:val="20"/>
              </w:rPr>
              <w:t xml:space="preserve">Métré, capé</w:t>
            </w:r>
          </w:p>
        </w:tc>
      </w:tr>
      <w:tr>
        <w:tc>
          <w:tcPr>
            <w:tcW w:type="dxa" w:w="3400"/>
            <w:tcMar>
              <w:top w:type="dxa" w:w="60"/>
              <w:left w:type="dxa" w:w="100"/>
              <w:bottom w:type="dxa" w:w="60"/>
              <w:right w:type="dxa" w:w="100"/>
            </w:tcMar>
          </w:tcPr>
          <w:p>
            <w:r>
              <w:rPr>
                <w:b w:val="false"/>
                <w:bCs w:val="false"/>
                <w:sz w:val="20"/>
                <w:szCs w:val="20"/>
              </w:rPr>
              <w:t xml:space="preserve">Domaine .cd (amorti)</w:t>
            </w:r>
          </w:p>
        </w:tc>
        <w:tc>
          <w:tcPr>
            <w:tcW w:type="dxa" w:w="1700"/>
            <w:tcMar>
              <w:top w:type="dxa" w:w="60"/>
              <w:left w:type="dxa" w:w="100"/>
              <w:bottom w:type="dxa" w:w="60"/>
              <w:right w:type="dxa" w:w="100"/>
            </w:tcMar>
          </w:tcPr>
          <w:p>
            <w:r>
              <w:rPr>
                <w:b w:val="false"/>
                <w:bCs w:val="false"/>
                <w:sz w:val="20"/>
                <w:szCs w:val="20"/>
              </w:rPr>
              <w:t xml:space="preserve">~4</w:t>
            </w:r>
          </w:p>
        </w:tc>
        <w:tc>
          <w:tcPr>
            <w:tcW w:type="dxa" w:w="1700"/>
            <w:tcMar>
              <w:top w:type="dxa" w:w="60"/>
              <w:left w:type="dxa" w:w="100"/>
              <w:bottom w:type="dxa" w:w="60"/>
              <w:right w:type="dxa" w:w="100"/>
            </w:tcMar>
          </w:tcPr>
          <w:p>
            <w:r>
              <w:rPr>
                <w:b w:val="false"/>
                <w:bCs w:val="false"/>
                <w:sz w:val="20"/>
                <w:szCs w:val="20"/>
              </w:rPr>
              <w:t xml:space="preserve">50/an</w:t>
            </w:r>
          </w:p>
        </w:tc>
        <w:tc>
          <w:tcPr>
            <w:tcW w:type="dxa" w:w="1640"/>
            <w:tcMar>
              <w:top w:type="dxa" w:w="60"/>
              <w:left w:type="dxa" w:w="100"/>
              <w:bottom w:type="dxa" w:w="60"/>
              <w:right w:type="dxa" w:w="100"/>
            </w:tcMar>
          </w:tcPr>
          <w:p>
            <w:r>
              <w:rPr>
                <w:b w:val="false"/>
                <w:bCs w:val="false"/>
                <w:sz w:val="20"/>
                <w:szCs w:val="20"/>
              </w:rPr>
              <w:t xml:space="preserve">Payé à l’année</w:t>
            </w:r>
          </w:p>
        </w:tc>
      </w:tr>
      <w:tr>
        <w:tc>
          <w:tcPr>
            <w:tcW w:type="dxa" w:w="3400"/>
            <w:shd w:fill="F4F8FC" w:val="clear"/>
            <w:tcMar>
              <w:top w:type="dxa" w:w="60"/>
              <w:left w:type="dxa" w:w="100"/>
              <w:bottom w:type="dxa" w:w="60"/>
              <w:right w:type="dxa" w:w="100"/>
            </w:tcMar>
          </w:tcPr>
          <w:p>
            <w:r>
              <w:rPr>
                <w:b/>
                <w:bCs/>
                <w:sz w:val="20"/>
                <w:szCs w:val="20"/>
              </w:rPr>
              <w:t xml:space="preserve">Sous-total infra (90 j)</w:t>
            </w:r>
          </w:p>
        </w:tc>
        <w:tc>
          <w:tcPr>
            <w:tcW w:type="dxa" w:w="1700"/>
            <w:shd w:fill="F4F8FC" w:val="clear"/>
            <w:tcMar>
              <w:top w:type="dxa" w:w="60"/>
              <w:left w:type="dxa" w:w="100"/>
              <w:bottom w:type="dxa" w:w="60"/>
              <w:right w:type="dxa" w:w="100"/>
            </w:tcMar>
          </w:tcPr>
          <w:p>
            <w:r>
              <w:rPr>
                <w:b w:val="false"/>
                <w:bCs w:val="false"/>
                <w:sz w:val="20"/>
                <w:szCs w:val="20"/>
              </w:rPr>
              <w:t xml:space="preserve"/>
            </w:r>
          </w:p>
        </w:tc>
        <w:tc>
          <w:tcPr>
            <w:tcW w:type="dxa" w:w="1700"/>
            <w:shd w:fill="F4F8FC" w:val="clear"/>
            <w:tcMar>
              <w:top w:type="dxa" w:w="60"/>
              <w:left w:type="dxa" w:w="100"/>
              <w:bottom w:type="dxa" w:w="60"/>
              <w:right w:type="dxa" w:w="100"/>
            </w:tcMar>
          </w:tcPr>
          <w:p>
            <w:r>
              <w:rPr>
                <w:b/>
                <w:bCs/>
                <w:color w:val="0055CC"/>
                <w:sz w:val="20"/>
                <w:szCs w:val="20"/>
              </w:rPr>
              <w:t xml:space="preserve">~200–425</w:t>
            </w:r>
          </w:p>
        </w:tc>
        <w:tc>
          <w:tcPr>
            <w:tcW w:type="dxa" w:w="1640"/>
            <w:shd w:fill="F4F8FC" w:val="clear"/>
            <w:tcMar>
              <w:top w:type="dxa" w:w="60"/>
              <w:left w:type="dxa" w:w="100"/>
              <w:bottom w:type="dxa" w:w="60"/>
              <w:right w:type="dxa" w:w="100"/>
            </w:tcMar>
          </w:tcPr>
          <w:p>
            <w:r>
              <w:rPr>
                <w:b w:val="false"/>
                <w:bCs w:val="false"/>
                <w:sz w:val="20"/>
                <w:szCs w:val="20"/>
              </w:rPr>
              <w:t xml:space="preserve"/>
            </w:r>
          </w:p>
        </w:tc>
      </w:tr>
    </w:tbl>
    <w:p>
      <w:pPr>
        <w:pStyle w:val="Heading2"/>
        <w:spacing w:after="100" w:before="260"/>
      </w:pPr>
      <w:r>
        <w:rPr>
          <w:color w:val="007FFF"/>
        </w:rPr>
        <w:t xml:space="preserve">9.2 Scénario A — Lancement lean (bootstrap)</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040"/>
      </w:tblGrid>
      <w:tr>
        <w:trPr>
          <w:tblHeader/>
        </w:trPr>
        <w:tc>
          <w:tcPr>
            <w:tcW w:type="dxa" w:w="4200"/>
            <w:shd w:fill="007FFF" w:val="clear"/>
            <w:tcMar>
              <w:top w:type="dxa" w:w="60"/>
              <w:left w:type="dxa" w:w="100"/>
              <w:bottom w:type="dxa" w:w="60"/>
              <w:right w:type="dxa" w:w="100"/>
            </w:tcMar>
          </w:tcPr>
          <w:p>
            <w:r>
              <w:rPr>
                <w:b/>
                <w:bCs/>
                <w:color w:val="FFFFFF"/>
                <w:sz w:val="18"/>
                <w:szCs w:val="18"/>
              </w:rPr>
              <w:t xml:space="preserve">Poste</w:t>
            </w:r>
          </w:p>
        </w:tc>
        <w:tc>
          <w:tcPr>
            <w:tcW w:type="dxa" w:w="2200"/>
            <w:shd w:fill="007FFF" w:val="clear"/>
            <w:tcMar>
              <w:top w:type="dxa" w:w="60"/>
              <w:left w:type="dxa" w:w="100"/>
              <w:bottom w:type="dxa" w:w="60"/>
              <w:right w:type="dxa" w:w="100"/>
            </w:tcMar>
          </w:tcPr>
          <w:p>
            <w:r>
              <w:rPr>
                <w:b/>
                <w:bCs/>
                <w:color w:val="FFFFFF"/>
                <w:sz w:val="18"/>
                <w:szCs w:val="18"/>
              </w:rPr>
              <w:t xml:space="preserve">Estimation</w:t>
            </w:r>
          </w:p>
        </w:tc>
        <w:tc>
          <w:tcPr>
            <w:tcW w:type="dxa" w:w="2040"/>
            <w:shd w:fill="007FFF" w:val="clear"/>
            <w:tcMar>
              <w:top w:type="dxa" w:w="60"/>
              <w:left w:type="dxa" w:w="100"/>
              <w:bottom w:type="dxa" w:w="60"/>
              <w:right w:type="dxa" w:w="100"/>
            </w:tcMar>
          </w:tcPr>
          <w:p>
            <w:r>
              <w:rPr>
                <w:b/>
                <w:bCs/>
                <w:color w:val="FFFFFF"/>
                <w:sz w:val="18"/>
                <w:szCs w:val="18"/>
              </w:rPr>
              <w:t xml:space="preserve">Commentaire</w:t>
            </w:r>
          </w:p>
        </w:tc>
      </w:tr>
      <w:tr>
        <w:tc>
          <w:tcPr>
            <w:tcW w:type="dxa" w:w="4200"/>
            <w:tcMar>
              <w:top w:type="dxa" w:w="60"/>
              <w:left w:type="dxa" w:w="100"/>
              <w:bottom w:type="dxa" w:w="60"/>
              <w:right w:type="dxa" w:w="100"/>
            </w:tcMar>
          </w:tcPr>
          <w:p>
            <w:r>
              <w:rPr>
                <w:b w:val="false"/>
                <w:bCs w:val="false"/>
                <w:sz w:val="20"/>
                <w:szCs w:val="20"/>
              </w:rPr>
              <w:t xml:space="preserve">Infrastructure (90 j)</w:t>
            </w:r>
          </w:p>
        </w:tc>
        <w:tc>
          <w:tcPr>
            <w:tcW w:type="dxa" w:w="2200"/>
            <w:tcMar>
              <w:top w:type="dxa" w:w="60"/>
              <w:left w:type="dxa" w:w="100"/>
              <w:bottom w:type="dxa" w:w="60"/>
              <w:right w:type="dxa" w:w="100"/>
            </w:tcMar>
          </w:tcPr>
          <w:p>
            <w:r>
              <w:rPr>
                <w:b w:val="false"/>
                <w:bCs w:val="false"/>
                <w:sz w:val="20"/>
                <w:szCs w:val="20"/>
              </w:rPr>
              <w:t xml:space="preserve">200–425</w:t>
            </w:r>
          </w:p>
        </w:tc>
        <w:tc>
          <w:tcPr>
            <w:tcW w:type="dxa" w:w="2040"/>
            <w:tcMar>
              <w:top w:type="dxa" w:w="60"/>
              <w:left w:type="dxa" w:w="100"/>
              <w:bottom w:type="dxa" w:w="60"/>
              <w:right w:type="dxa" w:w="100"/>
            </w:tcMar>
          </w:tcPr>
          <w:p>
            <w:r>
              <w:rPr>
                <w:b w:val="false"/>
                <w:bCs w:val="false"/>
                <w:sz w:val="20"/>
                <w:szCs w:val="20"/>
              </w:rPr>
              <w:t xml:space="preserve">Cf. 9.1</w:t>
            </w:r>
          </w:p>
        </w:tc>
      </w:tr>
      <w:tr>
        <w:tc>
          <w:tcPr>
            <w:tcW w:type="dxa" w:w="4200"/>
            <w:shd w:fill="F4F8FC" w:val="clear"/>
            <w:tcMar>
              <w:top w:type="dxa" w:w="60"/>
              <w:left w:type="dxa" w:w="100"/>
              <w:bottom w:type="dxa" w:w="60"/>
              <w:right w:type="dxa" w:w="100"/>
            </w:tcMar>
          </w:tcPr>
          <w:p>
            <w:r>
              <w:rPr>
                <w:b w:val="false"/>
                <w:bCs w:val="false"/>
                <w:sz w:val="20"/>
                <w:szCs w:val="20"/>
              </w:rPr>
              <w:t xml:space="preserve">Enregistrement légal (frais officiels)</w:t>
            </w:r>
          </w:p>
        </w:tc>
        <w:tc>
          <w:tcPr>
            <w:tcW w:type="dxa" w:w="2200"/>
            <w:shd w:fill="F4F8FC" w:val="clear"/>
            <w:tcMar>
              <w:top w:type="dxa" w:w="60"/>
              <w:left w:type="dxa" w:w="100"/>
              <w:bottom w:type="dxa" w:w="60"/>
              <w:right w:type="dxa" w:w="100"/>
            </w:tcMar>
          </w:tcPr>
          <w:p>
            <w:r>
              <w:rPr>
                <w:b w:val="false"/>
                <w:bCs w:val="false"/>
                <w:sz w:val="20"/>
                <w:szCs w:val="20"/>
              </w:rPr>
              <w:t xml:space="preserve">~500</w:t>
            </w:r>
          </w:p>
        </w:tc>
        <w:tc>
          <w:tcPr>
            <w:tcW w:type="dxa" w:w="2040"/>
            <w:shd w:fill="F4F8FC" w:val="clear"/>
            <w:tcMar>
              <w:top w:type="dxa" w:w="60"/>
              <w:left w:type="dxa" w:w="100"/>
              <w:bottom w:type="dxa" w:w="60"/>
              <w:right w:type="dxa" w:w="100"/>
            </w:tcMar>
          </w:tcPr>
          <w:p>
            <w:r>
              <w:rPr>
                <w:b w:val="false"/>
                <w:bCs w:val="false"/>
                <w:sz w:val="20"/>
                <w:szCs w:val="20"/>
              </w:rPr>
              <w:t xml:space="preserve">Variable selon dossier</w:t>
            </w:r>
          </w:p>
        </w:tc>
      </w:tr>
      <w:tr>
        <w:tc>
          <w:tcPr>
            <w:tcW w:type="dxa" w:w="4200"/>
            <w:tcMar>
              <w:top w:type="dxa" w:w="60"/>
              <w:left w:type="dxa" w:w="100"/>
              <w:bottom w:type="dxa" w:w="60"/>
              <w:right w:type="dxa" w:w="100"/>
            </w:tcMar>
          </w:tcPr>
          <w:p>
            <w:r>
              <w:rPr>
                <w:b w:val="false"/>
                <w:bCs w:val="false"/>
                <w:sz w:val="20"/>
                <w:szCs w:val="20"/>
              </w:rPr>
              <w:t xml:space="preserve">Setup passerelle / KYB</w:t>
            </w:r>
          </w:p>
        </w:tc>
        <w:tc>
          <w:tcPr>
            <w:tcW w:type="dxa" w:w="2200"/>
            <w:tcMar>
              <w:top w:type="dxa" w:w="60"/>
              <w:left w:type="dxa" w:w="100"/>
              <w:bottom w:type="dxa" w:w="60"/>
              <w:right w:type="dxa" w:w="100"/>
            </w:tcMar>
          </w:tcPr>
          <w:p>
            <w:r>
              <w:rPr>
                <w:b w:val="false"/>
                <w:bCs w:val="false"/>
                <w:sz w:val="20"/>
                <w:szCs w:val="20"/>
              </w:rPr>
              <w:t xml:space="preserve">0–100</w:t>
            </w:r>
          </w:p>
        </w:tc>
        <w:tc>
          <w:tcPr>
            <w:tcW w:type="dxa" w:w="2040"/>
            <w:tcMar>
              <w:top w:type="dxa" w:w="60"/>
              <w:left w:type="dxa" w:w="100"/>
              <w:bottom w:type="dxa" w:w="60"/>
              <w:right w:type="dxa" w:w="100"/>
            </w:tcMar>
          </w:tcPr>
          <w:p>
            <w:r>
              <w:rPr>
                <w:b w:val="false"/>
                <w:bCs w:val="false"/>
                <w:sz w:val="20"/>
                <w:szCs w:val="20"/>
              </w:rPr>
              <w:t xml:space="preserve">Souvent gratuit</w:t>
            </w:r>
          </w:p>
        </w:tc>
      </w:tr>
      <w:tr>
        <w:tc>
          <w:tcPr>
            <w:tcW w:type="dxa" w:w="4200"/>
            <w:shd w:fill="F4F8FC" w:val="clear"/>
            <w:tcMar>
              <w:top w:type="dxa" w:w="60"/>
              <w:left w:type="dxa" w:w="100"/>
              <w:bottom w:type="dxa" w:w="60"/>
              <w:right w:type="dxa" w:w="100"/>
            </w:tcMar>
          </w:tcPr>
          <w:p>
            <w:r>
              <w:rPr>
                <w:b w:val="false"/>
                <w:bCs w:val="false"/>
                <w:sz w:val="20"/>
                <w:szCs w:val="20"/>
              </w:rPr>
              <w:t xml:space="preserve">Seeding WhatsApp / micro-influence</w:t>
            </w:r>
          </w:p>
        </w:tc>
        <w:tc>
          <w:tcPr>
            <w:tcW w:type="dxa" w:w="2200"/>
            <w:shd w:fill="F4F8FC" w:val="clear"/>
            <w:tcMar>
              <w:top w:type="dxa" w:w="60"/>
              <w:left w:type="dxa" w:w="100"/>
              <w:bottom w:type="dxa" w:w="60"/>
              <w:right w:type="dxa" w:w="100"/>
            </w:tcMar>
          </w:tcPr>
          <w:p>
            <w:r>
              <w:rPr>
                <w:b w:val="false"/>
                <w:bCs w:val="false"/>
                <w:sz w:val="20"/>
                <w:szCs w:val="20"/>
              </w:rPr>
              <w:t xml:space="preserve">300</w:t>
            </w:r>
          </w:p>
        </w:tc>
        <w:tc>
          <w:tcPr>
            <w:tcW w:type="dxa" w:w="2040"/>
            <w:shd w:fill="F4F8FC" w:val="clear"/>
            <w:tcMar>
              <w:top w:type="dxa" w:w="60"/>
              <w:left w:type="dxa" w:w="100"/>
              <w:bottom w:type="dxa" w:w="60"/>
              <w:right w:type="dxa" w:w="100"/>
            </w:tcMar>
          </w:tcPr>
          <w:p>
            <w:r>
              <w:rPr>
                <w:b w:val="false"/>
                <w:bCs w:val="false"/>
                <w:sz w:val="20"/>
                <w:szCs w:val="20"/>
              </w:rPr>
              <w:t xml:space="preserve">2–3 relais locaux</w:t>
            </w:r>
          </w:p>
        </w:tc>
      </w:tr>
      <w:tr>
        <w:tc>
          <w:tcPr>
            <w:tcW w:type="dxa" w:w="4200"/>
            <w:tcMar>
              <w:top w:type="dxa" w:w="60"/>
              <w:left w:type="dxa" w:w="100"/>
              <w:bottom w:type="dxa" w:w="60"/>
              <w:right w:type="dxa" w:w="100"/>
            </w:tcMar>
          </w:tcPr>
          <w:p>
            <w:r>
              <w:rPr>
                <w:b w:val="false"/>
                <w:bCs w:val="false"/>
                <w:sz w:val="20"/>
                <w:szCs w:val="20"/>
              </w:rPr>
              <w:t xml:space="preserve">Événement de lancement (léger)</w:t>
            </w:r>
          </w:p>
        </w:tc>
        <w:tc>
          <w:tcPr>
            <w:tcW w:type="dxa" w:w="2200"/>
            <w:tcMar>
              <w:top w:type="dxa" w:w="60"/>
              <w:left w:type="dxa" w:w="100"/>
              <w:bottom w:type="dxa" w:w="60"/>
              <w:right w:type="dxa" w:w="100"/>
            </w:tcMar>
          </w:tcPr>
          <w:p>
            <w:r>
              <w:rPr>
                <w:b w:val="false"/>
                <w:bCs w:val="false"/>
                <w:sz w:val="20"/>
                <w:szCs w:val="20"/>
              </w:rPr>
              <w:t xml:space="preserve">200</w:t>
            </w:r>
          </w:p>
        </w:tc>
        <w:tc>
          <w:tcPr>
            <w:tcW w:type="dxa" w:w="2040"/>
            <w:tcMar>
              <w:top w:type="dxa" w:w="60"/>
              <w:left w:type="dxa" w:w="100"/>
              <w:bottom w:type="dxa" w:w="60"/>
              <w:right w:type="dxa" w:w="100"/>
            </w:tcMar>
          </w:tcPr>
          <w:p>
            <w:r>
              <w:rPr>
                <w:b w:val="false"/>
                <w:bCs w:val="false"/>
                <w:sz w:val="20"/>
                <w:szCs w:val="20"/>
              </w:rPr>
              <w:t xml:space="preserve">Salle + logistique minimale</w:t>
            </w:r>
          </w:p>
        </w:tc>
      </w:tr>
      <w:tr>
        <w:tc>
          <w:tcPr>
            <w:tcW w:type="dxa" w:w="4200"/>
            <w:shd w:fill="F4F8FC" w:val="clear"/>
            <w:tcMar>
              <w:top w:type="dxa" w:w="60"/>
              <w:left w:type="dxa" w:w="100"/>
              <w:bottom w:type="dxa" w:w="60"/>
              <w:right w:type="dxa" w:w="100"/>
            </w:tcMar>
          </w:tcPr>
          <w:p>
            <w:r>
              <w:rPr>
                <w:b w:val="false"/>
                <w:bCs w:val="false"/>
                <w:sz w:val="20"/>
                <w:szCs w:val="20"/>
              </w:rPr>
              <w:t xml:space="preserve">Contingence 15 %</w:t>
            </w:r>
          </w:p>
        </w:tc>
        <w:tc>
          <w:tcPr>
            <w:tcW w:type="dxa" w:w="2200"/>
            <w:shd w:fill="F4F8FC" w:val="clear"/>
            <w:tcMar>
              <w:top w:type="dxa" w:w="60"/>
              <w:left w:type="dxa" w:w="100"/>
              <w:bottom w:type="dxa" w:w="60"/>
              <w:right w:type="dxa" w:w="100"/>
            </w:tcMar>
          </w:tcPr>
          <w:p>
            <w:r>
              <w:rPr>
                <w:b w:val="false"/>
                <w:bCs w:val="false"/>
                <w:sz w:val="20"/>
                <w:szCs w:val="20"/>
              </w:rPr>
              <w:t xml:space="preserve">~200</w:t>
            </w:r>
          </w:p>
        </w:tc>
        <w:tc>
          <w:tcPr>
            <w:tcW w:type="dxa" w:w="2040"/>
            <w:shd w:fill="F4F8FC" w:val="clear"/>
            <w:tcMar>
              <w:top w:type="dxa" w:w="60"/>
              <w:left w:type="dxa" w:w="100"/>
              <w:bottom w:type="dxa" w:w="60"/>
              <w:right w:type="dxa" w:w="100"/>
            </w:tcMar>
          </w:tcPr>
          <w:p>
            <w:r>
              <w:rPr>
                <w:b w:val="false"/>
                <w:bCs w:val="false"/>
                <w:sz w:val="20"/>
                <w:szCs w:val="20"/>
              </w:rPr>
              <w:t xml:space="preserve"/>
            </w:r>
          </w:p>
        </w:tc>
      </w:tr>
      <w:tr>
        <w:tc>
          <w:tcPr>
            <w:tcW w:type="dxa" w:w="4200"/>
            <w:tcMar>
              <w:top w:type="dxa" w:w="60"/>
              <w:left w:type="dxa" w:w="100"/>
              <w:bottom w:type="dxa" w:w="60"/>
              <w:right w:type="dxa" w:w="100"/>
            </w:tcMar>
          </w:tcPr>
          <w:p>
            <w:r>
              <w:rPr>
                <w:b/>
                <w:bCs/>
                <w:sz w:val="20"/>
                <w:szCs w:val="20"/>
              </w:rPr>
              <w:t xml:space="preserve">TOTAL LEAN (90 j)</w:t>
            </w:r>
          </w:p>
        </w:tc>
        <w:tc>
          <w:tcPr>
            <w:tcW w:type="dxa" w:w="2200"/>
            <w:tcMar>
              <w:top w:type="dxa" w:w="60"/>
              <w:left w:type="dxa" w:w="100"/>
              <w:bottom w:type="dxa" w:w="60"/>
              <w:right w:type="dxa" w:w="100"/>
            </w:tcMar>
          </w:tcPr>
          <w:p>
            <w:r>
              <w:rPr>
                <w:b/>
                <w:bCs/>
                <w:color w:val="1E7A4D"/>
                <w:sz w:val="20"/>
                <w:szCs w:val="20"/>
              </w:rPr>
              <w:t xml:space="preserve">~1 500–2 000</w:t>
            </w:r>
          </w:p>
        </w:tc>
        <w:tc>
          <w:tcPr>
            <w:tcW w:type="dxa" w:w="2040"/>
            <w:tcMar>
              <w:top w:type="dxa" w:w="60"/>
              <w:left w:type="dxa" w:w="100"/>
              <w:bottom w:type="dxa" w:w="60"/>
              <w:right w:type="dxa" w:w="100"/>
            </w:tcMar>
          </w:tcPr>
          <w:p>
            <w:r>
              <w:rPr>
                <w:b w:val="false"/>
                <w:bCs w:val="false"/>
                <w:color w:val="1E7A4D"/>
                <w:sz w:val="20"/>
                <w:szCs w:val="20"/>
              </w:rPr>
              <w:t xml:space="preserve">Créatif via Growth Engine = 0</w:t>
            </w:r>
          </w:p>
        </w:tc>
      </w:tr>
    </w:tbl>
    <w:p>
      <w:pPr>
        <w:pStyle w:val="Heading2"/>
        <w:spacing w:after="100" w:before="260"/>
      </w:pPr>
      <w:r>
        <w:rPr>
          <w:color w:val="007FFF"/>
        </w:rPr>
        <w:t xml:space="preserve">9.3 Scénario B — Lancement financé (accéléré)</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040"/>
      </w:tblGrid>
      <w:tr>
        <w:trPr>
          <w:tblHeader/>
        </w:trPr>
        <w:tc>
          <w:tcPr>
            <w:tcW w:type="dxa" w:w="4200"/>
            <w:shd w:fill="007FFF" w:val="clear"/>
            <w:tcMar>
              <w:top w:type="dxa" w:w="60"/>
              <w:left w:type="dxa" w:w="100"/>
              <w:bottom w:type="dxa" w:w="60"/>
              <w:right w:type="dxa" w:w="100"/>
            </w:tcMar>
          </w:tcPr>
          <w:p>
            <w:r>
              <w:rPr>
                <w:b/>
                <w:bCs/>
                <w:color w:val="FFFFFF"/>
                <w:sz w:val="18"/>
                <w:szCs w:val="18"/>
              </w:rPr>
              <w:t xml:space="preserve">Poste</w:t>
            </w:r>
          </w:p>
        </w:tc>
        <w:tc>
          <w:tcPr>
            <w:tcW w:type="dxa" w:w="2200"/>
            <w:shd w:fill="007FFF" w:val="clear"/>
            <w:tcMar>
              <w:top w:type="dxa" w:w="60"/>
              <w:left w:type="dxa" w:w="100"/>
              <w:bottom w:type="dxa" w:w="60"/>
              <w:right w:type="dxa" w:w="100"/>
            </w:tcMar>
          </w:tcPr>
          <w:p>
            <w:r>
              <w:rPr>
                <w:b/>
                <w:bCs/>
                <w:color w:val="FFFFFF"/>
                <w:sz w:val="18"/>
                <w:szCs w:val="18"/>
              </w:rPr>
              <w:t xml:space="preserve">Estimation</w:t>
            </w:r>
          </w:p>
        </w:tc>
        <w:tc>
          <w:tcPr>
            <w:tcW w:type="dxa" w:w="2040"/>
            <w:shd w:fill="007FFF" w:val="clear"/>
            <w:tcMar>
              <w:top w:type="dxa" w:w="60"/>
              <w:left w:type="dxa" w:w="100"/>
              <w:bottom w:type="dxa" w:w="60"/>
              <w:right w:type="dxa" w:w="100"/>
            </w:tcMar>
          </w:tcPr>
          <w:p>
            <w:r>
              <w:rPr>
                <w:b/>
                <w:bCs/>
                <w:color w:val="FFFFFF"/>
                <w:sz w:val="18"/>
                <w:szCs w:val="18"/>
              </w:rPr>
              <w:t xml:space="preserve">Commentaire</w:t>
            </w:r>
          </w:p>
        </w:tc>
      </w:tr>
      <w:tr>
        <w:tc>
          <w:tcPr>
            <w:tcW w:type="dxa" w:w="4200"/>
            <w:tcMar>
              <w:top w:type="dxa" w:w="60"/>
              <w:left w:type="dxa" w:w="100"/>
              <w:bottom w:type="dxa" w:w="60"/>
              <w:right w:type="dxa" w:w="100"/>
            </w:tcMar>
          </w:tcPr>
          <w:p>
            <w:r>
              <w:rPr>
                <w:b w:val="false"/>
                <w:bCs w:val="false"/>
                <w:sz w:val="20"/>
                <w:szCs w:val="20"/>
              </w:rPr>
              <w:t xml:space="preserve">Infrastructure (90 j)</w:t>
            </w:r>
          </w:p>
        </w:tc>
        <w:tc>
          <w:tcPr>
            <w:tcW w:type="dxa" w:w="2200"/>
            <w:tcMar>
              <w:top w:type="dxa" w:w="60"/>
              <w:left w:type="dxa" w:w="100"/>
              <w:bottom w:type="dxa" w:w="60"/>
              <w:right w:type="dxa" w:w="100"/>
            </w:tcMar>
          </w:tcPr>
          <w:p>
            <w:r>
              <w:rPr>
                <w:b w:val="false"/>
                <w:bCs w:val="false"/>
                <w:sz w:val="20"/>
                <w:szCs w:val="20"/>
              </w:rPr>
              <w:t xml:space="preserve">~500</w:t>
            </w:r>
          </w:p>
        </w:tc>
        <w:tc>
          <w:tcPr>
            <w:tcW w:type="dxa" w:w="2040"/>
            <w:tcMar>
              <w:top w:type="dxa" w:w="60"/>
              <w:left w:type="dxa" w:w="100"/>
              <w:bottom w:type="dxa" w:w="60"/>
              <w:right w:type="dxa" w:w="100"/>
            </w:tcMar>
          </w:tcPr>
          <w:p>
            <w:r>
              <w:rPr>
                <w:b w:val="false"/>
                <w:bCs w:val="false"/>
                <w:sz w:val="20"/>
                <w:szCs w:val="20"/>
              </w:rPr>
              <w:t xml:space="preserve">Volume plus élevé</w:t>
            </w:r>
          </w:p>
        </w:tc>
      </w:tr>
      <w:tr>
        <w:tc>
          <w:tcPr>
            <w:tcW w:type="dxa" w:w="4200"/>
            <w:shd w:fill="F4F8FC" w:val="clear"/>
            <w:tcMar>
              <w:top w:type="dxa" w:w="60"/>
              <w:left w:type="dxa" w:w="100"/>
              <w:bottom w:type="dxa" w:w="60"/>
              <w:right w:type="dxa" w:w="100"/>
            </w:tcMar>
          </w:tcPr>
          <w:p>
            <w:r>
              <w:rPr>
                <w:b w:val="false"/>
                <w:bCs w:val="false"/>
                <w:sz w:val="20"/>
                <w:szCs w:val="20"/>
              </w:rPr>
              <w:t xml:space="preserve">Légal + conseil + enregistrement</w:t>
            </w:r>
          </w:p>
        </w:tc>
        <w:tc>
          <w:tcPr>
            <w:tcW w:type="dxa" w:w="2200"/>
            <w:shd w:fill="F4F8FC" w:val="clear"/>
            <w:tcMar>
              <w:top w:type="dxa" w:w="60"/>
              <w:left w:type="dxa" w:w="100"/>
              <w:bottom w:type="dxa" w:w="60"/>
              <w:right w:type="dxa" w:w="100"/>
            </w:tcMar>
          </w:tcPr>
          <w:p>
            <w:r>
              <w:rPr>
                <w:b w:val="false"/>
                <w:bCs w:val="false"/>
                <w:sz w:val="20"/>
                <w:szCs w:val="20"/>
              </w:rPr>
              <w:t xml:space="preserve">1 500</w:t>
            </w:r>
          </w:p>
        </w:tc>
        <w:tc>
          <w:tcPr>
            <w:tcW w:type="dxa" w:w="2040"/>
            <w:shd w:fill="F4F8FC" w:val="clear"/>
            <w:tcMar>
              <w:top w:type="dxa" w:w="60"/>
              <w:left w:type="dxa" w:w="100"/>
              <w:bottom w:type="dxa" w:w="60"/>
              <w:right w:type="dxa" w:w="100"/>
            </w:tcMar>
          </w:tcPr>
          <w:p>
            <w:r>
              <w:rPr>
                <w:b w:val="false"/>
                <w:bCs w:val="false"/>
                <w:sz w:val="20"/>
                <w:szCs w:val="20"/>
              </w:rPr>
              <w:t xml:space="preserve">Avec accompagnement</w:t>
            </w:r>
          </w:p>
        </w:tc>
      </w:tr>
      <w:tr>
        <w:tc>
          <w:tcPr>
            <w:tcW w:type="dxa" w:w="4200"/>
            <w:tcMar>
              <w:top w:type="dxa" w:w="60"/>
              <w:left w:type="dxa" w:w="100"/>
              <w:bottom w:type="dxa" w:w="60"/>
              <w:right w:type="dxa" w:w="100"/>
            </w:tcMar>
          </w:tcPr>
          <w:p>
            <w:r>
              <w:rPr>
                <w:b w:val="false"/>
                <w:bCs w:val="false"/>
                <w:sz w:val="20"/>
                <w:szCs w:val="20"/>
              </w:rPr>
              <w:t xml:space="preserve">Agence Marketwaros (retainer)</w:t>
            </w:r>
          </w:p>
        </w:tc>
        <w:tc>
          <w:tcPr>
            <w:tcW w:type="dxa" w:w="2200"/>
            <w:tcMar>
              <w:top w:type="dxa" w:w="60"/>
              <w:left w:type="dxa" w:w="100"/>
              <w:bottom w:type="dxa" w:w="60"/>
              <w:right w:type="dxa" w:w="100"/>
            </w:tcMar>
          </w:tcPr>
          <w:p>
            <w:r>
              <w:rPr>
                <w:b w:val="false"/>
                <w:bCs w:val="false"/>
                <w:sz w:val="20"/>
                <w:szCs w:val="20"/>
              </w:rPr>
              <w:t xml:space="preserve">3 000</w:t>
            </w:r>
          </w:p>
        </w:tc>
        <w:tc>
          <w:tcPr>
            <w:tcW w:type="dxa" w:w="2040"/>
            <w:tcMar>
              <w:top w:type="dxa" w:w="60"/>
              <w:left w:type="dxa" w:w="100"/>
              <w:bottom w:type="dxa" w:w="60"/>
              <w:right w:type="dxa" w:w="100"/>
            </w:tcMar>
          </w:tcPr>
          <w:p>
            <w:r>
              <w:rPr>
                <w:b w:val="false"/>
                <w:bCs w:val="false"/>
                <w:sz w:val="20"/>
                <w:szCs w:val="20"/>
              </w:rPr>
              <w:t xml:space="preserve">1 500/mois × 2 (dès phase 60)</w:t>
            </w:r>
          </w:p>
        </w:tc>
      </w:tr>
      <w:tr>
        <w:tc>
          <w:tcPr>
            <w:tcW w:type="dxa" w:w="4200"/>
            <w:shd w:fill="F4F8FC" w:val="clear"/>
            <w:tcMar>
              <w:top w:type="dxa" w:w="60"/>
              <w:left w:type="dxa" w:w="100"/>
              <w:bottom w:type="dxa" w:w="60"/>
              <w:right w:type="dxa" w:w="100"/>
            </w:tcMar>
          </w:tcPr>
          <w:p>
            <w:r>
              <w:rPr>
                <w:b w:val="false"/>
                <w:bCs w:val="false"/>
                <w:sz w:val="20"/>
                <w:szCs w:val="20"/>
              </w:rPr>
              <w:t xml:space="preserve">Publicité sociale (test Facebook/TikTok)</w:t>
            </w:r>
          </w:p>
        </w:tc>
        <w:tc>
          <w:tcPr>
            <w:tcW w:type="dxa" w:w="2200"/>
            <w:shd w:fill="F4F8FC" w:val="clear"/>
            <w:tcMar>
              <w:top w:type="dxa" w:w="60"/>
              <w:left w:type="dxa" w:w="100"/>
              <w:bottom w:type="dxa" w:w="60"/>
              <w:right w:type="dxa" w:w="100"/>
            </w:tcMar>
          </w:tcPr>
          <w:p>
            <w:r>
              <w:rPr>
                <w:b w:val="false"/>
                <w:bCs w:val="false"/>
                <w:sz w:val="20"/>
                <w:szCs w:val="20"/>
              </w:rPr>
              <w:t xml:space="preserve">2 000</w:t>
            </w:r>
          </w:p>
        </w:tc>
        <w:tc>
          <w:tcPr>
            <w:tcW w:type="dxa" w:w="2040"/>
            <w:shd w:fill="F4F8FC" w:val="clear"/>
            <w:tcMar>
              <w:top w:type="dxa" w:w="60"/>
              <w:left w:type="dxa" w:w="100"/>
              <w:bottom w:type="dxa" w:w="60"/>
              <w:right w:type="dxa" w:w="100"/>
            </w:tcMar>
          </w:tcPr>
          <w:p>
            <w:r>
              <w:rPr>
                <w:b w:val="false"/>
                <w:bCs w:val="false"/>
                <w:sz w:val="20"/>
                <w:szCs w:val="20"/>
              </w:rPr>
              <w:t xml:space="preserve">1 000/mois × 2</w:t>
            </w:r>
          </w:p>
        </w:tc>
      </w:tr>
      <w:tr>
        <w:tc>
          <w:tcPr>
            <w:tcW w:type="dxa" w:w="4200"/>
            <w:tcMar>
              <w:top w:type="dxa" w:w="60"/>
              <w:left w:type="dxa" w:w="100"/>
              <w:bottom w:type="dxa" w:w="60"/>
              <w:right w:type="dxa" w:w="100"/>
            </w:tcMar>
          </w:tcPr>
          <w:p>
            <w:r>
              <w:rPr>
                <w:b w:val="false"/>
                <w:bCs w:val="false"/>
                <w:sz w:val="20"/>
                <w:szCs w:val="20"/>
              </w:rPr>
              <w:t xml:space="preserve">Spots radio (Kinshasa)</w:t>
            </w:r>
          </w:p>
        </w:tc>
        <w:tc>
          <w:tcPr>
            <w:tcW w:type="dxa" w:w="2200"/>
            <w:tcMar>
              <w:top w:type="dxa" w:w="60"/>
              <w:left w:type="dxa" w:w="100"/>
              <w:bottom w:type="dxa" w:w="60"/>
              <w:right w:type="dxa" w:w="100"/>
            </w:tcMar>
          </w:tcPr>
          <w:p>
            <w:r>
              <w:rPr>
                <w:b w:val="false"/>
                <w:bCs w:val="false"/>
                <w:sz w:val="20"/>
                <w:szCs w:val="20"/>
              </w:rPr>
              <w:t xml:space="preserve">800</w:t>
            </w:r>
          </w:p>
        </w:tc>
        <w:tc>
          <w:tcPr>
            <w:tcW w:type="dxa" w:w="2040"/>
            <w:tcMar>
              <w:top w:type="dxa" w:w="60"/>
              <w:left w:type="dxa" w:w="100"/>
              <w:bottom w:type="dxa" w:w="60"/>
              <w:right w:type="dxa" w:w="100"/>
            </w:tcMar>
          </w:tcPr>
          <w:p>
            <w:r>
              <w:rPr>
                <w:b w:val="false"/>
                <w:bCs w:val="false"/>
                <w:sz w:val="20"/>
                <w:szCs w:val="20"/>
              </w:rPr>
              <w:t xml:space="preserve">2 stations, 2 semaines</w:t>
            </w:r>
          </w:p>
        </w:tc>
      </w:tr>
      <w:tr>
        <w:tc>
          <w:tcPr>
            <w:tcW w:type="dxa" w:w="4200"/>
            <w:shd w:fill="F4F8FC" w:val="clear"/>
            <w:tcMar>
              <w:top w:type="dxa" w:w="60"/>
              <w:left w:type="dxa" w:w="100"/>
              <w:bottom w:type="dxa" w:w="60"/>
              <w:right w:type="dxa" w:w="100"/>
            </w:tcMar>
          </w:tcPr>
          <w:p>
            <w:r>
              <w:rPr>
                <w:b w:val="false"/>
                <w:bCs w:val="false"/>
                <w:sz w:val="20"/>
                <w:szCs w:val="20"/>
              </w:rPr>
              <w:t xml:space="preserve">Production vidéo (10 formats courts)</w:t>
            </w:r>
          </w:p>
        </w:tc>
        <w:tc>
          <w:tcPr>
            <w:tcW w:type="dxa" w:w="2200"/>
            <w:shd w:fill="F4F8FC" w:val="clear"/>
            <w:tcMar>
              <w:top w:type="dxa" w:w="60"/>
              <w:left w:type="dxa" w:w="100"/>
              <w:bottom w:type="dxa" w:w="60"/>
              <w:right w:type="dxa" w:w="100"/>
            </w:tcMar>
          </w:tcPr>
          <w:p>
            <w:r>
              <w:rPr>
                <w:b w:val="false"/>
                <w:bCs w:val="false"/>
                <w:sz w:val="20"/>
                <w:szCs w:val="20"/>
              </w:rPr>
              <w:t xml:space="preserve">1 200</w:t>
            </w:r>
          </w:p>
        </w:tc>
        <w:tc>
          <w:tcPr>
            <w:tcW w:type="dxa" w:w="2040"/>
            <w:shd w:fill="F4F8FC" w:val="clear"/>
            <w:tcMar>
              <w:top w:type="dxa" w:w="60"/>
              <w:left w:type="dxa" w:w="100"/>
              <w:bottom w:type="dxa" w:w="60"/>
              <w:right w:type="dxa" w:w="100"/>
            </w:tcMar>
          </w:tcPr>
          <w:p>
            <w:r>
              <w:rPr>
                <w:b w:val="false"/>
                <w:bCs w:val="false"/>
                <w:sz w:val="20"/>
                <w:szCs w:val="20"/>
              </w:rPr>
              <w:t xml:space="preserve">Terrain + montage</w:t>
            </w:r>
          </w:p>
        </w:tc>
      </w:tr>
      <w:tr>
        <w:tc>
          <w:tcPr>
            <w:tcW w:type="dxa" w:w="4200"/>
            <w:tcMar>
              <w:top w:type="dxa" w:w="60"/>
              <w:left w:type="dxa" w:w="100"/>
              <w:bottom w:type="dxa" w:w="60"/>
              <w:right w:type="dxa" w:w="100"/>
            </w:tcMar>
          </w:tcPr>
          <w:p>
            <w:r>
              <w:rPr>
                <w:b w:val="false"/>
                <w:bCs w:val="false"/>
                <w:sz w:val="20"/>
                <w:szCs w:val="20"/>
              </w:rPr>
              <w:t xml:space="preserve">Micro-influenceurs (5)</w:t>
            </w:r>
          </w:p>
        </w:tc>
        <w:tc>
          <w:tcPr>
            <w:tcW w:type="dxa" w:w="2200"/>
            <w:tcMar>
              <w:top w:type="dxa" w:w="60"/>
              <w:left w:type="dxa" w:w="100"/>
              <w:bottom w:type="dxa" w:w="60"/>
              <w:right w:type="dxa" w:w="100"/>
            </w:tcMar>
          </w:tcPr>
          <w:p>
            <w:r>
              <w:rPr>
                <w:b w:val="false"/>
                <w:bCs w:val="false"/>
                <w:sz w:val="20"/>
                <w:szCs w:val="20"/>
              </w:rPr>
              <w:t xml:space="preserve">1 500</w:t>
            </w:r>
          </w:p>
        </w:tc>
        <w:tc>
          <w:tcPr>
            <w:tcW w:type="dxa" w:w="2040"/>
            <w:tcMar>
              <w:top w:type="dxa" w:w="60"/>
              <w:left w:type="dxa" w:w="100"/>
              <w:bottom w:type="dxa" w:w="60"/>
              <w:right w:type="dxa" w:w="100"/>
            </w:tcMar>
          </w:tcPr>
          <w:p>
            <w:r>
              <w:rPr>
                <w:b w:val="false"/>
                <w:bCs w:val="false"/>
                <w:sz w:val="20"/>
                <w:szCs w:val="20"/>
              </w:rPr>
              <w:t xml:space="preserve">300 chacun</w:t>
            </w:r>
          </w:p>
        </w:tc>
      </w:tr>
      <w:tr>
        <w:tc>
          <w:tcPr>
            <w:tcW w:type="dxa" w:w="4200"/>
            <w:shd w:fill="F4F8FC" w:val="clear"/>
            <w:tcMar>
              <w:top w:type="dxa" w:w="60"/>
              <w:left w:type="dxa" w:w="100"/>
              <w:bottom w:type="dxa" w:w="60"/>
              <w:right w:type="dxa" w:w="100"/>
            </w:tcMar>
          </w:tcPr>
          <w:p>
            <w:r>
              <w:rPr>
                <w:b w:val="false"/>
                <w:bCs w:val="false"/>
                <w:sz w:val="20"/>
                <w:szCs w:val="20"/>
              </w:rPr>
              <w:t xml:space="preserve">Événement de lancement Kinshasa</w:t>
            </w:r>
          </w:p>
        </w:tc>
        <w:tc>
          <w:tcPr>
            <w:tcW w:type="dxa" w:w="2200"/>
            <w:shd w:fill="F4F8FC" w:val="clear"/>
            <w:tcMar>
              <w:top w:type="dxa" w:w="60"/>
              <w:left w:type="dxa" w:w="100"/>
              <w:bottom w:type="dxa" w:w="60"/>
              <w:right w:type="dxa" w:w="100"/>
            </w:tcMar>
          </w:tcPr>
          <w:p>
            <w:r>
              <w:rPr>
                <w:b w:val="false"/>
                <w:bCs w:val="false"/>
                <w:sz w:val="20"/>
                <w:szCs w:val="20"/>
              </w:rPr>
              <w:t xml:space="preserve">1 500</w:t>
            </w:r>
          </w:p>
        </w:tc>
        <w:tc>
          <w:tcPr>
            <w:tcW w:type="dxa" w:w="2040"/>
            <w:shd w:fill="F4F8FC" w:val="clear"/>
            <w:tcMar>
              <w:top w:type="dxa" w:w="60"/>
              <w:left w:type="dxa" w:w="100"/>
              <w:bottom w:type="dxa" w:w="60"/>
              <w:right w:type="dxa" w:w="100"/>
            </w:tcMar>
          </w:tcPr>
          <w:p>
            <w:r>
              <w:rPr>
                <w:b w:val="false"/>
                <w:bCs w:val="false"/>
                <w:sz w:val="20"/>
                <w:szCs w:val="20"/>
              </w:rPr>
              <w:t xml:space="preserve">Salle, sono, captation</w:t>
            </w:r>
          </w:p>
        </w:tc>
      </w:tr>
      <w:tr>
        <w:tc>
          <w:tcPr>
            <w:tcW w:type="dxa" w:w="4200"/>
            <w:tcMar>
              <w:top w:type="dxa" w:w="60"/>
              <w:left w:type="dxa" w:w="100"/>
              <w:bottom w:type="dxa" w:w="60"/>
              <w:right w:type="dxa" w:w="100"/>
            </w:tcMar>
          </w:tcPr>
          <w:p>
            <w:r>
              <w:rPr>
                <w:b w:val="false"/>
                <w:bCs w:val="false"/>
                <w:sz w:val="20"/>
                <w:szCs w:val="20"/>
              </w:rPr>
              <w:t xml:space="preserve">Contingence 15 %</w:t>
            </w:r>
          </w:p>
        </w:tc>
        <w:tc>
          <w:tcPr>
            <w:tcW w:type="dxa" w:w="2200"/>
            <w:tcMar>
              <w:top w:type="dxa" w:w="60"/>
              <w:left w:type="dxa" w:w="100"/>
              <w:bottom w:type="dxa" w:w="60"/>
              <w:right w:type="dxa" w:w="100"/>
            </w:tcMar>
          </w:tcPr>
          <w:p>
            <w:r>
              <w:rPr>
                <w:b w:val="false"/>
                <w:bCs w:val="false"/>
                <w:sz w:val="20"/>
                <w:szCs w:val="20"/>
              </w:rPr>
              <w:t xml:space="preserve">~1 800</w:t>
            </w:r>
          </w:p>
        </w:tc>
        <w:tc>
          <w:tcPr>
            <w:tcW w:type="dxa" w:w="2040"/>
            <w:tcMar>
              <w:top w:type="dxa" w:w="60"/>
              <w:left w:type="dxa" w:w="100"/>
              <w:bottom w:type="dxa" w:w="60"/>
              <w:right w:type="dxa" w:w="100"/>
            </w:tcMar>
          </w:tcPr>
          <w:p>
            <w:r>
              <w:rPr>
                <w:b w:val="false"/>
                <w:bCs w:val="false"/>
                <w:sz w:val="20"/>
                <w:szCs w:val="20"/>
              </w:rPr>
              <w:t xml:space="preserve"/>
            </w:r>
          </w:p>
        </w:tc>
      </w:tr>
      <w:tr>
        <w:tc>
          <w:tcPr>
            <w:tcW w:type="dxa" w:w="4200"/>
            <w:shd w:fill="F4F8FC" w:val="clear"/>
            <w:tcMar>
              <w:top w:type="dxa" w:w="60"/>
              <w:left w:type="dxa" w:w="100"/>
              <w:bottom w:type="dxa" w:w="60"/>
              <w:right w:type="dxa" w:w="100"/>
            </w:tcMar>
          </w:tcPr>
          <w:p>
            <w:r>
              <w:rPr>
                <w:b/>
                <w:bCs/>
                <w:sz w:val="20"/>
                <w:szCs w:val="20"/>
              </w:rPr>
              <w:t xml:space="preserve">TOTAL FINANCÉ (90 j)</w:t>
            </w:r>
          </w:p>
        </w:tc>
        <w:tc>
          <w:tcPr>
            <w:tcW w:type="dxa" w:w="2200"/>
            <w:shd w:fill="F4F8FC" w:val="clear"/>
            <w:tcMar>
              <w:top w:type="dxa" w:w="60"/>
              <w:left w:type="dxa" w:w="100"/>
              <w:bottom w:type="dxa" w:w="60"/>
              <w:right w:type="dxa" w:w="100"/>
            </w:tcMar>
          </w:tcPr>
          <w:p>
            <w:r>
              <w:rPr>
                <w:b/>
                <w:bCs/>
                <w:color w:val="0055CC"/>
                <w:sz w:val="20"/>
                <w:szCs w:val="20"/>
              </w:rPr>
              <w:t xml:space="preserve">~13 000–15 000</w:t>
            </w:r>
          </w:p>
        </w:tc>
        <w:tc>
          <w:tcPr>
            <w:tcW w:type="dxa" w:w="2040"/>
            <w:shd w:fill="F4F8FC" w:val="clear"/>
            <w:tcMar>
              <w:top w:type="dxa" w:w="60"/>
              <w:left w:type="dxa" w:w="100"/>
              <w:bottom w:type="dxa" w:w="60"/>
              <w:right w:type="dxa" w:w="100"/>
            </w:tcMar>
          </w:tcPr>
          <w:p>
            <w:r>
              <w:rPr>
                <w:b w:val="false"/>
                <w:bCs w:val="false"/>
                <w:sz w:val="20"/>
                <w:szCs w:val="20"/>
              </w:rPr>
              <w:t xml:space="preserve"/>
            </w:r>
          </w:p>
        </w:tc>
      </w:tr>
    </w:tbl>
    <w:p>
      <w:pPr>
        <w:pStyle w:val="Heading2"/>
        <w:spacing w:after="100" w:before="260"/>
      </w:pPr>
      <w:r>
        <w:rPr>
          <w:color w:val="007FFF"/>
        </w:rPr>
        <w:t xml:space="preserve">9.4 Budget marketing mensuel en régime de campagne</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040"/>
      </w:tblGrid>
      <w:tr>
        <w:trPr>
          <w:tblHeader/>
        </w:trPr>
        <w:tc>
          <w:tcPr>
            <w:tcW w:type="dxa" w:w="4200"/>
            <w:shd w:fill="007FFF" w:val="clear"/>
            <w:tcMar>
              <w:top w:type="dxa" w:w="60"/>
              <w:left w:type="dxa" w:w="100"/>
              <w:bottom w:type="dxa" w:w="60"/>
              <w:right w:type="dxa" w:w="100"/>
            </w:tcMar>
          </w:tcPr>
          <w:p>
            <w:r>
              <w:rPr>
                <w:b/>
                <w:bCs/>
                <w:color w:val="FFFFFF"/>
                <w:sz w:val="18"/>
                <w:szCs w:val="18"/>
              </w:rPr>
              <w:t xml:space="preserve">Poste</w:t>
            </w:r>
          </w:p>
        </w:tc>
        <w:tc>
          <w:tcPr>
            <w:tcW w:type="dxa" w:w="2200"/>
            <w:shd w:fill="007FFF" w:val="clear"/>
            <w:tcMar>
              <w:top w:type="dxa" w:w="60"/>
              <w:left w:type="dxa" w:w="100"/>
              <w:bottom w:type="dxa" w:w="60"/>
              <w:right w:type="dxa" w:w="100"/>
            </w:tcMar>
          </w:tcPr>
          <w:p>
            <w:r>
              <w:rPr>
                <w:b/>
                <w:bCs/>
                <w:color w:val="FFFFFF"/>
                <w:sz w:val="18"/>
                <w:szCs w:val="18"/>
              </w:rPr>
              <w:t xml:space="preserve">Mensuel</w:t>
            </w:r>
          </w:p>
        </w:tc>
        <w:tc>
          <w:tcPr>
            <w:tcW w:type="dxa" w:w="2040"/>
            <w:shd w:fill="007FFF" w:val="clear"/>
            <w:tcMar>
              <w:top w:type="dxa" w:w="60"/>
              <w:left w:type="dxa" w:w="100"/>
              <w:bottom w:type="dxa" w:w="60"/>
              <w:right w:type="dxa" w:w="100"/>
            </w:tcMar>
          </w:tcPr>
          <w:p>
            <w:r>
              <w:rPr>
                <w:b/>
                <w:bCs/>
                <w:color w:val="FFFFFF"/>
                <w:sz w:val="18"/>
                <w:szCs w:val="18"/>
              </w:rPr>
              <w:t xml:space="preserve">Rôle</w:t>
            </w:r>
          </w:p>
        </w:tc>
      </w:tr>
      <w:tr>
        <w:tc>
          <w:tcPr>
            <w:tcW w:type="dxa" w:w="4200"/>
            <w:tcMar>
              <w:top w:type="dxa" w:w="60"/>
              <w:left w:type="dxa" w:w="100"/>
              <w:bottom w:type="dxa" w:w="60"/>
              <w:right w:type="dxa" w:w="100"/>
            </w:tcMar>
          </w:tcPr>
          <w:p>
            <w:r>
              <w:rPr>
                <w:b w:val="false"/>
                <w:bCs w:val="false"/>
                <w:sz w:val="20"/>
                <w:szCs w:val="20"/>
              </w:rPr>
              <w:t xml:space="preserve">Retainer agence (Marketwaros)</w:t>
            </w:r>
          </w:p>
        </w:tc>
        <w:tc>
          <w:tcPr>
            <w:tcW w:type="dxa" w:w="2200"/>
            <w:tcMar>
              <w:top w:type="dxa" w:w="60"/>
              <w:left w:type="dxa" w:w="100"/>
              <w:bottom w:type="dxa" w:w="60"/>
              <w:right w:type="dxa" w:w="100"/>
            </w:tcMar>
          </w:tcPr>
          <w:p>
            <w:r>
              <w:rPr>
                <w:b w:val="false"/>
                <w:bCs w:val="false"/>
                <w:sz w:val="20"/>
                <w:szCs w:val="20"/>
              </w:rPr>
              <w:t xml:space="preserve">1 500</w:t>
            </w:r>
          </w:p>
        </w:tc>
        <w:tc>
          <w:tcPr>
            <w:tcW w:type="dxa" w:w="2040"/>
            <w:tcMar>
              <w:top w:type="dxa" w:w="60"/>
              <w:left w:type="dxa" w:w="100"/>
              <w:bottom w:type="dxa" w:w="60"/>
              <w:right w:type="dxa" w:w="100"/>
            </w:tcMar>
          </w:tcPr>
          <w:p>
            <w:r>
              <w:rPr>
                <w:b w:val="false"/>
                <w:bCs w:val="false"/>
                <w:sz w:val="20"/>
                <w:szCs w:val="20"/>
              </w:rPr>
              <w:t xml:space="preserve">Création &amp; pilotage</w:t>
            </w:r>
          </w:p>
        </w:tc>
      </w:tr>
      <w:tr>
        <w:tc>
          <w:tcPr>
            <w:tcW w:type="dxa" w:w="4200"/>
            <w:shd w:fill="F4F8FC" w:val="clear"/>
            <w:tcMar>
              <w:top w:type="dxa" w:w="60"/>
              <w:left w:type="dxa" w:w="100"/>
              <w:bottom w:type="dxa" w:w="60"/>
              <w:right w:type="dxa" w:w="100"/>
            </w:tcMar>
          </w:tcPr>
          <w:p>
            <w:r>
              <w:rPr>
                <w:b w:val="false"/>
                <w:bCs w:val="false"/>
                <w:sz w:val="20"/>
                <w:szCs w:val="20"/>
              </w:rPr>
              <w:t xml:space="preserve">Publicité sociale (test &amp; scale)</w:t>
            </w:r>
          </w:p>
        </w:tc>
        <w:tc>
          <w:tcPr>
            <w:tcW w:type="dxa" w:w="2200"/>
            <w:shd w:fill="F4F8FC" w:val="clear"/>
            <w:tcMar>
              <w:top w:type="dxa" w:w="60"/>
              <w:left w:type="dxa" w:w="100"/>
              <w:bottom w:type="dxa" w:w="60"/>
              <w:right w:type="dxa" w:w="100"/>
            </w:tcMar>
          </w:tcPr>
          <w:p>
            <w:r>
              <w:rPr>
                <w:b w:val="false"/>
                <w:bCs w:val="false"/>
                <w:sz w:val="20"/>
                <w:szCs w:val="20"/>
              </w:rPr>
              <w:t xml:space="preserve">1 000</w:t>
            </w:r>
          </w:p>
        </w:tc>
        <w:tc>
          <w:tcPr>
            <w:tcW w:type="dxa" w:w="2040"/>
            <w:shd w:fill="F4F8FC" w:val="clear"/>
            <w:tcMar>
              <w:top w:type="dxa" w:w="60"/>
              <w:left w:type="dxa" w:w="100"/>
              <w:bottom w:type="dxa" w:w="60"/>
              <w:right w:type="dxa" w:w="100"/>
            </w:tcMar>
          </w:tcPr>
          <w:p>
            <w:r>
              <w:rPr>
                <w:b w:val="false"/>
                <w:bCs w:val="false"/>
                <w:sz w:val="20"/>
                <w:szCs w:val="20"/>
              </w:rPr>
              <w:t xml:space="preserve">Facebook / TikTok</w:t>
            </w:r>
          </w:p>
        </w:tc>
      </w:tr>
      <w:tr>
        <w:tc>
          <w:tcPr>
            <w:tcW w:type="dxa" w:w="4200"/>
            <w:tcMar>
              <w:top w:type="dxa" w:w="60"/>
              <w:left w:type="dxa" w:w="100"/>
              <w:bottom w:type="dxa" w:w="60"/>
              <w:right w:type="dxa" w:w="100"/>
            </w:tcMar>
          </w:tcPr>
          <w:p>
            <w:r>
              <w:rPr>
                <w:b w:val="false"/>
                <w:bCs w:val="false"/>
                <w:sz w:val="20"/>
                <w:szCs w:val="20"/>
              </w:rPr>
              <w:t xml:space="preserve">Radio</w:t>
            </w:r>
          </w:p>
        </w:tc>
        <w:tc>
          <w:tcPr>
            <w:tcW w:type="dxa" w:w="2200"/>
            <w:tcMar>
              <w:top w:type="dxa" w:w="60"/>
              <w:left w:type="dxa" w:w="100"/>
              <w:bottom w:type="dxa" w:w="60"/>
              <w:right w:type="dxa" w:w="100"/>
            </w:tcMar>
          </w:tcPr>
          <w:p>
            <w:r>
              <w:rPr>
                <w:b w:val="false"/>
                <w:bCs w:val="false"/>
                <w:sz w:val="20"/>
                <w:szCs w:val="20"/>
              </w:rPr>
              <w:t xml:space="preserve">400</w:t>
            </w:r>
          </w:p>
        </w:tc>
        <w:tc>
          <w:tcPr>
            <w:tcW w:type="dxa" w:w="2040"/>
            <w:tcMar>
              <w:top w:type="dxa" w:w="60"/>
              <w:left w:type="dxa" w:w="100"/>
              <w:bottom w:type="dxa" w:w="60"/>
              <w:right w:type="dxa" w:w="100"/>
            </w:tcMar>
          </w:tcPr>
          <w:p>
            <w:r>
              <w:rPr>
                <w:b w:val="false"/>
                <w:bCs w:val="false"/>
                <w:sz w:val="20"/>
                <w:szCs w:val="20"/>
              </w:rPr>
              <w:t xml:space="preserve">Portée hors-ligne</w:t>
            </w:r>
          </w:p>
        </w:tc>
      </w:tr>
      <w:tr>
        <w:tc>
          <w:tcPr>
            <w:tcW w:type="dxa" w:w="4200"/>
            <w:shd w:fill="F4F8FC" w:val="clear"/>
            <w:tcMar>
              <w:top w:type="dxa" w:w="60"/>
              <w:left w:type="dxa" w:w="100"/>
              <w:bottom w:type="dxa" w:w="60"/>
              <w:right w:type="dxa" w:w="100"/>
            </w:tcMar>
          </w:tcPr>
          <w:p>
            <w:r>
              <w:rPr>
                <w:b w:val="false"/>
                <w:bCs w:val="false"/>
                <w:sz w:val="20"/>
                <w:szCs w:val="20"/>
              </w:rPr>
              <w:t xml:space="preserve">Micro-influenceurs</w:t>
            </w:r>
          </w:p>
        </w:tc>
        <w:tc>
          <w:tcPr>
            <w:tcW w:type="dxa" w:w="2200"/>
            <w:shd w:fill="F4F8FC" w:val="clear"/>
            <w:tcMar>
              <w:top w:type="dxa" w:w="60"/>
              <w:left w:type="dxa" w:w="100"/>
              <w:bottom w:type="dxa" w:w="60"/>
              <w:right w:type="dxa" w:w="100"/>
            </w:tcMar>
          </w:tcPr>
          <w:p>
            <w:r>
              <w:rPr>
                <w:b w:val="false"/>
                <w:bCs w:val="false"/>
                <w:sz w:val="20"/>
                <w:szCs w:val="20"/>
              </w:rPr>
              <w:t xml:space="preserve">750</w:t>
            </w:r>
          </w:p>
        </w:tc>
        <w:tc>
          <w:tcPr>
            <w:tcW w:type="dxa" w:w="2040"/>
            <w:shd w:fill="F4F8FC" w:val="clear"/>
            <w:tcMar>
              <w:top w:type="dxa" w:w="60"/>
              <w:left w:type="dxa" w:w="100"/>
              <w:bottom w:type="dxa" w:w="60"/>
              <w:right w:type="dxa" w:w="100"/>
            </w:tcMar>
          </w:tcPr>
          <w:p>
            <w:r>
              <w:rPr>
                <w:b w:val="false"/>
                <w:bCs w:val="false"/>
                <w:sz w:val="20"/>
                <w:szCs w:val="20"/>
              </w:rPr>
              <w:t xml:space="preserve">Crédibilité locale</w:t>
            </w:r>
          </w:p>
        </w:tc>
      </w:tr>
      <w:tr>
        <w:tc>
          <w:tcPr>
            <w:tcW w:type="dxa" w:w="4200"/>
            <w:tcMar>
              <w:top w:type="dxa" w:w="60"/>
              <w:left w:type="dxa" w:w="100"/>
              <w:bottom w:type="dxa" w:w="60"/>
              <w:right w:type="dxa" w:w="100"/>
            </w:tcMar>
          </w:tcPr>
          <w:p>
            <w:r>
              <w:rPr>
                <w:b w:val="false"/>
                <w:bCs w:val="false"/>
                <w:sz w:val="20"/>
                <w:szCs w:val="20"/>
              </w:rPr>
              <w:t xml:space="preserve">Production de contenu</w:t>
            </w:r>
          </w:p>
        </w:tc>
        <w:tc>
          <w:tcPr>
            <w:tcW w:type="dxa" w:w="2200"/>
            <w:tcMar>
              <w:top w:type="dxa" w:w="60"/>
              <w:left w:type="dxa" w:w="100"/>
              <w:bottom w:type="dxa" w:w="60"/>
              <w:right w:type="dxa" w:w="100"/>
            </w:tcMar>
          </w:tcPr>
          <w:p>
            <w:r>
              <w:rPr>
                <w:b w:val="false"/>
                <w:bCs w:val="false"/>
                <w:sz w:val="20"/>
                <w:szCs w:val="20"/>
              </w:rPr>
              <w:t xml:space="preserve">600</w:t>
            </w:r>
          </w:p>
        </w:tc>
        <w:tc>
          <w:tcPr>
            <w:tcW w:type="dxa" w:w="2040"/>
            <w:tcMar>
              <w:top w:type="dxa" w:w="60"/>
              <w:left w:type="dxa" w:w="100"/>
              <w:bottom w:type="dxa" w:w="60"/>
              <w:right w:type="dxa" w:w="100"/>
            </w:tcMar>
          </w:tcPr>
          <w:p>
            <w:r>
              <w:rPr>
                <w:b w:val="false"/>
                <w:bCs w:val="false"/>
                <w:sz w:val="20"/>
                <w:szCs w:val="20"/>
              </w:rPr>
              <w:t xml:space="preserve">Vidéos &amp; visuels</w:t>
            </w:r>
          </w:p>
        </w:tc>
      </w:tr>
      <w:tr>
        <w:tc>
          <w:tcPr>
            <w:tcW w:type="dxa" w:w="4200"/>
            <w:shd w:fill="F4F8FC" w:val="clear"/>
            <w:tcMar>
              <w:top w:type="dxa" w:w="60"/>
              <w:left w:type="dxa" w:w="100"/>
              <w:bottom w:type="dxa" w:w="60"/>
              <w:right w:type="dxa" w:w="100"/>
            </w:tcMar>
          </w:tcPr>
          <w:p>
            <w:r>
              <w:rPr>
                <w:b/>
                <w:bCs/>
                <w:sz w:val="20"/>
                <w:szCs w:val="20"/>
              </w:rPr>
              <w:t xml:space="preserve">Total marketing actif / mois</w:t>
            </w:r>
          </w:p>
        </w:tc>
        <w:tc>
          <w:tcPr>
            <w:tcW w:type="dxa" w:w="2200"/>
            <w:shd w:fill="F4F8FC" w:val="clear"/>
            <w:tcMar>
              <w:top w:type="dxa" w:w="60"/>
              <w:left w:type="dxa" w:w="100"/>
              <w:bottom w:type="dxa" w:w="60"/>
              <w:right w:type="dxa" w:w="100"/>
            </w:tcMar>
          </w:tcPr>
          <w:p>
            <w:r>
              <w:rPr>
                <w:b/>
                <w:bCs/>
                <w:color w:val="0055CC"/>
                <w:sz w:val="20"/>
                <w:szCs w:val="20"/>
              </w:rPr>
              <w:t xml:space="preserve">~4 250</w:t>
            </w:r>
          </w:p>
        </w:tc>
        <w:tc>
          <w:tcPr>
            <w:tcW w:type="dxa" w:w="2040"/>
            <w:shd w:fill="F4F8FC" w:val="clear"/>
            <w:tcMar>
              <w:top w:type="dxa" w:w="60"/>
              <w:left w:type="dxa" w:w="100"/>
              <w:bottom w:type="dxa" w:w="60"/>
              <w:right w:type="dxa" w:w="100"/>
            </w:tcMar>
          </w:tcPr>
          <w:p>
            <w:r>
              <w:rPr>
                <w:b w:val="false"/>
                <w:bCs w:val="false"/>
                <w:sz w:val="20"/>
                <w:szCs w:val="20"/>
              </w:rPr>
              <w:t xml:space="preserve"/>
            </w:r>
          </w:p>
        </w:tc>
      </w:tr>
    </w:tbl>
    <w:p>
      <w:pPr>
        <w:spacing w:after="130"/>
      </w:pPr>
      <w:r>
        <w:rPr>
          <w:sz w:val="22"/>
          <w:szCs w:val="22"/>
        </w:rPr>
        <w:t xml:space="preserve">Économie d’acquisition : ~4 250 $/mois de marketing actif visant ~2 000 nouveaux membres → coût d’acquisition (CAC) ~2,1 $. Valeur annuelle par membre = 12 $ → ratio LTV/CAC sain (~5,7×).</w:t>
      </w:r>
    </w:p>
    <w:p>
      <w:pPr>
        <w:pStyle w:val="Heading2"/>
        <w:spacing w:after="100" w:before="260"/>
      </w:pPr>
      <w:r>
        <w:rPr>
          <w:color w:val="007FFF"/>
        </w:rPr>
        <w:t xml:space="preserve">9.5 Unité économique</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40"/>
      </w:tblGrid>
      <w:tr>
        <w:trPr>
          <w:tblHeader/>
        </w:trPr>
        <w:tc>
          <w:tcPr>
            <w:tcW w:type="dxa" w:w="3000"/>
            <w:shd w:fill="007FFF" w:val="clear"/>
            <w:tcMar>
              <w:top w:type="dxa" w:w="60"/>
              <w:left w:type="dxa" w:w="100"/>
              <w:bottom w:type="dxa" w:w="60"/>
              <w:right w:type="dxa" w:w="100"/>
            </w:tcMar>
          </w:tcPr>
          <w:p>
            <w:r>
              <w:rPr>
                <w:b/>
                <w:bCs/>
                <w:color w:val="FFFFFF"/>
                <w:sz w:val="18"/>
                <w:szCs w:val="18"/>
              </w:rPr>
              <w:t xml:space="preserve">Membres cotisants</w:t>
            </w:r>
          </w:p>
        </w:tc>
        <w:tc>
          <w:tcPr>
            <w:tcW w:type="dxa" w:w="1800"/>
            <w:shd w:fill="007FFF" w:val="clear"/>
            <w:tcMar>
              <w:top w:type="dxa" w:w="60"/>
              <w:left w:type="dxa" w:w="100"/>
              <w:bottom w:type="dxa" w:w="60"/>
              <w:right w:type="dxa" w:w="100"/>
            </w:tcMar>
          </w:tcPr>
          <w:p>
            <w:r>
              <w:rPr>
                <w:b/>
                <w:bCs/>
                <w:color w:val="FFFFFF"/>
                <w:sz w:val="18"/>
                <w:szCs w:val="18"/>
              </w:rPr>
              <w:t xml:space="preserve">Revenu/mois</w:t>
            </w:r>
          </w:p>
        </w:tc>
        <w:tc>
          <w:tcPr>
            <w:tcW w:type="dxa" w:w="1800"/>
            <w:shd w:fill="007FFF" w:val="clear"/>
            <w:tcMar>
              <w:top w:type="dxa" w:w="60"/>
              <w:left w:type="dxa" w:w="100"/>
              <w:bottom w:type="dxa" w:w="60"/>
              <w:right w:type="dxa" w:w="100"/>
            </w:tcMar>
          </w:tcPr>
          <w:p>
            <w:r>
              <w:rPr>
                <w:b/>
                <w:bCs/>
                <w:color w:val="FFFFFF"/>
                <w:sz w:val="18"/>
                <w:szCs w:val="18"/>
              </w:rPr>
              <w:t xml:space="preserve">Coûts</w:t>
            </w:r>
          </w:p>
        </w:tc>
        <w:tc>
          <w:tcPr>
            <w:tcW w:type="dxa" w:w="1840"/>
            <w:shd w:fill="007FFF" w:val="clear"/>
            <w:tcMar>
              <w:top w:type="dxa" w:w="60"/>
              <w:left w:type="dxa" w:w="100"/>
              <w:bottom w:type="dxa" w:w="60"/>
              <w:right w:type="dxa" w:w="100"/>
            </w:tcMar>
          </w:tcPr>
          <w:p>
            <w:r>
              <w:rPr>
                <w:b/>
                <w:bCs/>
                <w:color w:val="FFFFFF"/>
                <w:sz w:val="18"/>
                <w:szCs w:val="18"/>
              </w:rPr>
              <w:t xml:space="preserve">Marge</w:t>
            </w:r>
          </w:p>
        </w:tc>
      </w:tr>
      <w:tr>
        <w:tc>
          <w:tcPr>
            <w:tcW w:type="dxa" w:w="3000"/>
            <w:tcMar>
              <w:top w:type="dxa" w:w="60"/>
              <w:left w:type="dxa" w:w="100"/>
              <w:bottom w:type="dxa" w:w="60"/>
              <w:right w:type="dxa" w:w="100"/>
            </w:tcMar>
          </w:tcPr>
          <w:p>
            <w:r>
              <w:rPr>
                <w:b w:val="false"/>
                <w:bCs w:val="false"/>
                <w:sz w:val="20"/>
                <w:szCs w:val="20"/>
              </w:rPr>
              <w:t xml:space="preserve">1 000</w:t>
            </w:r>
          </w:p>
        </w:tc>
        <w:tc>
          <w:tcPr>
            <w:tcW w:type="dxa" w:w="1800"/>
            <w:tcMar>
              <w:top w:type="dxa" w:w="60"/>
              <w:left w:type="dxa" w:w="100"/>
              <w:bottom w:type="dxa" w:w="60"/>
              <w:right w:type="dxa" w:w="100"/>
            </w:tcMar>
          </w:tcPr>
          <w:p>
            <w:r>
              <w:rPr>
                <w:b w:val="false"/>
                <w:bCs w:val="false"/>
                <w:sz w:val="20"/>
                <w:szCs w:val="20"/>
              </w:rPr>
              <w:t xml:space="preserve">1 000</w:t>
            </w:r>
          </w:p>
        </w:tc>
        <w:tc>
          <w:tcPr>
            <w:tcW w:type="dxa" w:w="1800"/>
            <w:tcMar>
              <w:top w:type="dxa" w:w="60"/>
              <w:left w:type="dxa" w:w="100"/>
              <w:bottom w:type="dxa" w:w="60"/>
              <w:right w:type="dxa" w:w="100"/>
            </w:tcMar>
          </w:tcPr>
          <w:p>
            <w:r>
              <w:rPr>
                <w:b w:val="false"/>
                <w:bCs w:val="false"/>
                <w:sz w:val="20"/>
                <w:szCs w:val="20"/>
              </w:rPr>
              <w:t xml:space="preserve">~230</w:t>
            </w:r>
          </w:p>
        </w:tc>
        <w:tc>
          <w:tcPr>
            <w:tcW w:type="dxa" w:w="1840"/>
            <w:tcMar>
              <w:top w:type="dxa" w:w="60"/>
              <w:left w:type="dxa" w:w="100"/>
              <w:bottom w:type="dxa" w:w="60"/>
              <w:right w:type="dxa" w:w="100"/>
            </w:tcMar>
          </w:tcPr>
          <w:p>
            <w:r>
              <w:rPr>
                <w:b w:val="false"/>
                <w:bCs w:val="false"/>
                <w:color w:val="1E7A4D"/>
                <w:sz w:val="20"/>
                <w:szCs w:val="20"/>
              </w:rPr>
              <w:t xml:space="preserve">77 %</w:t>
            </w:r>
          </w:p>
        </w:tc>
      </w:tr>
      <w:tr>
        <w:tc>
          <w:tcPr>
            <w:tcW w:type="dxa" w:w="3000"/>
            <w:shd w:fill="F4F8FC" w:val="clear"/>
            <w:tcMar>
              <w:top w:type="dxa" w:w="60"/>
              <w:left w:type="dxa" w:w="100"/>
              <w:bottom w:type="dxa" w:w="60"/>
              <w:right w:type="dxa" w:w="100"/>
            </w:tcMar>
          </w:tcPr>
          <w:p>
            <w:r>
              <w:rPr>
                <w:b w:val="false"/>
                <w:bCs w:val="false"/>
                <w:sz w:val="20"/>
                <w:szCs w:val="20"/>
              </w:rPr>
              <w:t xml:space="preserve">10 000</w:t>
            </w:r>
          </w:p>
        </w:tc>
        <w:tc>
          <w:tcPr>
            <w:tcW w:type="dxa" w:w="1800"/>
            <w:shd w:fill="F4F8FC" w:val="clear"/>
            <w:tcMar>
              <w:top w:type="dxa" w:w="60"/>
              <w:left w:type="dxa" w:w="100"/>
              <w:bottom w:type="dxa" w:w="60"/>
              <w:right w:type="dxa" w:w="100"/>
            </w:tcMar>
          </w:tcPr>
          <w:p>
            <w:r>
              <w:rPr>
                <w:b w:val="false"/>
                <w:bCs w:val="false"/>
                <w:sz w:val="20"/>
                <w:szCs w:val="20"/>
              </w:rPr>
              <w:t xml:space="preserve">10 000</w:t>
            </w:r>
          </w:p>
        </w:tc>
        <w:tc>
          <w:tcPr>
            <w:tcW w:type="dxa" w:w="1800"/>
            <w:shd w:fill="F4F8FC" w:val="clear"/>
            <w:tcMar>
              <w:top w:type="dxa" w:w="60"/>
              <w:left w:type="dxa" w:w="100"/>
              <w:bottom w:type="dxa" w:w="60"/>
              <w:right w:type="dxa" w:w="100"/>
            </w:tcMar>
          </w:tcPr>
          <w:p>
            <w:r>
              <w:rPr>
                <w:b w:val="false"/>
                <w:bCs w:val="false"/>
                <w:sz w:val="20"/>
                <w:szCs w:val="20"/>
              </w:rPr>
              <w:t xml:space="preserve">~1 600</w:t>
            </w:r>
          </w:p>
        </w:tc>
        <w:tc>
          <w:tcPr>
            <w:tcW w:type="dxa" w:w="1840"/>
            <w:shd w:fill="F4F8FC" w:val="clear"/>
            <w:tcMar>
              <w:top w:type="dxa" w:w="60"/>
              <w:left w:type="dxa" w:w="100"/>
              <w:bottom w:type="dxa" w:w="60"/>
              <w:right w:type="dxa" w:w="100"/>
            </w:tcMar>
          </w:tcPr>
          <w:p>
            <w:r>
              <w:rPr>
                <w:b w:val="false"/>
                <w:bCs w:val="false"/>
                <w:color w:val="1E7A4D"/>
                <w:sz w:val="20"/>
                <w:szCs w:val="20"/>
              </w:rPr>
              <w:t xml:space="preserve">84 %</w:t>
            </w:r>
          </w:p>
        </w:tc>
      </w:tr>
      <w:tr>
        <w:tc>
          <w:tcPr>
            <w:tcW w:type="dxa" w:w="3000"/>
            <w:tcMar>
              <w:top w:type="dxa" w:w="60"/>
              <w:left w:type="dxa" w:w="100"/>
              <w:bottom w:type="dxa" w:w="60"/>
              <w:right w:type="dxa" w:w="100"/>
            </w:tcMar>
          </w:tcPr>
          <w:p>
            <w:r>
              <w:rPr>
                <w:b w:val="false"/>
                <w:bCs w:val="false"/>
                <w:sz w:val="20"/>
                <w:szCs w:val="20"/>
              </w:rPr>
              <w:t xml:space="preserve">100 000</w:t>
            </w:r>
          </w:p>
        </w:tc>
        <w:tc>
          <w:tcPr>
            <w:tcW w:type="dxa" w:w="1800"/>
            <w:tcMar>
              <w:top w:type="dxa" w:w="60"/>
              <w:left w:type="dxa" w:w="100"/>
              <w:bottom w:type="dxa" w:w="60"/>
              <w:right w:type="dxa" w:w="100"/>
            </w:tcMar>
          </w:tcPr>
          <w:p>
            <w:r>
              <w:rPr>
                <w:b w:val="false"/>
                <w:bCs w:val="false"/>
                <w:sz w:val="20"/>
                <w:szCs w:val="20"/>
              </w:rPr>
              <w:t xml:space="preserve">100 000</w:t>
            </w:r>
          </w:p>
        </w:tc>
        <w:tc>
          <w:tcPr>
            <w:tcW w:type="dxa" w:w="1800"/>
            <w:tcMar>
              <w:top w:type="dxa" w:w="60"/>
              <w:left w:type="dxa" w:w="100"/>
              <w:bottom w:type="dxa" w:w="60"/>
              <w:right w:type="dxa" w:w="100"/>
            </w:tcMar>
          </w:tcPr>
          <w:p>
            <w:r>
              <w:rPr>
                <w:b w:val="false"/>
                <w:bCs w:val="false"/>
                <w:sz w:val="20"/>
                <w:szCs w:val="20"/>
              </w:rPr>
              <w:t xml:space="preserve">~13 500</w:t>
            </w:r>
          </w:p>
        </w:tc>
        <w:tc>
          <w:tcPr>
            <w:tcW w:type="dxa" w:w="1840"/>
            <w:tcMar>
              <w:top w:type="dxa" w:w="60"/>
              <w:left w:type="dxa" w:w="100"/>
              <w:bottom w:type="dxa" w:w="60"/>
              <w:right w:type="dxa" w:w="100"/>
            </w:tcMar>
          </w:tcPr>
          <w:p>
            <w:r>
              <w:rPr>
                <w:b w:val="false"/>
                <w:bCs w:val="false"/>
                <w:color w:val="1E7A4D"/>
                <w:sz w:val="20"/>
                <w:szCs w:val="20"/>
              </w:rPr>
              <w:t xml:space="preserve">87 %</w:t>
            </w:r>
          </w:p>
        </w:tc>
      </w:tr>
    </w:tbl>
    <w:p>
      <w:pPr>
        <w:spacing w:after="120"/>
      </w:pPr>
      <w:r>
        <w:rPr>
          <w:i/>
          <w:iCs/>
          <w:color w:val="555555"/>
          <w:sz w:val="18"/>
          <w:szCs w:val="18"/>
        </w:rPr>
        <w:t xml:space="preserve">Overhead fixe ~50–100 $/mois → seuil de rentabilité ≈ 120 membres cotisants.</w:t>
      </w:r>
    </w:p>
    <w:p>
      <w:r>
        <w:br w:type="page"/>
      </w:r>
    </w:p>
    <w:p>
      <w:pPr>
        <w:pStyle w:val="Heading1"/>
        <w:spacing w:after="140" w:before="340"/>
      </w:pPr>
      <w:r>
        <w:rPr>
          <w:color w:val="0055CC"/>
        </w:rPr>
        <w:t xml:space="preserve">10. KPIs &amp; entonnoir (90 jours, Kinshasa)</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040"/>
      </w:tblGrid>
      <w:tr>
        <w:trPr>
          <w:tblHeader/>
        </w:trPr>
        <w:tc>
          <w:tcPr>
            <w:tcW w:type="dxa" w:w="4200"/>
            <w:shd w:fill="007FFF" w:val="clear"/>
            <w:tcMar>
              <w:top w:type="dxa" w:w="60"/>
              <w:left w:type="dxa" w:w="100"/>
              <w:bottom w:type="dxa" w:w="60"/>
              <w:right w:type="dxa" w:w="100"/>
            </w:tcMar>
          </w:tcPr>
          <w:p>
            <w:r>
              <w:rPr>
                <w:b/>
                <w:bCs/>
                <w:color w:val="FFFFFF"/>
                <w:sz w:val="18"/>
                <w:szCs w:val="18"/>
              </w:rPr>
              <w:t xml:space="preserve">Étape</w:t>
            </w:r>
          </w:p>
        </w:tc>
        <w:tc>
          <w:tcPr>
            <w:tcW w:type="dxa" w:w="2200"/>
            <w:shd w:fill="007FFF" w:val="clear"/>
            <w:tcMar>
              <w:top w:type="dxa" w:w="60"/>
              <w:left w:type="dxa" w:w="100"/>
              <w:bottom w:type="dxa" w:w="60"/>
              <w:right w:type="dxa" w:w="100"/>
            </w:tcMar>
          </w:tcPr>
          <w:p>
            <w:r>
              <w:rPr>
                <w:b/>
                <w:bCs/>
                <w:color w:val="FFFFFF"/>
                <w:sz w:val="18"/>
                <w:szCs w:val="18"/>
              </w:rPr>
              <w:t xml:space="preserve">Cible</w:t>
            </w:r>
          </w:p>
        </w:tc>
        <w:tc>
          <w:tcPr>
            <w:tcW w:type="dxa" w:w="2040"/>
            <w:shd w:fill="007FFF" w:val="clear"/>
            <w:tcMar>
              <w:top w:type="dxa" w:w="60"/>
              <w:left w:type="dxa" w:w="100"/>
              <w:bottom w:type="dxa" w:w="60"/>
              <w:right w:type="dxa" w:w="100"/>
            </w:tcMar>
          </w:tcPr>
          <w:p>
            <w:r>
              <w:rPr>
                <w:b/>
                <w:bCs/>
                <w:color w:val="FFFFFF"/>
                <w:sz w:val="18"/>
                <w:szCs w:val="18"/>
              </w:rPr>
              <w:t xml:space="preserve">Taux</w:t>
            </w:r>
          </w:p>
        </w:tc>
      </w:tr>
      <w:tr>
        <w:tc>
          <w:tcPr>
            <w:tcW w:type="dxa" w:w="4200"/>
            <w:tcMar>
              <w:top w:type="dxa" w:w="60"/>
              <w:left w:type="dxa" w:w="100"/>
              <w:bottom w:type="dxa" w:w="60"/>
              <w:right w:type="dxa" w:w="100"/>
            </w:tcMar>
          </w:tcPr>
          <w:p>
            <w:r>
              <w:rPr>
                <w:b w:val="false"/>
                <w:bCs w:val="false"/>
                <w:sz w:val="20"/>
                <w:szCs w:val="20"/>
              </w:rPr>
              <w:t xml:space="preserve">Visiteurs du site</w:t>
            </w:r>
          </w:p>
        </w:tc>
        <w:tc>
          <w:tcPr>
            <w:tcW w:type="dxa" w:w="2200"/>
            <w:tcMar>
              <w:top w:type="dxa" w:w="60"/>
              <w:left w:type="dxa" w:w="100"/>
              <w:bottom w:type="dxa" w:w="60"/>
              <w:right w:type="dxa" w:w="100"/>
            </w:tcMar>
          </w:tcPr>
          <w:p>
            <w:r>
              <w:rPr>
                <w:b w:val="false"/>
                <w:bCs w:val="false"/>
                <w:sz w:val="20"/>
                <w:szCs w:val="20"/>
              </w:rPr>
              <w:t xml:space="preserve">20 000</w:t>
            </w:r>
          </w:p>
        </w:tc>
        <w:tc>
          <w:tcPr>
            <w:tcW w:type="dxa" w:w="2040"/>
            <w:tcMar>
              <w:top w:type="dxa" w:w="60"/>
              <w:left w:type="dxa" w:w="100"/>
              <w:bottom w:type="dxa" w:w="60"/>
              <w:right w:type="dxa" w:w="100"/>
            </w:tcMar>
          </w:tcPr>
          <w:p>
            <w:r>
              <w:rPr>
                <w:b w:val="false"/>
                <w:bCs w:val="false"/>
                <w:sz w:val="20"/>
                <w:szCs w:val="20"/>
              </w:rPr>
              <w:t xml:space="preserve">—</w:t>
            </w:r>
          </w:p>
        </w:tc>
      </w:tr>
      <w:tr>
        <w:tc>
          <w:tcPr>
            <w:tcW w:type="dxa" w:w="4200"/>
            <w:shd w:fill="F4F8FC" w:val="clear"/>
            <w:tcMar>
              <w:top w:type="dxa" w:w="60"/>
              <w:left w:type="dxa" w:w="100"/>
              <w:bottom w:type="dxa" w:w="60"/>
              <w:right w:type="dxa" w:w="100"/>
            </w:tcMar>
          </w:tcPr>
          <w:p>
            <w:r>
              <w:rPr>
                <w:b w:val="false"/>
                <w:bCs w:val="false"/>
                <w:sz w:val="20"/>
                <w:szCs w:val="20"/>
              </w:rPr>
              <w:t xml:space="preserve">Démarrent l’inscription</w:t>
            </w:r>
          </w:p>
        </w:tc>
        <w:tc>
          <w:tcPr>
            <w:tcW w:type="dxa" w:w="2200"/>
            <w:shd w:fill="F4F8FC" w:val="clear"/>
            <w:tcMar>
              <w:top w:type="dxa" w:w="60"/>
              <w:left w:type="dxa" w:w="100"/>
              <w:bottom w:type="dxa" w:w="60"/>
              <w:right w:type="dxa" w:w="100"/>
            </w:tcMar>
          </w:tcPr>
          <w:p>
            <w:r>
              <w:rPr>
                <w:b w:val="false"/>
                <w:bCs w:val="false"/>
                <w:sz w:val="20"/>
                <w:szCs w:val="20"/>
              </w:rPr>
              <w:t xml:space="preserve">2 500</w:t>
            </w:r>
          </w:p>
        </w:tc>
        <w:tc>
          <w:tcPr>
            <w:tcW w:type="dxa" w:w="2040"/>
            <w:shd w:fill="F4F8FC" w:val="clear"/>
            <w:tcMar>
              <w:top w:type="dxa" w:w="60"/>
              <w:left w:type="dxa" w:w="100"/>
              <w:bottom w:type="dxa" w:w="60"/>
              <w:right w:type="dxa" w:w="100"/>
            </w:tcMar>
          </w:tcPr>
          <w:p>
            <w:r>
              <w:rPr>
                <w:b w:val="false"/>
                <w:bCs w:val="false"/>
                <w:sz w:val="20"/>
                <w:szCs w:val="20"/>
              </w:rPr>
              <w:t xml:space="preserve">12,5 %</w:t>
            </w:r>
          </w:p>
        </w:tc>
      </w:tr>
      <w:tr>
        <w:tc>
          <w:tcPr>
            <w:tcW w:type="dxa" w:w="4200"/>
            <w:tcMar>
              <w:top w:type="dxa" w:w="60"/>
              <w:left w:type="dxa" w:w="100"/>
              <w:bottom w:type="dxa" w:w="60"/>
              <w:right w:type="dxa" w:w="100"/>
            </w:tcMar>
          </w:tcPr>
          <w:p>
            <w:r>
              <w:rPr>
                <w:b w:val="false"/>
                <w:bCs w:val="false"/>
                <w:sz w:val="20"/>
                <w:szCs w:val="20"/>
              </w:rPr>
              <w:t xml:space="preserve">Terminent l’inscription</w:t>
            </w:r>
          </w:p>
        </w:tc>
        <w:tc>
          <w:tcPr>
            <w:tcW w:type="dxa" w:w="2200"/>
            <w:tcMar>
              <w:top w:type="dxa" w:w="60"/>
              <w:left w:type="dxa" w:w="100"/>
              <w:bottom w:type="dxa" w:w="60"/>
              <w:right w:type="dxa" w:w="100"/>
            </w:tcMar>
          </w:tcPr>
          <w:p>
            <w:r>
              <w:rPr>
                <w:b w:val="false"/>
                <w:bCs w:val="false"/>
                <w:sz w:val="20"/>
                <w:szCs w:val="20"/>
              </w:rPr>
              <w:t xml:space="preserve">1 400</w:t>
            </w:r>
          </w:p>
        </w:tc>
        <w:tc>
          <w:tcPr>
            <w:tcW w:type="dxa" w:w="2040"/>
            <w:tcMar>
              <w:top w:type="dxa" w:w="60"/>
              <w:left w:type="dxa" w:w="100"/>
              <w:bottom w:type="dxa" w:w="60"/>
              <w:right w:type="dxa" w:w="100"/>
            </w:tcMar>
          </w:tcPr>
          <w:p>
            <w:r>
              <w:rPr>
                <w:b w:val="false"/>
                <w:bCs w:val="false"/>
                <w:sz w:val="20"/>
                <w:szCs w:val="20"/>
              </w:rPr>
              <w:t xml:space="preserve">56 %</w:t>
            </w:r>
          </w:p>
        </w:tc>
      </w:tr>
      <w:tr>
        <w:tc>
          <w:tcPr>
            <w:tcW w:type="dxa" w:w="4200"/>
            <w:shd w:fill="F4F8FC" w:val="clear"/>
            <w:tcMar>
              <w:top w:type="dxa" w:w="60"/>
              <w:left w:type="dxa" w:w="100"/>
              <w:bottom w:type="dxa" w:w="60"/>
              <w:right w:type="dxa" w:w="100"/>
            </w:tcMar>
          </w:tcPr>
          <w:p>
            <w:r>
              <w:rPr>
                <w:b w:val="false"/>
                <w:bCs w:val="false"/>
                <w:sz w:val="20"/>
                <w:szCs w:val="20"/>
              </w:rPr>
              <w:t xml:space="preserve">Cotisent (paient)</w:t>
            </w:r>
          </w:p>
        </w:tc>
        <w:tc>
          <w:tcPr>
            <w:tcW w:type="dxa" w:w="2200"/>
            <w:shd w:fill="F4F8FC" w:val="clear"/>
            <w:tcMar>
              <w:top w:type="dxa" w:w="60"/>
              <w:left w:type="dxa" w:w="100"/>
              <w:bottom w:type="dxa" w:w="60"/>
              <w:right w:type="dxa" w:w="100"/>
            </w:tcMar>
          </w:tcPr>
          <w:p>
            <w:r>
              <w:rPr>
                <w:b w:val="false"/>
                <w:bCs w:val="false"/>
                <w:sz w:val="20"/>
                <w:szCs w:val="20"/>
              </w:rPr>
              <w:t xml:space="preserve">900</w:t>
            </w:r>
          </w:p>
        </w:tc>
        <w:tc>
          <w:tcPr>
            <w:tcW w:type="dxa" w:w="2040"/>
            <w:shd w:fill="F4F8FC" w:val="clear"/>
            <w:tcMar>
              <w:top w:type="dxa" w:w="60"/>
              <w:left w:type="dxa" w:w="100"/>
              <w:bottom w:type="dxa" w:w="60"/>
              <w:right w:type="dxa" w:w="100"/>
            </w:tcMar>
          </w:tcPr>
          <w:p>
            <w:r>
              <w:rPr>
                <w:b w:val="false"/>
                <w:bCs w:val="false"/>
                <w:sz w:val="20"/>
                <w:szCs w:val="20"/>
              </w:rPr>
              <w:t xml:space="preserve">64 %</w:t>
            </w:r>
          </w:p>
        </w:tc>
      </w:tr>
      <w:tr>
        <w:tc>
          <w:tcPr>
            <w:tcW w:type="dxa" w:w="4200"/>
            <w:tcMar>
              <w:top w:type="dxa" w:w="60"/>
              <w:left w:type="dxa" w:w="100"/>
              <w:bottom w:type="dxa" w:w="60"/>
              <w:right w:type="dxa" w:w="100"/>
            </w:tcMar>
          </w:tcPr>
          <w:p>
            <w:r>
              <w:rPr>
                <w:b w:val="false"/>
                <w:bCs w:val="false"/>
                <w:sz w:val="20"/>
                <w:szCs w:val="20"/>
              </w:rPr>
              <w:t xml:space="preserve">Parrainent ≥ 1 personne</w:t>
            </w:r>
          </w:p>
        </w:tc>
        <w:tc>
          <w:tcPr>
            <w:tcW w:type="dxa" w:w="2200"/>
            <w:tcMar>
              <w:top w:type="dxa" w:w="60"/>
              <w:left w:type="dxa" w:w="100"/>
              <w:bottom w:type="dxa" w:w="60"/>
              <w:right w:type="dxa" w:w="100"/>
            </w:tcMar>
          </w:tcPr>
          <w:p>
            <w:r>
              <w:rPr>
                <w:b w:val="false"/>
                <w:bCs w:val="false"/>
                <w:sz w:val="20"/>
                <w:szCs w:val="20"/>
              </w:rPr>
              <w:t xml:space="preserve">500</w:t>
            </w:r>
          </w:p>
        </w:tc>
        <w:tc>
          <w:tcPr>
            <w:tcW w:type="dxa" w:w="2040"/>
            <w:tcMar>
              <w:top w:type="dxa" w:w="60"/>
              <w:left w:type="dxa" w:w="100"/>
              <w:bottom w:type="dxa" w:w="60"/>
              <w:right w:type="dxa" w:w="100"/>
            </w:tcMar>
          </w:tcPr>
          <w:p>
            <w:r>
              <w:rPr>
                <w:b w:val="false"/>
                <w:bCs w:val="false"/>
                <w:sz w:val="20"/>
                <w:szCs w:val="20"/>
              </w:rPr>
              <w:t xml:space="preserve">56 %</w:t>
            </w:r>
          </w:p>
        </w:tc>
      </w:tr>
    </w:tbl>
    <w:p>
      <w:pPr>
        <w:spacing w:after="130"/>
      </w:pPr>
      <w:r>
        <w:rPr>
          <w:sz w:val="22"/>
          <w:szCs w:val="22"/>
        </w:rPr>
        <w:t xml:space="preserve">Métriques nord : coefficient de parrainage &gt; 1,3 ; conversion paiement &gt; 60 % ; rétention 3 mois &gt; 70 % ; CAC ~0 (organique) → &lt; 0,50 $ (payant early), ~2,1 $ (campagne financée).</w:t>
      </w:r>
    </w:p>
    <w:p>
      <w:pPr>
        <w:spacing w:after="120"/>
      </w:pPr>
      <w:r>
        <w:rPr>
          <w:i/>
          <w:iCs/>
          <w:color w:val="555555"/>
          <w:sz w:val="18"/>
          <w:szCs w:val="18"/>
        </w:rPr>
        <w:t xml:space="preserve">Volumes = cibles illustratives pour calibrer l’effort, à recalibrer sur données réelles Search Console dès le lancement.</w:t>
      </w:r>
    </w:p>
    <w:p>
      <w:pPr>
        <w:pStyle w:val="Heading1"/>
        <w:spacing w:after="140" w:before="340"/>
      </w:pPr>
      <w:r>
        <w:rPr>
          <w:color w:val="0055CC"/>
        </w:rPr>
        <w:t xml:space="preserve">11. Risques &amp; parades</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640"/>
      </w:tblGrid>
      <w:tr>
        <w:trPr>
          <w:tblHeader/>
        </w:trPr>
        <w:tc>
          <w:tcPr>
            <w:tcW w:type="dxa" w:w="3400"/>
            <w:shd w:fill="007FFF" w:val="clear"/>
            <w:tcMar>
              <w:top w:type="dxa" w:w="60"/>
              <w:left w:type="dxa" w:w="100"/>
              <w:bottom w:type="dxa" w:w="60"/>
              <w:right w:type="dxa" w:w="100"/>
            </w:tcMar>
          </w:tcPr>
          <w:p>
            <w:r>
              <w:rPr>
                <w:b/>
                <w:bCs/>
                <w:color w:val="FFFFFF"/>
                <w:sz w:val="18"/>
                <w:szCs w:val="18"/>
              </w:rPr>
              <w:t xml:space="preserve">Risque</w:t>
            </w:r>
          </w:p>
        </w:tc>
        <w:tc>
          <w:tcPr>
            <w:tcW w:type="dxa" w:w="2400"/>
            <w:shd w:fill="007FFF" w:val="clear"/>
            <w:tcMar>
              <w:top w:type="dxa" w:w="60"/>
              <w:left w:type="dxa" w:w="100"/>
              <w:bottom w:type="dxa" w:w="60"/>
              <w:right w:type="dxa" w:w="100"/>
            </w:tcMar>
          </w:tcPr>
          <w:p>
            <w:r>
              <w:rPr>
                <w:b/>
                <w:bCs/>
                <w:color w:val="FFFFFF"/>
                <w:sz w:val="18"/>
                <w:szCs w:val="18"/>
              </w:rPr>
              <w:t xml:space="preserve">Impact</w:t>
            </w:r>
          </w:p>
        </w:tc>
        <w:tc>
          <w:tcPr>
            <w:tcW w:type="dxa" w:w="2640"/>
            <w:shd w:fill="007FFF" w:val="clear"/>
            <w:tcMar>
              <w:top w:type="dxa" w:w="60"/>
              <w:left w:type="dxa" w:w="100"/>
              <w:bottom w:type="dxa" w:w="60"/>
              <w:right w:type="dxa" w:w="100"/>
            </w:tcMar>
          </w:tcPr>
          <w:p>
            <w:r>
              <w:rPr>
                <w:b/>
                <w:bCs/>
                <w:color w:val="FFFFFF"/>
                <w:sz w:val="18"/>
                <w:szCs w:val="18"/>
              </w:rPr>
              <w:t xml:space="preserve">Parade</w:t>
            </w:r>
          </w:p>
        </w:tc>
      </w:tr>
      <w:tr>
        <w:tc>
          <w:tcPr>
            <w:tcW w:type="dxa" w:w="3400"/>
            <w:tcMar>
              <w:top w:type="dxa" w:w="60"/>
              <w:left w:type="dxa" w:w="100"/>
              <w:bottom w:type="dxa" w:w="60"/>
              <w:right w:type="dxa" w:w="100"/>
            </w:tcMar>
          </w:tcPr>
          <w:p>
            <w:r>
              <w:rPr>
                <w:b w:val="false"/>
                <w:bCs w:val="false"/>
                <w:sz w:val="20"/>
                <w:szCs w:val="20"/>
              </w:rPr>
              <w:t xml:space="preserve">Compte marchand refusé / lent</w:t>
            </w:r>
          </w:p>
        </w:tc>
        <w:tc>
          <w:tcPr>
            <w:tcW w:type="dxa" w:w="2400"/>
            <w:tcMar>
              <w:top w:type="dxa" w:w="60"/>
              <w:left w:type="dxa" w:w="100"/>
              <w:bottom w:type="dxa" w:w="60"/>
              <w:right w:type="dxa" w:w="100"/>
            </w:tcMar>
          </w:tcPr>
          <w:p>
            <w:r>
              <w:rPr>
                <w:b w:val="false"/>
                <w:bCs w:val="false"/>
                <w:sz w:val="20"/>
                <w:szCs w:val="20"/>
              </w:rPr>
              <w:t xml:space="preserve">Pas d’encaissement</w:t>
            </w:r>
          </w:p>
        </w:tc>
        <w:tc>
          <w:tcPr>
            <w:tcW w:type="dxa" w:w="2640"/>
            <w:tcMar>
              <w:top w:type="dxa" w:w="60"/>
              <w:left w:type="dxa" w:w="100"/>
              <w:bottom w:type="dxa" w:w="60"/>
              <w:right w:type="dxa" w:w="100"/>
            </w:tcMar>
          </w:tcPr>
          <w:p>
            <w:r>
              <w:rPr>
                <w:b w:val="false"/>
                <w:bCs w:val="false"/>
                <w:sz w:val="20"/>
                <w:szCs w:val="20"/>
              </w:rPr>
              <w:t xml:space="preserve">Déposer 3 dossiers en parallèle</w:t>
            </w:r>
          </w:p>
        </w:tc>
      </w:tr>
      <w:tr>
        <w:tc>
          <w:tcPr>
            <w:tcW w:type="dxa" w:w="3400"/>
            <w:shd w:fill="F4F8FC" w:val="clear"/>
            <w:tcMar>
              <w:top w:type="dxa" w:w="60"/>
              <w:left w:type="dxa" w:w="100"/>
              <w:bottom w:type="dxa" w:w="60"/>
              <w:right w:type="dxa" w:w="100"/>
            </w:tcMar>
          </w:tcPr>
          <w:p>
            <w:r>
              <w:rPr>
                <w:b w:val="false"/>
                <w:bCs w:val="false"/>
                <w:sz w:val="20"/>
                <w:szCs w:val="20"/>
              </w:rPr>
              <w:t xml:space="preserve">Frais fixes mangent le 1 USD</w:t>
            </w:r>
          </w:p>
        </w:tc>
        <w:tc>
          <w:tcPr>
            <w:tcW w:type="dxa" w:w="2400"/>
            <w:shd w:fill="F4F8FC" w:val="clear"/>
            <w:tcMar>
              <w:top w:type="dxa" w:w="60"/>
              <w:left w:type="dxa" w:w="100"/>
              <w:bottom w:type="dxa" w:w="60"/>
              <w:right w:type="dxa" w:w="100"/>
            </w:tcMar>
          </w:tcPr>
          <w:p>
            <w:r>
              <w:rPr>
                <w:b w:val="false"/>
                <w:bCs w:val="false"/>
                <w:sz w:val="20"/>
                <w:szCs w:val="20"/>
              </w:rPr>
              <w:t xml:space="preserve">Marge négative</w:t>
            </w:r>
          </w:p>
        </w:tc>
        <w:tc>
          <w:tcPr>
            <w:tcW w:type="dxa" w:w="2640"/>
            <w:shd w:fill="F4F8FC" w:val="clear"/>
            <w:tcMar>
              <w:top w:type="dxa" w:w="60"/>
              <w:left w:type="dxa" w:w="100"/>
              <w:bottom w:type="dxa" w:w="60"/>
              <w:right w:type="dxa" w:w="100"/>
            </w:tcMar>
          </w:tcPr>
          <w:p>
            <w:r>
              <w:rPr>
                <w:b w:val="false"/>
                <w:bCs w:val="false"/>
                <w:sz w:val="20"/>
                <w:szCs w:val="20"/>
              </w:rPr>
              <w:t xml:space="preserve">Encaisser à l’année (12 $) par défaut</w:t>
            </w:r>
          </w:p>
        </w:tc>
      </w:tr>
      <w:tr>
        <w:tc>
          <w:tcPr>
            <w:tcW w:type="dxa" w:w="3400"/>
            <w:tcMar>
              <w:top w:type="dxa" w:w="60"/>
              <w:left w:type="dxa" w:w="100"/>
              <w:bottom w:type="dxa" w:w="60"/>
              <w:right w:type="dxa" w:w="100"/>
            </w:tcMar>
          </w:tcPr>
          <w:p>
            <w:r>
              <w:rPr>
                <w:b w:val="false"/>
                <w:bCs w:val="false"/>
                <w:sz w:val="20"/>
                <w:szCs w:val="20"/>
              </w:rPr>
              <w:t xml:space="preserve">Emails en spam</w:t>
            </w:r>
          </w:p>
        </w:tc>
        <w:tc>
          <w:tcPr>
            <w:tcW w:type="dxa" w:w="2400"/>
            <w:tcMar>
              <w:top w:type="dxa" w:w="60"/>
              <w:left w:type="dxa" w:w="100"/>
              <w:bottom w:type="dxa" w:w="60"/>
              <w:right w:type="dxa" w:w="100"/>
            </w:tcMar>
          </w:tcPr>
          <w:p>
            <w:r>
              <w:rPr>
                <w:b w:val="false"/>
                <w:bCs w:val="false"/>
                <w:sz w:val="20"/>
                <w:szCs w:val="20"/>
              </w:rPr>
              <w:t xml:space="preserve">Newsletter inefficace</w:t>
            </w:r>
          </w:p>
        </w:tc>
        <w:tc>
          <w:tcPr>
            <w:tcW w:type="dxa" w:w="2640"/>
            <w:tcMar>
              <w:top w:type="dxa" w:w="60"/>
              <w:left w:type="dxa" w:w="100"/>
              <w:bottom w:type="dxa" w:w="60"/>
              <w:right w:type="dxa" w:w="100"/>
            </w:tcMar>
          </w:tcPr>
          <w:p>
            <w:r>
              <w:rPr>
                <w:b w:val="false"/>
                <w:bCs w:val="false"/>
                <w:sz w:val="20"/>
                <w:szCs w:val="20"/>
              </w:rPr>
              <w:t xml:space="preserve">Vérifier domaine (SPF/DKIM) avant envoi</w:t>
            </w:r>
          </w:p>
        </w:tc>
      </w:tr>
      <w:tr>
        <w:tc>
          <w:tcPr>
            <w:tcW w:type="dxa" w:w="3400"/>
            <w:shd w:fill="F4F8FC" w:val="clear"/>
            <w:tcMar>
              <w:top w:type="dxa" w:w="60"/>
              <w:left w:type="dxa" w:w="100"/>
              <w:bottom w:type="dxa" w:w="60"/>
              <w:right w:type="dxa" w:w="100"/>
            </w:tcMar>
          </w:tcPr>
          <w:p>
            <w:r>
              <w:rPr>
                <w:b w:val="false"/>
                <w:bCs w:val="false"/>
                <w:sz w:val="20"/>
                <w:szCs w:val="20"/>
              </w:rPr>
              <w:t xml:space="preserve">Lingala/Swahili imparfaits</w:t>
            </w:r>
          </w:p>
        </w:tc>
        <w:tc>
          <w:tcPr>
            <w:tcW w:type="dxa" w:w="2400"/>
            <w:shd w:fill="F4F8FC" w:val="clear"/>
            <w:tcMar>
              <w:top w:type="dxa" w:w="60"/>
              <w:left w:type="dxa" w:w="100"/>
              <w:bottom w:type="dxa" w:w="60"/>
              <w:right w:type="dxa" w:w="100"/>
            </w:tcMar>
          </w:tcPr>
          <w:p>
            <w:r>
              <w:rPr>
                <w:b w:val="false"/>
                <w:bCs w:val="false"/>
                <w:sz w:val="20"/>
                <w:szCs w:val="20"/>
              </w:rPr>
              <w:t xml:space="preserve">Perte de crédibilité</w:t>
            </w:r>
          </w:p>
        </w:tc>
        <w:tc>
          <w:tcPr>
            <w:tcW w:type="dxa" w:w="2640"/>
            <w:shd w:fill="F4F8FC" w:val="clear"/>
            <w:tcMar>
              <w:top w:type="dxa" w:w="60"/>
              <w:left w:type="dxa" w:w="100"/>
              <w:bottom w:type="dxa" w:w="60"/>
              <w:right w:type="dxa" w:w="100"/>
            </w:tcMar>
          </w:tcPr>
          <w:p>
            <w:r>
              <w:rPr>
                <w:b w:val="false"/>
                <w:bCs w:val="false"/>
                <w:sz w:val="20"/>
                <w:szCs w:val="20"/>
              </w:rPr>
              <w:t xml:space="preserve">Revue par locuteur natif</w:t>
            </w:r>
          </w:p>
        </w:tc>
      </w:tr>
      <w:tr>
        <w:tc>
          <w:tcPr>
            <w:tcW w:type="dxa" w:w="3400"/>
            <w:tcMar>
              <w:top w:type="dxa" w:w="60"/>
              <w:left w:type="dxa" w:w="100"/>
              <w:bottom w:type="dxa" w:w="60"/>
              <w:right w:type="dxa" w:w="100"/>
            </w:tcMar>
          </w:tcPr>
          <w:p>
            <w:r>
              <w:rPr>
                <w:b w:val="false"/>
                <w:bCs w:val="false"/>
                <w:sz w:val="20"/>
                <w:szCs w:val="20"/>
              </w:rPr>
              <w:t xml:space="preserve">Données politiques sensibles</w:t>
            </w:r>
          </w:p>
        </w:tc>
        <w:tc>
          <w:tcPr>
            <w:tcW w:type="dxa" w:w="2400"/>
            <w:tcMar>
              <w:top w:type="dxa" w:w="60"/>
              <w:left w:type="dxa" w:w="100"/>
              <w:bottom w:type="dxa" w:w="60"/>
              <w:right w:type="dxa" w:w="100"/>
            </w:tcMar>
          </w:tcPr>
          <w:p>
            <w:r>
              <w:rPr>
                <w:b w:val="false"/>
                <w:bCs w:val="false"/>
                <w:sz w:val="20"/>
                <w:szCs w:val="20"/>
              </w:rPr>
              <w:t xml:space="preserve">Confiance / sécurité</w:t>
            </w:r>
          </w:p>
        </w:tc>
        <w:tc>
          <w:tcPr>
            <w:tcW w:type="dxa" w:w="2640"/>
            <w:tcMar>
              <w:top w:type="dxa" w:w="60"/>
              <w:left w:type="dxa" w:w="100"/>
              <w:bottom w:type="dxa" w:w="60"/>
              <w:right w:type="dxa" w:w="100"/>
            </w:tcMar>
          </w:tcPr>
          <w:p>
            <w:r>
              <w:rPr>
                <w:b w:val="false"/>
                <w:bCs w:val="false"/>
                <w:sz w:val="20"/>
                <w:szCs w:val="20"/>
              </w:rPr>
              <w:t xml:space="preserve">Chiffrement AES-256 déjà en place + politique de confidentialité</w:t>
            </w:r>
          </w:p>
        </w:tc>
      </w:tr>
      <w:tr>
        <w:tc>
          <w:tcPr>
            <w:tcW w:type="dxa" w:w="3400"/>
            <w:shd w:fill="F4F8FC" w:val="clear"/>
            <w:tcMar>
              <w:top w:type="dxa" w:w="60"/>
              <w:left w:type="dxa" w:w="100"/>
              <w:bottom w:type="dxa" w:w="60"/>
              <w:right w:type="dxa" w:w="100"/>
            </w:tcMar>
          </w:tcPr>
          <w:p>
            <w:r>
              <w:rPr>
                <w:b w:val="false"/>
                <w:bCs w:val="false"/>
                <w:sz w:val="20"/>
                <w:szCs w:val="20"/>
              </w:rPr>
              <w:t xml:space="preserve">Dépendance à un canal</w:t>
            </w:r>
          </w:p>
        </w:tc>
        <w:tc>
          <w:tcPr>
            <w:tcW w:type="dxa" w:w="2400"/>
            <w:shd w:fill="F4F8FC" w:val="clear"/>
            <w:tcMar>
              <w:top w:type="dxa" w:w="60"/>
              <w:left w:type="dxa" w:w="100"/>
              <w:bottom w:type="dxa" w:w="60"/>
              <w:right w:type="dxa" w:w="100"/>
            </w:tcMar>
          </w:tcPr>
          <w:p>
            <w:r>
              <w:rPr>
                <w:b w:val="false"/>
                <w:bCs w:val="false"/>
                <w:sz w:val="20"/>
                <w:szCs w:val="20"/>
              </w:rPr>
              <w:t xml:space="preserve">Fragilité</w:t>
            </w:r>
          </w:p>
        </w:tc>
        <w:tc>
          <w:tcPr>
            <w:tcW w:type="dxa" w:w="2640"/>
            <w:shd w:fill="F4F8FC" w:val="clear"/>
            <w:tcMar>
              <w:top w:type="dxa" w:w="60"/>
              <w:left w:type="dxa" w:w="100"/>
              <w:bottom w:type="dxa" w:w="60"/>
              <w:right w:type="dxa" w:w="100"/>
            </w:tcMar>
          </w:tcPr>
          <w:p>
            <w:r>
              <w:rPr>
                <w:b w:val="false"/>
                <w:bCs w:val="false"/>
                <w:sz w:val="20"/>
                <w:szCs w:val="20"/>
              </w:rPr>
              <w:t xml:space="preserve">WhatsApp + SEO + presse + radio + coordinateurs</w:t>
            </w:r>
          </w:p>
        </w:tc>
      </w:tr>
    </w:tbl>
    <w:p>
      <w:pPr>
        <w:pStyle w:val="Heading1"/>
        <w:spacing w:after="140" w:before="340"/>
      </w:pPr>
      <w:r>
        <w:rPr>
          <w:color w:val="0055CC"/>
        </w:rPr>
        <w:t xml:space="preserve">12. Les 7 prochains jours — checklist</w:t>
      </w:r>
    </w:p>
    <w:p>
      <w:pPr>
        <w:pStyle w:val="ListParagraph"/>
        <w:numPr>
          <w:ilvl w:val="0"/>
          <w:numId w:val="2"/>
        </w:numPr>
        <w:spacing w:after="60"/>
      </w:pPr>
      <w:r>
        <w:rPr>
          <w:sz w:val="22"/>
          <w:szCs w:val="22"/>
        </w:rPr>
        <w:t xml:space="preserve">Réserver le domaine congodabord.cd et le garder.</w:t>
      </w:r>
    </w:p>
    <w:p>
      <w:pPr>
        <w:pStyle w:val="ListParagraph"/>
        <w:numPr>
          <w:ilvl w:val="0"/>
          <w:numId w:val="2"/>
        </w:numPr>
        <w:spacing w:after="60"/>
      </w:pPr>
      <w:r>
        <w:rPr>
          <w:sz w:val="22"/>
          <w:szCs w:val="22"/>
        </w:rPr>
        <w:t xml:space="preserve">Lancer l’enregistrement légal du parti (chemin critique le plus long).</w:t>
      </w:r>
    </w:p>
    <w:p>
      <w:pPr>
        <w:pStyle w:val="ListParagraph"/>
        <w:numPr>
          <w:ilvl w:val="0"/>
          <w:numId w:val="2"/>
        </w:numPr>
        <w:spacing w:after="60"/>
      </w:pPr>
      <w:r>
        <w:rPr>
          <w:sz w:val="22"/>
          <w:szCs w:val="22"/>
        </w:rPr>
        <w:t xml:space="preserve">Déposer 3 dossiers de compte marchand (BitriPay, MaxiCash, CinetPay).</w:t>
      </w:r>
    </w:p>
    <w:p>
      <w:pPr>
        <w:pStyle w:val="ListParagraph"/>
        <w:numPr>
          <w:ilvl w:val="0"/>
          <w:numId w:val="2"/>
        </w:numPr>
        <w:spacing w:after="60"/>
      </w:pPr>
      <w:r>
        <w:rPr>
          <w:sz w:val="22"/>
          <w:szCs w:val="22"/>
        </w:rPr>
        <w:t xml:space="preserve">Générer les clés IA (Anthropic + OpenAI + Gemini) et les ajouter dans Vercel.</w:t>
      </w:r>
    </w:p>
    <w:p>
      <w:pPr>
        <w:pStyle w:val="ListParagraph"/>
        <w:numPr>
          <w:ilvl w:val="0"/>
          <w:numId w:val="2"/>
        </w:numPr>
        <w:spacing w:after="60"/>
      </w:pPr>
      <w:r>
        <w:rPr>
          <w:sz w:val="22"/>
          <w:szCs w:val="22"/>
        </w:rPr>
        <w:t xml:space="preserve">Créer le projet Firebase et connecter les clés — les inscriptions deviennent réelles.</w:t>
      </w:r>
    </w:p>
    <w:p>
      <w:pPr>
        <w:pStyle w:val="ListParagraph"/>
        <w:numPr>
          <w:ilvl w:val="0"/>
          <w:numId w:val="2"/>
        </w:numPr>
        <w:spacing w:after="60"/>
      </w:pPr>
      <w:r>
        <w:rPr>
          <w:sz w:val="22"/>
          <w:szCs w:val="22"/>
        </w:rPr>
        <w:t xml:space="preserve">Écrire personnellement à 40 contacts de confiance — le cercle 1→3.</w:t>
      </w:r>
    </w:p>
    <w:p>
      <w:pPr>
        <w:pStyle w:val="ListParagraph"/>
        <w:numPr>
          <w:ilvl w:val="0"/>
          <w:numId w:val="2"/>
        </w:numPr>
        <w:spacing w:after="60"/>
      </w:pPr>
      <w:r>
        <w:rPr>
          <w:sz w:val="22"/>
          <w:szCs w:val="22"/>
        </w:rPr>
        <w:t xml:space="preserve">Contacter marketwaros.com pour cadrer le partenariat d’exécution (phase 60).</w:t>
      </w:r>
    </w:p>
    <w:p>
      <w:pPr>
        <w:spacing w:after="120"/>
      </w:pPr>
    </w:p>
    <w:p>
      <w:pPr>
        <w:spacing w:after="130"/>
      </w:pPr>
      <w:r>
        <w:rPr>
          <w:b/>
          <w:bCs/>
          <w:sz w:val="22"/>
          <w:szCs w:val="22"/>
        </w:rPr>
        <w:t xml:space="preserve">Le produit est fait, testé et stable. La croissance ne dépend plus du code — elle dépend de trois comptes à ouvrir et d’une équipe qui décroche, à la main, ses cent premiers croyants à Kinshasa. Faites-le, et la machine déjà construite s’occupe des cent mille suivants.</w:t>
      </w:r>
    </w:p>
    <w:p>
      <w:pPr>
        <w:spacing w:after="120"/>
      </w:pPr>
    </w:p>
    <w:p>
      <w:pPr>
        <w:spacing w:after="120"/>
      </w:pPr>
      <w:r>
        <w:rPr>
          <w:i/>
          <w:iCs/>
          <w:color w:val="555555"/>
          <w:sz w:val="18"/>
          <w:szCs w:val="18"/>
        </w:rPr>
        <w:t xml:space="preserve">Le Congo D’Abord — Go-to-Market. Ville pilote : Kinshasa. Partenaire marketing recommandé : marketwaros.com. Montants = estimations USD à confirmer par devis.</w:t>
      </w:r>
    </w:p>
    <w:sectPr>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2026-08-18T07:10:29.476Z</dcterms:created>
  <dcterms:modified xsi:type="dcterms:W3CDTF">2026-08-18T07:10:29.477Z</dcterms:modified>
</cp:coreProperties>
</file>

<file path=docProps/custom.xml><?xml version="1.0" encoding="utf-8"?>
<Properties xmlns="http://schemas.openxmlformats.org/officeDocument/2006/custom-properties" xmlns:vt="http://schemas.openxmlformats.org/officeDocument/2006/docPropsVTypes"/>
</file>