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rPr>
          <w:rFonts w:ascii="Calibri" w:cs="Calibri" w:eastAsia="Calibri" w:hAnsi="Calibri"/>
          <w:b/>
          <w:bCs/>
          <w:color w:val="1F2937"/>
          <w:sz w:val="36"/>
          <w:szCs w:val="36"/>
        </w:rPr>
        <w:t xml:space="preserve">CONGO VOICE AI OS — Where citizen data can go</w:t>
      </w:r>
    </w:p>
    <w:p>
      <w:pPr>
        <w:spacing w:after="200" w:before="0" w:line="260"/>
      </w:pPr>
      <w:r>
        <w:rPr>
          <w:rFonts w:ascii="Calibri" w:cs="Calibri" w:eastAsia="Calibri" w:hAnsi="Calibri"/>
          <w:color w:val="4B5563"/>
          <w:sz w:val="17"/>
          <w:szCs w:val="17"/>
        </w:rPr>
        <w:t xml:space="preserve">Every destination a citizen's words, voice, photographs or telephone number can reach, and what each one receives. Generated from the same declarations the platform enforces at runtime, so it cannot describe a system other than the one that is running.</w:t>
      </w:r>
    </w:p>
    <w:p>
      <w:pPr>
        <w:pStyle w:val="Heading1"/>
        <w:spacing w:after="140" w:before="300"/>
      </w:pPr>
      <w:r>
        <w:rPr>
          <w:rFonts w:ascii="Calibri" w:cs="Calibri" w:eastAsia="Calibri" w:hAnsi="Calibri"/>
          <w:b/>
          <w:bCs/>
          <w:color w:val="1F2937"/>
          <w:sz w:val="24"/>
          <w:szCs w:val="24"/>
        </w:rPr>
        <w:t xml:space="preserve">The position</w:t>
      </w:r>
    </w:p>
    <w:p>
      <w:pPr>
        <w:spacing w:after="120" w:before="0" w:line="260"/>
      </w:pPr>
      <w:r>
        <w:rPr>
          <w:rFonts w:ascii="Calibri" w:cs="Calibri" w:eastAsia="Calibri" w:hAnsi="Calibri"/>
          <w:color w:val="1F2937"/>
          <w:sz w:val="17"/>
          <w:szCs w:val="17"/>
        </w:rPr>
        <w:t xml:space="preserve">The programme's intent is that everything stays in the Democratic Republic of the Congo. There is no cloud region in the country, so the pilot runs from the nearest available one — Johannesburg — and migrates when an in-country option exists. That is a decision with a date on it, not a permanent posture, and this document exists so that the gap between the intent and the deployment is stated rather than assumed.</w:t>
      </w:r>
    </w:p>
    <w:p>
      <w:pPr>
        <w:pStyle w:val="Heading1"/>
        <w:spacing w:after="140" w:before="300"/>
      </w:pPr>
      <w:r>
        <w:rPr>
          <w:rFonts w:ascii="Calibri" w:cs="Calibri" w:eastAsia="Calibri" w:hAnsi="Calibri"/>
          <w:b/>
          <w:bCs/>
          <w:color w:val="1F2937"/>
          <w:sz w:val="24"/>
          <w:szCs w:val="24"/>
        </w:rPr>
        <w:t xml:space="preserve">How it is enforced</w:t>
      </w:r>
    </w:p>
    <w:p>
      <w:pPr>
        <w:spacing w:after="120" w:before="0" w:line="260"/>
      </w:pPr>
      <w:r>
        <w:rPr>
          <w:rFonts w:ascii="Calibri" w:cs="Calibri" w:eastAsia="Calibri" w:hAnsi="Calibri"/>
          <w:color w:val="1F2937"/>
          <w:sz w:val="17"/>
          <w:szCs w:val="17"/>
        </w:rPr>
        <w:t xml:space="preserve">DATA_RESIDENCY names the jurisdictions a deployment permits, as a comma-separated list of ISO 3166-1 alpha-2 codes. A destination outside that set is never registered: it has no code path, so no ordering, retry or fallback can reach it.</w:t>
      </w:r>
    </w:p>
    <w:p>
      <w:pPr>
        <w:spacing w:after="120" w:before="0" w:line="260"/>
      </w:pPr>
      <w:r>
        <w:rPr>
          <w:rFonts w:ascii="Calibri" w:cs="Calibri" w:eastAsia="Calibri" w:hAnsi="Calibri"/>
          <w:color w:val="1F2937"/>
          <w:sz w:val="17"/>
          <w:szCs w:val="17"/>
        </w:rPr>
        <w:t xml:space="preserve">A message channel outside it returns a delivery failure, which the escalation path reports and the readiness probe degrades on — the argument for changing the policy or the carrier, made at the moment it matters rather than after an incident.</w:t>
      </w:r>
    </w:p>
    <w:p>
      <w:pPr>
        <w:spacing w:after="120" w:before="0" w:line="260"/>
      </w:pPr>
      <w:r>
        <w:rPr>
          <w:rFonts w:ascii="Calibri" w:cs="Calibri" w:eastAsia="Calibri" w:hAnsi="Calibri"/>
          <w:i/>
          <w:iCs/>
          <w:color w:val="4B5563"/>
          <w:sz w:val="17"/>
          <w:szCs w:val="17"/>
        </w:rPr>
        <w:t xml:space="preserve">Unset means unrestricted. That is right on a laptop and is reported as a finding in any deployment that serves citizens.</w:t>
      </w:r>
    </w:p>
    <w:p>
      <w:pPr>
        <w:pStyle w:val="Heading1"/>
        <w:spacing w:after="140" w:before="300"/>
      </w:pPr>
      <w:r>
        <w:rPr>
          <w:rFonts w:ascii="Calibri" w:cs="Calibri" w:eastAsia="Calibri" w:hAnsi="Calibri"/>
          <w:b/>
          <w:bCs/>
          <w:color w:val="1F2937"/>
          <w:sz w:val="24"/>
          <w:szCs w:val="24"/>
        </w:rPr>
        <w:t xml:space="preserve">What moving the container does not fix</w:t>
      </w:r>
    </w:p>
    <w:p>
      <w:pPr>
        <w:spacing w:after="120" w:before="0" w:line="260"/>
      </w:pPr>
      <w:r>
        <w:rPr>
          <w:rFonts w:ascii="Calibri" w:cs="Calibri" w:eastAsia="Calibri" w:hAnsi="Calibri"/>
          <w:color w:val="1F2937"/>
          <w:sz w:val="17"/>
          <w:szCs w:val="17"/>
        </w:rPr>
        <w:t xml:space="preserve">A voice recording sent to a transcription service abroad has left the country whether the server is in Johannesburg or in Kinshasa. </w:t>
      </w:r>
      <w:r>
        <w:rPr>
          <w:rFonts w:ascii="Calibri" w:cs="Calibri" w:eastAsia="Calibri" w:hAnsi="Calibri"/>
          <w:b/>
          <w:bCs/>
          <w:color w:val="1F2937"/>
          <w:sz w:val="17"/>
          <w:szCs w:val="17"/>
        </w:rPr>
        <w:t xml:space="preserve">The providers below are the residency question; the hosting is the smaller half of it.</w:t>
      </w:r>
    </w:p>
    <w:p>
      <w:pPr>
        <w:pStyle w:val="Heading1"/>
        <w:spacing w:after="140" w:before="300"/>
      </w:pPr>
      <w:r>
        <w:rPr>
          <w:rFonts w:ascii="Calibri" w:cs="Calibri" w:eastAsia="Calibri" w:hAnsi="Calibri"/>
          <w:b/>
          <w:bCs/>
          <w:color w:val="1F2937"/>
          <w:sz w:val="24"/>
          <w:szCs w:val="24"/>
        </w:rPr>
        <w:t xml:space="preserve">The inventory</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700"/>
        <w:gridCol w:w="2100"/>
        <w:gridCol w:w="1100"/>
        <w:gridCol w:w="6298"/>
      </w:tblGrid>
      <w:tr>
        <w:trPr>
          <w:tblHeader/>
        </w:trPr>
        <w:tc>
          <w:tcPr>
            <w:tcW w:type="dxa" w:w="1500"/>
            <w:tcBorders>
              <w:top w:val="single" w:color="D1D5DB" w:sz="2"/>
              <w:left w:val="single" w:color="D1D5DB" w:sz="2"/>
              <w:bottom w:val="single" w:color="D1D5DB" w:sz="2"/>
              <w:right w:val="single" w:color="D1D5DB" w:sz="2"/>
            </w:tcBorders>
            <w:shd w:fill="0B1220" w:color="auto" w:val="clear"/>
            <w:tcMar>
              <w:top w:type="dxa" w:w="70"/>
              <w:left w:type="dxa" w:w="110"/>
              <w:bottom w:type="dxa" w:w="70"/>
              <w:right w:type="dxa" w:w="110"/>
            </w:tcMar>
          </w:tcPr>
          <w:p>
            <w:pPr>
              <w:spacing w:after="0" w:before="0" w:line="260"/>
            </w:pPr>
            <w:r>
              <w:rPr>
                <w:rFonts w:ascii="Calibri" w:cs="Calibri" w:eastAsia="Calibri" w:hAnsi="Calibri"/>
                <w:b/>
                <w:bCs/>
                <w:color w:val="FFFFFF"/>
                <w:sz w:val="17"/>
                <w:szCs w:val="17"/>
              </w:rPr>
              <w:t xml:space="preserve">Destination</w:t>
            </w:r>
          </w:p>
        </w:tc>
        <w:tc>
          <w:tcPr>
            <w:tcW w:type="dxa" w:w="1700"/>
            <w:tcBorders>
              <w:top w:val="single" w:color="D1D5DB" w:sz="2"/>
              <w:left w:val="single" w:color="D1D5DB" w:sz="2"/>
              <w:bottom w:val="single" w:color="D1D5DB" w:sz="2"/>
              <w:right w:val="single" w:color="D1D5DB" w:sz="2"/>
            </w:tcBorders>
            <w:shd w:fill="0B1220" w:color="auto" w:val="clear"/>
            <w:tcMar>
              <w:top w:type="dxa" w:w="70"/>
              <w:left w:type="dxa" w:w="110"/>
              <w:bottom w:type="dxa" w:w="70"/>
              <w:right w:type="dxa" w:w="110"/>
            </w:tcMar>
          </w:tcPr>
          <w:p>
            <w:pPr>
              <w:spacing w:after="0" w:before="0" w:line="260"/>
            </w:pPr>
            <w:r>
              <w:rPr>
                <w:rFonts w:ascii="Calibri" w:cs="Calibri" w:eastAsia="Calibri" w:hAnsi="Calibri"/>
                <w:b/>
                <w:bCs/>
                <w:color w:val="FFFFFF"/>
                <w:sz w:val="17"/>
                <w:szCs w:val="17"/>
              </w:rPr>
              <w:t xml:space="preserve">Kind</w:t>
            </w:r>
          </w:p>
        </w:tc>
        <w:tc>
          <w:tcPr>
            <w:tcW w:type="dxa" w:w="2700"/>
            <w:tcBorders>
              <w:top w:val="single" w:color="D1D5DB" w:sz="2"/>
              <w:left w:val="single" w:color="D1D5DB" w:sz="2"/>
              <w:bottom w:val="single" w:color="D1D5DB" w:sz="2"/>
              <w:right w:val="single" w:color="D1D5DB" w:sz="2"/>
            </w:tcBorders>
            <w:shd w:fill="0B1220" w:color="auto" w:val="clear"/>
            <w:tcMar>
              <w:top w:type="dxa" w:w="70"/>
              <w:left w:type="dxa" w:w="110"/>
              <w:bottom w:type="dxa" w:w="70"/>
              <w:right w:type="dxa" w:w="110"/>
            </w:tcMar>
          </w:tcPr>
          <w:p>
            <w:pPr>
              <w:spacing w:after="0" w:before="0" w:line="260"/>
            </w:pPr>
            <w:r>
              <w:rPr>
                <w:rFonts w:ascii="Calibri" w:cs="Calibri" w:eastAsia="Calibri" w:hAnsi="Calibri"/>
                <w:b/>
                <w:bCs/>
                <w:color w:val="FFFFFF"/>
                <w:sz w:val="17"/>
                <w:szCs w:val="17"/>
              </w:rPr>
              <w:t xml:space="preserve">Operator</w:t>
            </w:r>
          </w:p>
        </w:tc>
        <w:tc>
          <w:tcPr>
            <w:tcW w:type="dxa" w:w="2100"/>
            <w:tcBorders>
              <w:top w:val="single" w:color="D1D5DB" w:sz="2"/>
              <w:left w:val="single" w:color="D1D5DB" w:sz="2"/>
              <w:bottom w:val="single" w:color="D1D5DB" w:sz="2"/>
              <w:right w:val="single" w:color="D1D5DB" w:sz="2"/>
            </w:tcBorders>
            <w:shd w:fill="0B1220" w:color="auto" w:val="clear"/>
            <w:tcMar>
              <w:top w:type="dxa" w:w="70"/>
              <w:left w:type="dxa" w:w="110"/>
              <w:bottom w:type="dxa" w:w="70"/>
              <w:right w:type="dxa" w:w="110"/>
            </w:tcMar>
          </w:tcPr>
          <w:p>
            <w:pPr>
              <w:spacing w:after="0" w:before="0" w:line="260"/>
            </w:pPr>
            <w:r>
              <w:rPr>
                <w:rFonts w:ascii="Calibri" w:cs="Calibri" w:eastAsia="Calibri" w:hAnsi="Calibri"/>
                <w:b/>
                <w:bCs/>
                <w:color w:val="FFFFFF"/>
                <w:sz w:val="17"/>
                <w:szCs w:val="17"/>
              </w:rPr>
              <w:t xml:space="preserve">Jurisdiction</w:t>
            </w:r>
          </w:p>
        </w:tc>
        <w:tc>
          <w:tcPr>
            <w:tcW w:type="dxa" w:w="1100"/>
            <w:tcBorders>
              <w:top w:val="single" w:color="D1D5DB" w:sz="2"/>
              <w:left w:val="single" w:color="D1D5DB" w:sz="2"/>
              <w:bottom w:val="single" w:color="D1D5DB" w:sz="2"/>
              <w:right w:val="single" w:color="D1D5DB" w:sz="2"/>
            </w:tcBorders>
            <w:shd w:fill="0B1220" w:color="auto" w:val="clear"/>
            <w:tcMar>
              <w:top w:type="dxa" w:w="70"/>
              <w:left w:type="dxa" w:w="110"/>
              <w:bottom w:type="dxa" w:w="70"/>
              <w:right w:type="dxa" w:w="110"/>
            </w:tcMar>
          </w:tcPr>
          <w:p>
            <w:pPr>
              <w:spacing w:after="0" w:before="0" w:line="260"/>
            </w:pPr>
            <w:r>
              <w:rPr>
                <w:rFonts w:ascii="Calibri" w:cs="Calibri" w:eastAsia="Calibri" w:hAnsi="Calibri"/>
                <w:b/>
                <w:bCs/>
                <w:color w:val="FFFFFF"/>
                <w:sz w:val="17"/>
                <w:szCs w:val="17"/>
              </w:rPr>
              <w:t xml:space="preserve">Safety path</w:t>
            </w:r>
          </w:p>
        </w:tc>
        <w:tc>
          <w:tcPr>
            <w:tcW w:type="dxa" w:w="6298"/>
            <w:tcBorders>
              <w:top w:val="single" w:color="D1D5DB" w:sz="2"/>
              <w:left w:val="single" w:color="D1D5DB" w:sz="2"/>
              <w:bottom w:val="single" w:color="D1D5DB" w:sz="2"/>
              <w:right w:val="single" w:color="D1D5DB" w:sz="2"/>
            </w:tcBorders>
            <w:shd w:fill="0B1220" w:color="auto" w:val="clear"/>
            <w:tcMar>
              <w:top w:type="dxa" w:w="70"/>
              <w:left w:type="dxa" w:w="110"/>
              <w:bottom w:type="dxa" w:w="70"/>
              <w:right w:type="dxa" w:w="110"/>
            </w:tcMar>
          </w:tcPr>
          <w:p>
            <w:pPr>
              <w:spacing w:after="0" w:before="0" w:line="260"/>
            </w:pPr>
            <w:r>
              <w:rPr>
                <w:rFonts w:ascii="Calibri" w:cs="Calibri" w:eastAsia="Calibri" w:hAnsi="Calibri"/>
                <w:b/>
                <w:bCs/>
                <w:color w:val="FFFFFF"/>
                <w:sz w:val="17"/>
                <w:szCs w:val="17"/>
              </w:rPr>
              <w:t xml:space="preserve">What it receives</w:t>
            </w:r>
          </w:p>
        </w:tc>
      </w:tr>
      <w:tr>
        <w:tc>
          <w:tcPr>
            <w:tcW w:type="dxa" w:w="1500"/>
            <w:tcBorders>
              <w:top w:val="single" w:color="D1D5DB" w:sz="2"/>
              <w:left w:val="single" w:color="D1D5DB" w:sz="2"/>
              <w:bottom w:val="single" w:color="D1D5DB" w:sz="2"/>
              <w:right w:val="single" w:color="D1D5DB" w:sz="2"/>
            </w:tcBorders>
            <w:shd w:fill="E7F6EC" w:color="auto" w:val="clear"/>
            <w:tcMar>
              <w:top w:type="dxa" w:w="70"/>
              <w:left w:type="dxa" w:w="110"/>
              <w:bottom w:type="dxa" w:w="70"/>
              <w:right w:type="dxa" w:w="110"/>
            </w:tcMar>
          </w:tcPr>
          <w:p>
            <w:pPr>
              <w:spacing w:after="0" w:before="0" w:line="260"/>
            </w:pPr>
            <w:r>
              <w:rPr>
                <w:rFonts w:ascii="Calibri" w:cs="Calibri" w:eastAsia="Calibri" w:hAnsi="Calibri"/>
                <w:b/>
                <w:bCs/>
                <w:color w:val="1F2937"/>
                <w:sz w:val="16"/>
                <w:szCs w:val="16"/>
              </w:rPr>
              <w:t xml:space="preserve">self</w:t>
            </w:r>
          </w:p>
        </w:tc>
        <w:tc>
          <w:tcPr>
            <w:tcW w:type="dxa" w:w="1700"/>
            <w:tcBorders>
              <w:top w:val="single" w:color="D1D5DB" w:sz="2"/>
              <w:left w:val="single" w:color="D1D5DB" w:sz="2"/>
              <w:bottom w:val="single" w:color="D1D5DB" w:sz="2"/>
              <w:right w:val="single" w:color="D1D5DB" w:sz="2"/>
            </w:tcBorders>
            <w:tcMar>
              <w:top w:type="dxa" w:w="70"/>
              <w:left w:type="dxa" w:w="110"/>
              <w:bottom w:type="dxa" w:w="70"/>
              <w:right w:type="dxa" w:w="110"/>
            </w:tcMar>
          </w:tcPr>
          <w:p>
            <w:pPr>
              <w:spacing w:after="0" w:before="0" w:line="260"/>
            </w:pPr>
            <w:r>
              <w:rPr>
                <w:rFonts w:ascii="Calibri" w:cs="Calibri" w:eastAsia="Calibri" w:hAnsi="Calibri"/>
                <w:color w:val="1F2937"/>
                <w:sz w:val="16"/>
                <w:szCs w:val="16"/>
              </w:rPr>
              <w:t xml:space="preserve">The deployment itself</w:t>
            </w:r>
          </w:p>
        </w:tc>
        <w:tc>
          <w:tcPr>
            <w:tcW w:type="dxa" w:w="2700"/>
            <w:tcBorders>
              <w:top w:val="single" w:color="D1D5DB" w:sz="2"/>
              <w:left w:val="single" w:color="D1D5DB" w:sz="2"/>
              <w:bottom w:val="single" w:color="D1D5DB" w:sz="2"/>
              <w:right w:val="single" w:color="D1D5DB" w:sz="2"/>
            </w:tcBorders>
            <w:tcMar>
              <w:top w:type="dxa" w:w="70"/>
              <w:left w:type="dxa" w:w="110"/>
              <w:bottom w:type="dxa" w:w="70"/>
              <w:right w:type="dxa" w:w="110"/>
            </w:tcMar>
          </w:tcPr>
          <w:p>
            <w:pPr>
              <w:spacing w:after="0" w:before="0" w:line="260"/>
            </w:pPr>
            <w:r>
              <w:rPr>
                <w:rFonts w:ascii="Calibri" w:cs="Calibri" w:eastAsia="Calibri" w:hAnsi="Calibri"/>
                <w:color w:val="4B5563"/>
                <w:sz w:val="16"/>
                <w:szCs w:val="16"/>
              </w:rPr>
              <w:t xml:space="preserve">The programme, on the host it deploys to</w:t>
            </w:r>
          </w:p>
        </w:tc>
        <w:tc>
          <w:tcPr>
            <w:tcW w:type="dxa" w:w="2100"/>
            <w:tcBorders>
              <w:top w:val="single" w:color="D1D5DB" w:sz="2"/>
              <w:left w:val="single" w:color="D1D5DB" w:sz="2"/>
              <w:bottom w:val="single" w:color="D1D5DB" w:sz="2"/>
              <w:right w:val="single" w:color="D1D5DB" w:sz="2"/>
            </w:tcBorders>
            <w:shd w:fill="E7F6EC" w:color="auto" w:val="clear"/>
            <w:tcMar>
              <w:top w:type="dxa" w:w="70"/>
              <w:left w:type="dxa" w:w="110"/>
              <w:bottom w:type="dxa" w:w="70"/>
              <w:right w:type="dxa" w:w="110"/>
            </w:tcMar>
          </w:tcPr>
          <w:p>
            <w:pPr>
              <w:spacing w:after="0" w:before="0" w:line="260"/>
            </w:pPr>
            <w:r>
              <w:rPr>
                <w:rFonts w:ascii="Calibri" w:cs="Calibri" w:eastAsia="Calibri" w:hAnsi="Calibri"/>
                <w:b w:val="false"/>
                <w:bCs w:val="false"/>
                <w:color w:val="1F2937"/>
                <w:sz w:val="16"/>
                <w:szCs w:val="16"/>
              </w:rPr>
              <w:t xml:space="preserve">same as the deployment (`DEPLOYMENT_JURISDICTION`)</w:t>
            </w:r>
          </w:p>
        </w:tc>
        <w:tc>
          <w:tcPr>
            <w:tcW w:type="dxa" w:w="1100"/>
            <w:tcBorders>
              <w:top w:val="single" w:color="D1D5DB" w:sz="2"/>
              <w:left w:val="single" w:color="D1D5DB" w:sz="2"/>
              <w:bottom w:val="single" w:color="D1D5DB" w:sz="2"/>
              <w:right w:val="single" w:color="D1D5DB" w:sz="2"/>
            </w:tcBorders>
            <w:shd w:fill="FDECEC" w:color="auto" w:val="clear"/>
            <w:tcMar>
              <w:top w:type="dxa" w:w="70"/>
              <w:left w:type="dxa" w:w="110"/>
              <w:bottom w:type="dxa" w:w="70"/>
              <w:right w:type="dxa" w:w="110"/>
            </w:tcMar>
          </w:tcPr>
          <w:p>
            <w:pPr>
              <w:spacing w:after="0" w:before="0" w:line="260"/>
            </w:pPr>
            <w:r>
              <w:rPr>
                <w:rFonts w:ascii="Calibri" w:cs="Calibri" w:eastAsia="Calibri" w:hAnsi="Calibri"/>
                <w:b/>
                <w:bCs/>
                <w:color w:val="1F2937"/>
                <w:sz w:val="16"/>
                <w:szCs w:val="16"/>
              </w:rPr>
              <w:t xml:space="preserve">yes</w:t>
            </w:r>
          </w:p>
        </w:tc>
        <w:tc>
          <w:tcPr>
            <w:tcW w:type="dxa" w:w="6298"/>
            <w:tcBorders>
              <w:top w:val="single" w:color="D1D5DB" w:sz="2"/>
              <w:left w:val="single" w:color="D1D5DB" w:sz="2"/>
              <w:bottom w:val="single" w:color="D1D5DB" w:sz="2"/>
              <w:right w:val="single" w:color="D1D5DB" w:sz="2"/>
            </w:tcBorders>
            <w:tcMar>
              <w:top w:type="dxa" w:w="70"/>
              <w:left w:type="dxa" w:w="110"/>
              <w:bottom w:type="dxa" w:w="70"/>
              <w:right w:type="dxa" w:w="110"/>
            </w:tcMar>
          </w:tcPr>
          <w:p>
            <w:pPr>
              <w:spacing w:after="0" w:before="0" w:line="260"/>
            </w:pPr>
            <w:r>
              <w:rPr>
                <w:rFonts w:ascii="Calibri" w:cs="Calibri" w:eastAsia="Calibri" w:hAnsi="Calibri"/>
                <w:color w:val="4B5563"/>
                <w:sz w:val="16"/>
                <w:szCs w:val="16"/>
              </w:rPr>
              <w:t xml:space="preserve">Everything: transcripts, translations, case notes, recordings, photographs, phone numbers (encrypted), safeguarding records.</w:t>
            </w:r>
          </w:p>
        </w:tc>
      </w:tr>
      <w:tr>
        <w:tc>
          <w:tcPr>
            <w:tcW w:type="dxa" w:w="1500"/>
            <w:tcBorders>
              <w:top w:val="single" w:color="D1D5DB" w:sz="2"/>
              <w:left w:val="single" w:color="D1D5DB" w:sz="2"/>
              <w:bottom w:val="single" w:color="D1D5DB" w:sz="2"/>
              <w:right w:val="single" w:color="D1D5DB" w:sz="2"/>
            </w:tcBorders>
            <w:shd w:fill="E7F6EC" w:color="auto" w:val="clear"/>
            <w:tcMar>
              <w:top w:type="dxa" w:w="70"/>
              <w:left w:type="dxa" w:w="110"/>
              <w:bottom w:type="dxa" w:w="70"/>
              <w:right w:type="dxa" w:w="110"/>
            </w:tcMar>
          </w:tcPr>
          <w:p>
            <w:pPr>
              <w:spacing w:after="0" w:before="0" w:line="260"/>
            </w:pPr>
            <w:r>
              <w:rPr>
                <w:rFonts w:ascii="Calibri" w:cs="Calibri" w:eastAsia="Calibri" w:hAnsi="Calibri"/>
                <w:b/>
                <w:bCs/>
                <w:color w:val="1F2937"/>
                <w:sz w:val="16"/>
                <w:szCs w:val="16"/>
              </w:rPr>
              <w:t xml:space="preserve">mock</w:t>
            </w:r>
          </w:p>
        </w:tc>
        <w:tc>
          <w:tcPr>
            <w:tcW w:type="dxa" w:w="1700"/>
            <w:tcBorders>
              <w:top w:val="single" w:color="D1D5DB" w:sz="2"/>
              <w:left w:val="single" w:color="D1D5DB" w:sz="2"/>
              <w:bottom w:val="single" w:color="D1D5DB" w:sz="2"/>
              <w:right w:val="single" w:color="D1D5DB" w:sz="2"/>
            </w:tcBorders>
            <w:tcMar>
              <w:top w:type="dxa" w:w="70"/>
              <w:left w:type="dxa" w:w="110"/>
              <w:bottom w:type="dxa" w:w="70"/>
              <w:right w:type="dxa" w:w="110"/>
            </w:tcMar>
          </w:tcPr>
          <w:p>
            <w:pPr>
              <w:spacing w:after="0" w:before="0" w:line="260"/>
            </w:pPr>
            <w:r>
              <w:rPr>
                <w:rFonts w:ascii="Calibri" w:cs="Calibri" w:eastAsia="Calibri" w:hAnsi="Calibri"/>
                <w:color w:val="1F2937"/>
                <w:sz w:val="16"/>
                <w:szCs w:val="16"/>
              </w:rPr>
              <w:t xml:space="preserve">AI provider</w:t>
            </w:r>
          </w:p>
        </w:tc>
        <w:tc>
          <w:tcPr>
            <w:tcW w:type="dxa" w:w="2700"/>
            <w:tcBorders>
              <w:top w:val="single" w:color="D1D5DB" w:sz="2"/>
              <w:left w:val="single" w:color="D1D5DB" w:sz="2"/>
              <w:bottom w:val="single" w:color="D1D5DB" w:sz="2"/>
              <w:right w:val="single" w:color="D1D5DB" w:sz="2"/>
            </w:tcBorders>
            <w:tcMar>
              <w:top w:type="dxa" w:w="70"/>
              <w:left w:type="dxa" w:w="110"/>
              <w:bottom w:type="dxa" w:w="70"/>
              <w:right w:type="dxa" w:w="110"/>
            </w:tcMar>
          </w:tcPr>
          <w:p>
            <w:pPr>
              <w:spacing w:after="0" w:before="0" w:line="260"/>
            </w:pPr>
            <w:r>
              <w:rPr>
                <w:rFonts w:ascii="Calibri" w:cs="Calibri" w:eastAsia="Calibri" w:hAnsi="Calibri"/>
                <w:color w:val="4B5563"/>
                <w:sz w:val="16"/>
                <w:szCs w:val="16"/>
              </w:rPr>
              <w:t xml:space="preserve">The programme</w:t>
            </w:r>
          </w:p>
        </w:tc>
        <w:tc>
          <w:tcPr>
            <w:tcW w:type="dxa" w:w="2100"/>
            <w:tcBorders>
              <w:top w:val="single" w:color="D1D5DB" w:sz="2"/>
              <w:left w:val="single" w:color="D1D5DB" w:sz="2"/>
              <w:bottom w:val="single" w:color="D1D5DB" w:sz="2"/>
              <w:right w:val="single" w:color="D1D5DB" w:sz="2"/>
            </w:tcBorders>
            <w:shd w:fill="E7F6EC" w:color="auto" w:val="clear"/>
            <w:tcMar>
              <w:top w:type="dxa" w:w="70"/>
              <w:left w:type="dxa" w:w="110"/>
              <w:bottom w:type="dxa" w:w="70"/>
              <w:right w:type="dxa" w:w="110"/>
            </w:tcMar>
          </w:tcPr>
          <w:p>
            <w:pPr>
              <w:spacing w:after="0" w:before="0" w:line="260"/>
            </w:pPr>
            <w:r>
              <w:rPr>
                <w:rFonts w:ascii="Calibri" w:cs="Calibri" w:eastAsia="Calibri" w:hAnsi="Calibri"/>
                <w:b w:val="false"/>
                <w:bCs w:val="false"/>
                <w:color w:val="1F2937"/>
                <w:sz w:val="16"/>
                <w:szCs w:val="16"/>
              </w:rPr>
              <w:t xml:space="preserve">same as the deployment (`DEPLOYMENT_JURISDICTION`)</w:t>
            </w:r>
          </w:p>
        </w:tc>
        <w:tc>
          <w:tcPr>
            <w:tcW w:type="dxa" w:w="1100"/>
            <w:tcBorders>
              <w:top w:val="single" w:color="D1D5DB" w:sz="2"/>
              <w:left w:val="single" w:color="D1D5DB" w:sz="2"/>
              <w:bottom w:val="single" w:color="D1D5DB" w:sz="2"/>
              <w:right w:val="single" w:color="D1D5DB" w:sz="2"/>
            </w:tcBorders>
            <w:shd w:fill="FDECEC" w:color="auto" w:val="clear"/>
            <w:tcMar>
              <w:top w:type="dxa" w:w="70"/>
              <w:left w:type="dxa" w:w="110"/>
              <w:bottom w:type="dxa" w:w="70"/>
              <w:right w:type="dxa" w:w="110"/>
            </w:tcMar>
          </w:tcPr>
          <w:p>
            <w:pPr>
              <w:spacing w:after="0" w:before="0" w:line="260"/>
            </w:pPr>
            <w:r>
              <w:rPr>
                <w:rFonts w:ascii="Calibri" w:cs="Calibri" w:eastAsia="Calibri" w:hAnsi="Calibri"/>
                <w:b/>
                <w:bCs/>
                <w:color w:val="1F2937"/>
                <w:sz w:val="16"/>
                <w:szCs w:val="16"/>
              </w:rPr>
              <w:t xml:space="preserve">yes</w:t>
            </w:r>
          </w:p>
        </w:tc>
        <w:tc>
          <w:tcPr>
            <w:tcW w:type="dxa" w:w="6298"/>
            <w:tcBorders>
              <w:top w:val="single" w:color="D1D5DB" w:sz="2"/>
              <w:left w:val="single" w:color="D1D5DB" w:sz="2"/>
              <w:bottom w:val="single" w:color="D1D5DB" w:sz="2"/>
              <w:right w:val="single" w:color="D1D5DB" w:sz="2"/>
            </w:tcBorders>
            <w:tcMar>
              <w:top w:type="dxa" w:w="70"/>
              <w:left w:type="dxa" w:w="110"/>
              <w:bottom w:type="dxa" w:w="70"/>
              <w:right w:type="dxa" w:w="110"/>
            </w:tcMar>
          </w:tcPr>
          <w:p>
            <w:pPr>
              <w:spacing w:after="0" w:before="0" w:line="260"/>
            </w:pPr>
            <w:r>
              <w:rPr>
                <w:rFonts w:ascii="Calibri" w:cs="Calibri" w:eastAsia="Calibri" w:hAnsi="Calibri"/>
                <w:color w:val="4B5563"/>
                <w:sz w:val="16"/>
                <w:szCs w:val="16"/>
              </w:rPr>
              <w:t xml:space="preserve">Nothing. The offline rules provider runs in the same process and makes no network call.</w:t>
            </w:r>
          </w:p>
        </w:tc>
      </w:tr>
      <w:tr>
        <w:tc>
          <w:tcPr>
            <w:tcW w:type="dxa" w:w="1500"/>
            <w:tcBorders>
              <w:top w:val="single" w:color="D1D5DB" w:sz="2"/>
              <w:left w:val="single" w:color="D1D5DB" w:sz="2"/>
              <w:bottom w:val="single" w:color="D1D5DB" w:sz="2"/>
              <w:right w:val="single" w:color="D1D5DB" w:sz="2"/>
            </w:tcBorders>
            <w:tcMar>
              <w:top w:type="dxa" w:w="70"/>
              <w:left w:type="dxa" w:w="110"/>
              <w:bottom w:type="dxa" w:w="70"/>
              <w:right w:type="dxa" w:w="110"/>
            </w:tcMar>
          </w:tcPr>
          <w:p>
            <w:pPr>
              <w:spacing w:after="0" w:before="0" w:line="260"/>
            </w:pPr>
            <w:r>
              <w:rPr>
                <w:rFonts w:ascii="Calibri" w:cs="Calibri" w:eastAsia="Calibri" w:hAnsi="Calibri"/>
                <w:b/>
                <w:bCs/>
                <w:color w:val="1F2937"/>
                <w:sz w:val="16"/>
                <w:szCs w:val="16"/>
              </w:rPr>
              <w:t xml:space="preserve">anthropic</w:t>
            </w:r>
          </w:p>
        </w:tc>
        <w:tc>
          <w:tcPr>
            <w:tcW w:type="dxa" w:w="1700"/>
            <w:tcBorders>
              <w:top w:val="single" w:color="D1D5DB" w:sz="2"/>
              <w:left w:val="single" w:color="D1D5DB" w:sz="2"/>
              <w:bottom w:val="single" w:color="D1D5DB" w:sz="2"/>
              <w:right w:val="single" w:color="D1D5DB" w:sz="2"/>
            </w:tcBorders>
            <w:tcMar>
              <w:top w:type="dxa" w:w="70"/>
              <w:left w:type="dxa" w:w="110"/>
              <w:bottom w:type="dxa" w:w="70"/>
              <w:right w:type="dxa" w:w="110"/>
            </w:tcMar>
          </w:tcPr>
          <w:p>
            <w:pPr>
              <w:spacing w:after="0" w:before="0" w:line="260"/>
            </w:pPr>
            <w:r>
              <w:rPr>
                <w:rFonts w:ascii="Calibri" w:cs="Calibri" w:eastAsia="Calibri" w:hAnsi="Calibri"/>
                <w:color w:val="1F2937"/>
                <w:sz w:val="16"/>
                <w:szCs w:val="16"/>
              </w:rPr>
              <w:t xml:space="preserve">AI provider</w:t>
            </w:r>
          </w:p>
        </w:tc>
        <w:tc>
          <w:tcPr>
            <w:tcW w:type="dxa" w:w="2700"/>
            <w:tcBorders>
              <w:top w:val="single" w:color="D1D5DB" w:sz="2"/>
              <w:left w:val="single" w:color="D1D5DB" w:sz="2"/>
              <w:bottom w:val="single" w:color="D1D5DB" w:sz="2"/>
              <w:right w:val="single" w:color="D1D5DB" w:sz="2"/>
            </w:tcBorders>
            <w:tcMar>
              <w:top w:type="dxa" w:w="70"/>
              <w:left w:type="dxa" w:w="110"/>
              <w:bottom w:type="dxa" w:w="70"/>
              <w:right w:type="dxa" w:w="110"/>
            </w:tcMar>
          </w:tcPr>
          <w:p>
            <w:pPr>
              <w:spacing w:after="0" w:before="0" w:line="260"/>
            </w:pPr>
            <w:r>
              <w:rPr>
                <w:rFonts w:ascii="Calibri" w:cs="Calibri" w:eastAsia="Calibri" w:hAnsi="Calibri"/>
                <w:color w:val="4B5563"/>
                <w:sz w:val="16"/>
                <w:szCs w:val="16"/>
              </w:rPr>
              <w:t xml:space="preserve">Anthropic PBC</w:t>
            </w:r>
          </w:p>
        </w:tc>
        <w:tc>
          <w:tcPr>
            <w:tcW w:type="dxa" w:w="2100"/>
            <w:tcBorders>
              <w:top w:val="single" w:color="D1D5DB" w:sz="2"/>
              <w:left w:val="single" w:color="D1D5DB" w:sz="2"/>
              <w:bottom w:val="single" w:color="D1D5DB" w:sz="2"/>
              <w:right w:val="single" w:color="D1D5DB" w:sz="2"/>
            </w:tcBorders>
            <w:tcMar>
              <w:top w:type="dxa" w:w="70"/>
              <w:left w:type="dxa" w:w="110"/>
              <w:bottom w:type="dxa" w:w="70"/>
              <w:right w:type="dxa" w:w="110"/>
            </w:tcMar>
          </w:tcPr>
          <w:p>
            <w:pPr>
              <w:spacing w:after="0" w:before="0" w:line="260"/>
            </w:pPr>
            <w:r>
              <w:rPr>
                <w:rFonts w:ascii="Calibri" w:cs="Calibri" w:eastAsia="Calibri" w:hAnsi="Calibri"/>
                <w:b/>
                <w:bCs/>
                <w:color w:val="1F2937"/>
                <w:sz w:val="16"/>
                <w:szCs w:val="16"/>
              </w:rPr>
              <w:t xml:space="preserve">US</w:t>
            </w:r>
          </w:p>
        </w:tc>
        <w:tc>
          <w:tcPr>
            <w:tcW w:type="dxa" w:w="1100"/>
            <w:tcBorders>
              <w:top w:val="single" w:color="D1D5DB" w:sz="2"/>
              <w:left w:val="single" w:color="D1D5DB" w:sz="2"/>
              <w:bottom w:val="single" w:color="D1D5DB" w:sz="2"/>
              <w:right w:val="single" w:color="D1D5DB" w:sz="2"/>
            </w:tcBorders>
            <w:tcMar>
              <w:top w:type="dxa" w:w="70"/>
              <w:left w:type="dxa" w:w="110"/>
              <w:bottom w:type="dxa" w:w="70"/>
              <w:right w:type="dxa" w:w="110"/>
            </w:tcMar>
          </w:tcPr>
          <w:p>
            <w:pPr>
              <w:spacing w:after="0" w:before="0" w:line="260"/>
            </w:pPr>
            <w:r>
              <w:rPr>
                <w:rFonts w:ascii="Calibri" w:cs="Calibri" w:eastAsia="Calibri" w:hAnsi="Calibri"/>
                <w:b w:val="false"/>
                <w:bCs w:val="false"/>
                <w:color w:val="1F2937"/>
                <w:sz w:val="16"/>
                <w:szCs w:val="16"/>
              </w:rPr>
              <w:t xml:space="preserve">no</w:t>
            </w:r>
          </w:p>
        </w:tc>
        <w:tc>
          <w:tcPr>
            <w:tcW w:type="dxa" w:w="6298"/>
            <w:tcBorders>
              <w:top w:val="single" w:color="D1D5DB" w:sz="2"/>
              <w:left w:val="single" w:color="D1D5DB" w:sz="2"/>
              <w:bottom w:val="single" w:color="D1D5DB" w:sz="2"/>
              <w:right w:val="single" w:color="D1D5DB" w:sz="2"/>
            </w:tcBorders>
            <w:tcMar>
              <w:top w:type="dxa" w:w="70"/>
              <w:left w:type="dxa" w:w="110"/>
              <w:bottom w:type="dxa" w:w="70"/>
              <w:right w:type="dxa" w:w="110"/>
            </w:tcMar>
          </w:tcPr>
          <w:p>
            <w:pPr>
              <w:spacing w:after="0" w:before="0" w:line="260"/>
            </w:pPr>
            <w:r>
              <w:rPr>
                <w:rFonts w:ascii="Calibri" w:cs="Calibri" w:eastAsia="Calibri" w:hAnsi="Calibri"/>
                <w:color w:val="4B5563"/>
                <w:sz w:val="16"/>
                <w:szCs w:val="16"/>
              </w:rPr>
              <w:t xml:space="preserve">The French pivot of what the citizen said, and the protocol context, for understanding and explanation.</w:t>
            </w:r>
          </w:p>
        </w:tc>
      </w:tr>
      <w:tr>
        <w:tc>
          <w:tcPr>
            <w:tcW w:type="dxa" w:w="1500"/>
            <w:tcBorders>
              <w:top w:val="single" w:color="D1D5DB" w:sz="2"/>
              <w:left w:val="single" w:color="D1D5DB" w:sz="2"/>
              <w:bottom w:val="single" w:color="D1D5DB" w:sz="2"/>
              <w:right w:val="single" w:color="D1D5DB" w:sz="2"/>
            </w:tcBorders>
            <w:tcMar>
              <w:top w:type="dxa" w:w="70"/>
              <w:left w:type="dxa" w:w="110"/>
              <w:bottom w:type="dxa" w:w="70"/>
              <w:right w:type="dxa" w:w="110"/>
            </w:tcMar>
          </w:tcPr>
          <w:p>
            <w:pPr>
              <w:spacing w:after="0" w:before="0" w:line="260"/>
            </w:pPr>
            <w:r>
              <w:rPr>
                <w:rFonts w:ascii="Calibri" w:cs="Calibri" w:eastAsia="Calibri" w:hAnsi="Calibri"/>
                <w:b/>
                <w:bCs/>
                <w:color w:val="1F2937"/>
                <w:sz w:val="16"/>
                <w:szCs w:val="16"/>
              </w:rPr>
              <w:t xml:space="preserve">gemini</w:t>
            </w:r>
          </w:p>
        </w:tc>
        <w:tc>
          <w:tcPr>
            <w:tcW w:type="dxa" w:w="1700"/>
            <w:tcBorders>
              <w:top w:val="single" w:color="D1D5DB" w:sz="2"/>
              <w:left w:val="single" w:color="D1D5DB" w:sz="2"/>
              <w:bottom w:val="single" w:color="D1D5DB" w:sz="2"/>
              <w:right w:val="single" w:color="D1D5DB" w:sz="2"/>
            </w:tcBorders>
            <w:tcMar>
              <w:top w:type="dxa" w:w="70"/>
              <w:left w:type="dxa" w:w="110"/>
              <w:bottom w:type="dxa" w:w="70"/>
              <w:right w:type="dxa" w:w="110"/>
            </w:tcMar>
          </w:tcPr>
          <w:p>
            <w:pPr>
              <w:spacing w:after="0" w:before="0" w:line="260"/>
            </w:pPr>
            <w:r>
              <w:rPr>
                <w:rFonts w:ascii="Calibri" w:cs="Calibri" w:eastAsia="Calibri" w:hAnsi="Calibri"/>
                <w:color w:val="1F2937"/>
                <w:sz w:val="16"/>
                <w:szCs w:val="16"/>
              </w:rPr>
              <w:t xml:space="preserve">AI provider</w:t>
            </w:r>
          </w:p>
        </w:tc>
        <w:tc>
          <w:tcPr>
            <w:tcW w:type="dxa" w:w="2700"/>
            <w:tcBorders>
              <w:top w:val="single" w:color="D1D5DB" w:sz="2"/>
              <w:left w:val="single" w:color="D1D5DB" w:sz="2"/>
              <w:bottom w:val="single" w:color="D1D5DB" w:sz="2"/>
              <w:right w:val="single" w:color="D1D5DB" w:sz="2"/>
            </w:tcBorders>
            <w:tcMar>
              <w:top w:type="dxa" w:w="70"/>
              <w:left w:type="dxa" w:w="110"/>
              <w:bottom w:type="dxa" w:w="70"/>
              <w:right w:type="dxa" w:w="110"/>
            </w:tcMar>
          </w:tcPr>
          <w:p>
            <w:pPr>
              <w:spacing w:after="0" w:before="0" w:line="260"/>
            </w:pPr>
            <w:r>
              <w:rPr>
                <w:rFonts w:ascii="Calibri" w:cs="Calibri" w:eastAsia="Calibri" w:hAnsi="Calibri"/>
                <w:color w:val="4B5563"/>
                <w:sz w:val="16"/>
                <w:szCs w:val="16"/>
              </w:rPr>
              <w:t xml:space="preserve">Google LLC</w:t>
            </w:r>
          </w:p>
        </w:tc>
        <w:tc>
          <w:tcPr>
            <w:tcW w:type="dxa" w:w="2100"/>
            <w:tcBorders>
              <w:top w:val="single" w:color="D1D5DB" w:sz="2"/>
              <w:left w:val="single" w:color="D1D5DB" w:sz="2"/>
              <w:bottom w:val="single" w:color="D1D5DB" w:sz="2"/>
              <w:right w:val="single" w:color="D1D5DB" w:sz="2"/>
            </w:tcBorders>
            <w:tcMar>
              <w:top w:type="dxa" w:w="70"/>
              <w:left w:type="dxa" w:w="110"/>
              <w:bottom w:type="dxa" w:w="70"/>
              <w:right w:type="dxa" w:w="110"/>
            </w:tcMar>
          </w:tcPr>
          <w:p>
            <w:pPr>
              <w:spacing w:after="0" w:before="0" w:line="260"/>
            </w:pPr>
            <w:r>
              <w:rPr>
                <w:rFonts w:ascii="Calibri" w:cs="Calibri" w:eastAsia="Calibri" w:hAnsi="Calibri"/>
                <w:b/>
                <w:bCs/>
                <w:color w:val="1F2937"/>
                <w:sz w:val="16"/>
                <w:szCs w:val="16"/>
              </w:rPr>
              <w:t xml:space="preserve">US</w:t>
            </w:r>
          </w:p>
        </w:tc>
        <w:tc>
          <w:tcPr>
            <w:tcW w:type="dxa" w:w="1100"/>
            <w:tcBorders>
              <w:top w:val="single" w:color="D1D5DB" w:sz="2"/>
              <w:left w:val="single" w:color="D1D5DB" w:sz="2"/>
              <w:bottom w:val="single" w:color="D1D5DB" w:sz="2"/>
              <w:right w:val="single" w:color="D1D5DB" w:sz="2"/>
            </w:tcBorders>
            <w:tcMar>
              <w:top w:type="dxa" w:w="70"/>
              <w:left w:type="dxa" w:w="110"/>
              <w:bottom w:type="dxa" w:w="70"/>
              <w:right w:type="dxa" w:w="110"/>
            </w:tcMar>
          </w:tcPr>
          <w:p>
            <w:pPr>
              <w:spacing w:after="0" w:before="0" w:line="260"/>
            </w:pPr>
            <w:r>
              <w:rPr>
                <w:rFonts w:ascii="Calibri" w:cs="Calibri" w:eastAsia="Calibri" w:hAnsi="Calibri"/>
                <w:b w:val="false"/>
                <w:bCs w:val="false"/>
                <w:color w:val="1F2937"/>
                <w:sz w:val="16"/>
                <w:szCs w:val="16"/>
              </w:rPr>
              <w:t xml:space="preserve">no</w:t>
            </w:r>
          </w:p>
        </w:tc>
        <w:tc>
          <w:tcPr>
            <w:tcW w:type="dxa" w:w="6298"/>
            <w:tcBorders>
              <w:top w:val="single" w:color="D1D5DB" w:sz="2"/>
              <w:left w:val="single" w:color="D1D5DB" w:sz="2"/>
              <w:bottom w:val="single" w:color="D1D5DB" w:sz="2"/>
              <w:right w:val="single" w:color="D1D5DB" w:sz="2"/>
            </w:tcBorders>
            <w:tcMar>
              <w:top w:type="dxa" w:w="70"/>
              <w:left w:type="dxa" w:w="110"/>
              <w:bottom w:type="dxa" w:w="70"/>
              <w:right w:type="dxa" w:w="110"/>
            </w:tcMar>
          </w:tcPr>
          <w:p>
            <w:pPr>
              <w:spacing w:after="0" w:before="0" w:line="260"/>
            </w:pPr>
            <w:r>
              <w:rPr>
                <w:rFonts w:ascii="Calibri" w:cs="Calibri" w:eastAsia="Calibri" w:hAnsi="Calibri"/>
                <w:color w:val="4B5563"/>
                <w:sz w:val="16"/>
                <w:szCs w:val="16"/>
              </w:rPr>
              <w:t xml:space="preserve">The citizen's words for understanding, and voice recordings for transcription.</w:t>
            </w:r>
          </w:p>
        </w:tc>
      </w:tr>
      <w:tr>
        <w:tc>
          <w:tcPr>
            <w:tcW w:type="dxa" w:w="1500"/>
            <w:tcBorders>
              <w:top w:val="single" w:color="D1D5DB" w:sz="2"/>
              <w:left w:val="single" w:color="D1D5DB" w:sz="2"/>
              <w:bottom w:val="single" w:color="D1D5DB" w:sz="2"/>
              <w:right w:val="single" w:color="D1D5DB" w:sz="2"/>
            </w:tcBorders>
            <w:tcMar>
              <w:top w:type="dxa" w:w="70"/>
              <w:left w:type="dxa" w:w="110"/>
              <w:bottom w:type="dxa" w:w="70"/>
              <w:right w:type="dxa" w:w="110"/>
            </w:tcMar>
          </w:tcPr>
          <w:p>
            <w:pPr>
              <w:spacing w:after="0" w:before="0" w:line="260"/>
            </w:pPr>
            <w:r>
              <w:rPr>
                <w:rFonts w:ascii="Calibri" w:cs="Calibri" w:eastAsia="Calibri" w:hAnsi="Calibri"/>
                <w:b/>
                <w:bCs/>
                <w:color w:val="1F2937"/>
                <w:sz w:val="16"/>
                <w:szCs w:val="16"/>
              </w:rPr>
              <w:t xml:space="preserve">openai</w:t>
            </w:r>
          </w:p>
        </w:tc>
        <w:tc>
          <w:tcPr>
            <w:tcW w:type="dxa" w:w="1700"/>
            <w:tcBorders>
              <w:top w:val="single" w:color="D1D5DB" w:sz="2"/>
              <w:left w:val="single" w:color="D1D5DB" w:sz="2"/>
              <w:bottom w:val="single" w:color="D1D5DB" w:sz="2"/>
              <w:right w:val="single" w:color="D1D5DB" w:sz="2"/>
            </w:tcBorders>
            <w:tcMar>
              <w:top w:type="dxa" w:w="70"/>
              <w:left w:type="dxa" w:w="110"/>
              <w:bottom w:type="dxa" w:w="70"/>
              <w:right w:type="dxa" w:w="110"/>
            </w:tcMar>
          </w:tcPr>
          <w:p>
            <w:pPr>
              <w:spacing w:after="0" w:before="0" w:line="260"/>
            </w:pPr>
            <w:r>
              <w:rPr>
                <w:rFonts w:ascii="Calibri" w:cs="Calibri" w:eastAsia="Calibri" w:hAnsi="Calibri"/>
                <w:color w:val="1F2937"/>
                <w:sz w:val="16"/>
                <w:szCs w:val="16"/>
              </w:rPr>
              <w:t xml:space="preserve">AI provider</w:t>
            </w:r>
          </w:p>
        </w:tc>
        <w:tc>
          <w:tcPr>
            <w:tcW w:type="dxa" w:w="2700"/>
            <w:tcBorders>
              <w:top w:val="single" w:color="D1D5DB" w:sz="2"/>
              <w:left w:val="single" w:color="D1D5DB" w:sz="2"/>
              <w:bottom w:val="single" w:color="D1D5DB" w:sz="2"/>
              <w:right w:val="single" w:color="D1D5DB" w:sz="2"/>
            </w:tcBorders>
            <w:tcMar>
              <w:top w:type="dxa" w:w="70"/>
              <w:left w:type="dxa" w:w="110"/>
              <w:bottom w:type="dxa" w:w="70"/>
              <w:right w:type="dxa" w:w="110"/>
            </w:tcMar>
          </w:tcPr>
          <w:p>
            <w:pPr>
              <w:spacing w:after="0" w:before="0" w:line="260"/>
            </w:pPr>
            <w:r>
              <w:rPr>
                <w:rFonts w:ascii="Calibri" w:cs="Calibri" w:eastAsia="Calibri" w:hAnsi="Calibri"/>
                <w:color w:val="4B5563"/>
                <w:sz w:val="16"/>
                <w:szCs w:val="16"/>
              </w:rPr>
              <w:t xml:space="preserve">OpenAI, L.L.C. — or a self-hosted endpoint when OPENAI_BASE_URL is set</w:t>
            </w:r>
          </w:p>
        </w:tc>
        <w:tc>
          <w:tcPr>
            <w:tcW w:type="dxa" w:w="2100"/>
            <w:tcBorders>
              <w:top w:val="single" w:color="D1D5DB" w:sz="2"/>
              <w:left w:val="single" w:color="D1D5DB" w:sz="2"/>
              <w:bottom w:val="single" w:color="D1D5DB" w:sz="2"/>
              <w:right w:val="single" w:color="D1D5DB" w:sz="2"/>
            </w:tcBorders>
            <w:tcMar>
              <w:top w:type="dxa" w:w="70"/>
              <w:left w:type="dxa" w:w="110"/>
              <w:bottom w:type="dxa" w:w="70"/>
              <w:right w:type="dxa" w:w="110"/>
            </w:tcMar>
          </w:tcPr>
          <w:p>
            <w:pPr>
              <w:spacing w:after="0" w:before="0" w:line="260"/>
            </w:pPr>
            <w:r>
              <w:rPr>
                <w:rFonts w:ascii="Calibri" w:cs="Calibri" w:eastAsia="Calibri" w:hAnsi="Calibri"/>
                <w:b/>
                <w:bCs/>
                <w:color w:val="1F2937"/>
                <w:sz w:val="16"/>
                <w:szCs w:val="16"/>
              </w:rPr>
              <w:t xml:space="preserve">US, or the declared location of a self-hosted endpoint (`AI_SELF_HOSTED_JURISDICTION`)</w:t>
            </w:r>
          </w:p>
        </w:tc>
        <w:tc>
          <w:tcPr>
            <w:tcW w:type="dxa" w:w="1100"/>
            <w:tcBorders>
              <w:top w:val="single" w:color="D1D5DB" w:sz="2"/>
              <w:left w:val="single" w:color="D1D5DB" w:sz="2"/>
              <w:bottom w:val="single" w:color="D1D5DB" w:sz="2"/>
              <w:right w:val="single" w:color="D1D5DB" w:sz="2"/>
            </w:tcBorders>
            <w:tcMar>
              <w:top w:type="dxa" w:w="70"/>
              <w:left w:type="dxa" w:w="110"/>
              <w:bottom w:type="dxa" w:w="70"/>
              <w:right w:type="dxa" w:w="110"/>
            </w:tcMar>
          </w:tcPr>
          <w:p>
            <w:pPr>
              <w:spacing w:after="0" w:before="0" w:line="260"/>
            </w:pPr>
            <w:r>
              <w:rPr>
                <w:rFonts w:ascii="Calibri" w:cs="Calibri" w:eastAsia="Calibri" w:hAnsi="Calibri"/>
                <w:b w:val="false"/>
                <w:bCs w:val="false"/>
                <w:color w:val="1F2937"/>
                <w:sz w:val="16"/>
                <w:szCs w:val="16"/>
              </w:rPr>
              <w:t xml:space="preserve">no</w:t>
            </w:r>
          </w:p>
        </w:tc>
        <w:tc>
          <w:tcPr>
            <w:tcW w:type="dxa" w:w="6298"/>
            <w:tcBorders>
              <w:top w:val="single" w:color="D1D5DB" w:sz="2"/>
              <w:left w:val="single" w:color="D1D5DB" w:sz="2"/>
              <w:bottom w:val="single" w:color="D1D5DB" w:sz="2"/>
              <w:right w:val="single" w:color="D1D5DB" w:sz="2"/>
            </w:tcBorders>
            <w:tcMar>
              <w:top w:type="dxa" w:w="70"/>
              <w:left w:type="dxa" w:w="110"/>
              <w:bottom w:type="dxa" w:w="70"/>
              <w:right w:type="dxa" w:w="110"/>
            </w:tcMar>
          </w:tcPr>
          <w:p>
            <w:pPr>
              <w:spacing w:after="0" w:before="0" w:line="260"/>
            </w:pPr>
            <w:r>
              <w:rPr>
                <w:rFonts w:ascii="Calibri" w:cs="Calibri" w:eastAsia="Calibri" w:hAnsi="Calibri"/>
                <w:color w:val="4B5563"/>
                <w:sz w:val="16"/>
                <w:szCs w:val="16"/>
              </w:rPr>
              <w:t xml:space="preserve">Voice recordings for transcription, the citizen's words for understanding, and text for speech synthesis.</w:t>
            </w:r>
          </w:p>
        </w:tc>
      </w:tr>
      <w:tr>
        <w:tc>
          <w:tcPr>
            <w:tcW w:type="dxa" w:w="1500"/>
            <w:tcBorders>
              <w:top w:val="single" w:color="D1D5DB" w:sz="2"/>
              <w:left w:val="single" w:color="D1D5DB" w:sz="2"/>
              <w:bottom w:val="single" w:color="D1D5DB" w:sz="2"/>
              <w:right w:val="single" w:color="D1D5DB" w:sz="2"/>
            </w:tcBorders>
            <w:tcMar>
              <w:top w:type="dxa" w:w="70"/>
              <w:left w:type="dxa" w:w="110"/>
              <w:bottom w:type="dxa" w:w="70"/>
              <w:right w:type="dxa" w:w="110"/>
            </w:tcMar>
          </w:tcPr>
          <w:p>
            <w:pPr>
              <w:spacing w:after="0" w:before="0" w:line="260"/>
            </w:pPr>
            <w:r>
              <w:rPr>
                <w:rFonts w:ascii="Calibri" w:cs="Calibri" w:eastAsia="Calibri" w:hAnsi="Calibri"/>
                <w:b/>
                <w:bCs/>
                <w:color w:val="1F2937"/>
                <w:sz w:val="16"/>
                <w:szCs w:val="16"/>
              </w:rPr>
              <w:t xml:space="preserve">google_tts</w:t>
            </w:r>
          </w:p>
        </w:tc>
        <w:tc>
          <w:tcPr>
            <w:tcW w:type="dxa" w:w="1700"/>
            <w:tcBorders>
              <w:top w:val="single" w:color="D1D5DB" w:sz="2"/>
              <w:left w:val="single" w:color="D1D5DB" w:sz="2"/>
              <w:bottom w:val="single" w:color="D1D5DB" w:sz="2"/>
              <w:right w:val="single" w:color="D1D5DB" w:sz="2"/>
            </w:tcBorders>
            <w:tcMar>
              <w:top w:type="dxa" w:w="70"/>
              <w:left w:type="dxa" w:w="110"/>
              <w:bottom w:type="dxa" w:w="70"/>
              <w:right w:type="dxa" w:w="110"/>
            </w:tcMar>
          </w:tcPr>
          <w:p>
            <w:pPr>
              <w:spacing w:after="0" w:before="0" w:line="260"/>
            </w:pPr>
            <w:r>
              <w:rPr>
                <w:rFonts w:ascii="Calibri" w:cs="Calibri" w:eastAsia="Calibri" w:hAnsi="Calibri"/>
                <w:color w:val="1F2937"/>
                <w:sz w:val="16"/>
                <w:szCs w:val="16"/>
              </w:rPr>
              <w:t xml:space="preserve">AI provider</w:t>
            </w:r>
          </w:p>
        </w:tc>
        <w:tc>
          <w:tcPr>
            <w:tcW w:type="dxa" w:w="2700"/>
            <w:tcBorders>
              <w:top w:val="single" w:color="D1D5DB" w:sz="2"/>
              <w:left w:val="single" w:color="D1D5DB" w:sz="2"/>
              <w:bottom w:val="single" w:color="D1D5DB" w:sz="2"/>
              <w:right w:val="single" w:color="D1D5DB" w:sz="2"/>
            </w:tcBorders>
            <w:tcMar>
              <w:top w:type="dxa" w:w="70"/>
              <w:left w:type="dxa" w:w="110"/>
              <w:bottom w:type="dxa" w:w="70"/>
              <w:right w:type="dxa" w:w="110"/>
            </w:tcMar>
          </w:tcPr>
          <w:p>
            <w:pPr>
              <w:spacing w:after="0" w:before="0" w:line="260"/>
            </w:pPr>
            <w:r>
              <w:rPr>
                <w:rFonts w:ascii="Calibri" w:cs="Calibri" w:eastAsia="Calibri" w:hAnsi="Calibri"/>
                <w:color w:val="4B5563"/>
                <w:sz w:val="16"/>
                <w:szCs w:val="16"/>
              </w:rPr>
              <w:t xml:space="preserve">Google LLC</w:t>
            </w:r>
          </w:p>
        </w:tc>
        <w:tc>
          <w:tcPr>
            <w:tcW w:type="dxa" w:w="2100"/>
            <w:tcBorders>
              <w:top w:val="single" w:color="D1D5DB" w:sz="2"/>
              <w:left w:val="single" w:color="D1D5DB" w:sz="2"/>
              <w:bottom w:val="single" w:color="D1D5DB" w:sz="2"/>
              <w:right w:val="single" w:color="D1D5DB" w:sz="2"/>
            </w:tcBorders>
            <w:tcMar>
              <w:top w:type="dxa" w:w="70"/>
              <w:left w:type="dxa" w:w="110"/>
              <w:bottom w:type="dxa" w:w="70"/>
              <w:right w:type="dxa" w:w="110"/>
            </w:tcMar>
          </w:tcPr>
          <w:p>
            <w:pPr>
              <w:spacing w:after="0" w:before="0" w:line="260"/>
            </w:pPr>
            <w:r>
              <w:rPr>
                <w:rFonts w:ascii="Calibri" w:cs="Calibri" w:eastAsia="Calibri" w:hAnsi="Calibri"/>
                <w:b/>
                <w:bCs/>
                <w:color w:val="1F2937"/>
                <w:sz w:val="16"/>
                <w:szCs w:val="16"/>
              </w:rPr>
              <w:t xml:space="preserve">US</w:t>
            </w:r>
          </w:p>
        </w:tc>
        <w:tc>
          <w:tcPr>
            <w:tcW w:type="dxa" w:w="1100"/>
            <w:tcBorders>
              <w:top w:val="single" w:color="D1D5DB" w:sz="2"/>
              <w:left w:val="single" w:color="D1D5DB" w:sz="2"/>
              <w:bottom w:val="single" w:color="D1D5DB" w:sz="2"/>
              <w:right w:val="single" w:color="D1D5DB" w:sz="2"/>
            </w:tcBorders>
            <w:tcMar>
              <w:top w:type="dxa" w:w="70"/>
              <w:left w:type="dxa" w:w="110"/>
              <w:bottom w:type="dxa" w:w="70"/>
              <w:right w:type="dxa" w:w="110"/>
            </w:tcMar>
          </w:tcPr>
          <w:p>
            <w:pPr>
              <w:spacing w:after="0" w:before="0" w:line="260"/>
            </w:pPr>
            <w:r>
              <w:rPr>
                <w:rFonts w:ascii="Calibri" w:cs="Calibri" w:eastAsia="Calibri" w:hAnsi="Calibri"/>
                <w:b w:val="false"/>
                <w:bCs w:val="false"/>
                <w:color w:val="1F2937"/>
                <w:sz w:val="16"/>
                <w:szCs w:val="16"/>
              </w:rPr>
              <w:t xml:space="preserve">no</w:t>
            </w:r>
          </w:p>
        </w:tc>
        <w:tc>
          <w:tcPr>
            <w:tcW w:type="dxa" w:w="6298"/>
            <w:tcBorders>
              <w:top w:val="single" w:color="D1D5DB" w:sz="2"/>
              <w:left w:val="single" w:color="D1D5DB" w:sz="2"/>
              <w:bottom w:val="single" w:color="D1D5DB" w:sz="2"/>
              <w:right w:val="single" w:color="D1D5DB" w:sz="2"/>
            </w:tcBorders>
            <w:tcMar>
              <w:top w:type="dxa" w:w="70"/>
              <w:left w:type="dxa" w:w="110"/>
              <w:bottom w:type="dxa" w:w="70"/>
              <w:right w:type="dxa" w:w="110"/>
            </w:tcMar>
          </w:tcPr>
          <w:p>
            <w:pPr>
              <w:spacing w:after="0" w:before="0" w:line="260"/>
            </w:pPr>
            <w:r>
              <w:rPr>
                <w:rFonts w:ascii="Calibri" w:cs="Calibri" w:eastAsia="Calibri" w:hAnsi="Calibri"/>
                <w:color w:val="4B5563"/>
                <w:sz w:val="16"/>
                <w:szCs w:val="16"/>
              </w:rPr>
              <w:t xml:space="preserve">The French or localised answer text, to be spoken.</w:t>
            </w:r>
          </w:p>
        </w:tc>
      </w:tr>
      <w:tr>
        <w:tc>
          <w:tcPr>
            <w:tcW w:type="dxa" w:w="1500"/>
            <w:tcBorders>
              <w:top w:val="single" w:color="D1D5DB" w:sz="2"/>
              <w:left w:val="single" w:color="D1D5DB" w:sz="2"/>
              <w:bottom w:val="single" w:color="D1D5DB" w:sz="2"/>
              <w:right w:val="single" w:color="D1D5DB" w:sz="2"/>
            </w:tcBorders>
            <w:tcMar>
              <w:top w:type="dxa" w:w="70"/>
              <w:left w:type="dxa" w:w="110"/>
              <w:bottom w:type="dxa" w:w="70"/>
              <w:right w:type="dxa" w:w="110"/>
            </w:tcMar>
          </w:tcPr>
          <w:p>
            <w:pPr>
              <w:spacing w:after="0" w:before="0" w:line="260"/>
            </w:pPr>
            <w:r>
              <w:rPr>
                <w:rFonts w:ascii="Calibri" w:cs="Calibri" w:eastAsia="Calibri" w:hAnsi="Calibri"/>
                <w:b/>
                <w:bCs/>
                <w:color w:val="1F2937"/>
                <w:sz w:val="16"/>
                <w:szCs w:val="16"/>
              </w:rPr>
              <w:t xml:space="preserve">twilio</w:t>
            </w:r>
          </w:p>
        </w:tc>
        <w:tc>
          <w:tcPr>
            <w:tcW w:type="dxa" w:w="1700"/>
            <w:tcBorders>
              <w:top w:val="single" w:color="D1D5DB" w:sz="2"/>
              <w:left w:val="single" w:color="D1D5DB" w:sz="2"/>
              <w:bottom w:val="single" w:color="D1D5DB" w:sz="2"/>
              <w:right w:val="single" w:color="D1D5DB" w:sz="2"/>
            </w:tcBorders>
            <w:tcMar>
              <w:top w:type="dxa" w:w="70"/>
              <w:left w:type="dxa" w:w="110"/>
              <w:bottom w:type="dxa" w:w="70"/>
              <w:right w:type="dxa" w:w="110"/>
            </w:tcMar>
          </w:tcPr>
          <w:p>
            <w:pPr>
              <w:spacing w:after="0" w:before="0" w:line="260"/>
            </w:pPr>
            <w:r>
              <w:rPr>
                <w:rFonts w:ascii="Calibri" w:cs="Calibri" w:eastAsia="Calibri" w:hAnsi="Calibri"/>
                <w:color w:val="1F2937"/>
                <w:sz w:val="16"/>
                <w:szCs w:val="16"/>
              </w:rPr>
              <w:t xml:space="preserve">Communication channel</w:t>
            </w:r>
          </w:p>
        </w:tc>
        <w:tc>
          <w:tcPr>
            <w:tcW w:type="dxa" w:w="2700"/>
            <w:tcBorders>
              <w:top w:val="single" w:color="D1D5DB" w:sz="2"/>
              <w:left w:val="single" w:color="D1D5DB" w:sz="2"/>
              <w:bottom w:val="single" w:color="D1D5DB" w:sz="2"/>
              <w:right w:val="single" w:color="D1D5DB" w:sz="2"/>
            </w:tcBorders>
            <w:tcMar>
              <w:top w:type="dxa" w:w="70"/>
              <w:left w:type="dxa" w:w="110"/>
              <w:bottom w:type="dxa" w:w="70"/>
              <w:right w:type="dxa" w:w="110"/>
            </w:tcMar>
          </w:tcPr>
          <w:p>
            <w:pPr>
              <w:spacing w:after="0" w:before="0" w:line="260"/>
            </w:pPr>
            <w:r>
              <w:rPr>
                <w:rFonts w:ascii="Calibri" w:cs="Calibri" w:eastAsia="Calibri" w:hAnsi="Calibri"/>
                <w:color w:val="4B5563"/>
                <w:sz w:val="16"/>
                <w:szCs w:val="16"/>
              </w:rPr>
              <w:t xml:space="preserve">Twilio Inc.</w:t>
            </w:r>
          </w:p>
        </w:tc>
        <w:tc>
          <w:tcPr>
            <w:tcW w:type="dxa" w:w="2100"/>
            <w:tcBorders>
              <w:top w:val="single" w:color="D1D5DB" w:sz="2"/>
              <w:left w:val="single" w:color="D1D5DB" w:sz="2"/>
              <w:bottom w:val="single" w:color="D1D5DB" w:sz="2"/>
              <w:right w:val="single" w:color="D1D5DB" w:sz="2"/>
            </w:tcBorders>
            <w:tcMar>
              <w:top w:type="dxa" w:w="70"/>
              <w:left w:type="dxa" w:w="110"/>
              <w:bottom w:type="dxa" w:w="70"/>
              <w:right w:type="dxa" w:w="110"/>
            </w:tcMar>
          </w:tcPr>
          <w:p>
            <w:pPr>
              <w:spacing w:after="0" w:before="0" w:line="260"/>
            </w:pPr>
            <w:r>
              <w:rPr>
                <w:rFonts w:ascii="Calibri" w:cs="Calibri" w:eastAsia="Calibri" w:hAnsi="Calibri"/>
                <w:b/>
                <w:bCs/>
                <w:color w:val="1F2937"/>
                <w:sz w:val="16"/>
                <w:szCs w:val="16"/>
              </w:rPr>
              <w:t xml:space="preserve">US</w:t>
            </w:r>
          </w:p>
        </w:tc>
        <w:tc>
          <w:tcPr>
            <w:tcW w:type="dxa" w:w="1100"/>
            <w:tcBorders>
              <w:top w:val="single" w:color="D1D5DB" w:sz="2"/>
              <w:left w:val="single" w:color="D1D5DB" w:sz="2"/>
              <w:bottom w:val="single" w:color="D1D5DB" w:sz="2"/>
              <w:right w:val="single" w:color="D1D5DB" w:sz="2"/>
            </w:tcBorders>
            <w:shd w:fill="FDECEC" w:color="auto" w:val="clear"/>
            <w:tcMar>
              <w:top w:type="dxa" w:w="70"/>
              <w:left w:type="dxa" w:w="110"/>
              <w:bottom w:type="dxa" w:w="70"/>
              <w:right w:type="dxa" w:w="110"/>
            </w:tcMar>
          </w:tcPr>
          <w:p>
            <w:pPr>
              <w:spacing w:after="0" w:before="0" w:line="260"/>
            </w:pPr>
            <w:r>
              <w:rPr>
                <w:rFonts w:ascii="Calibri" w:cs="Calibri" w:eastAsia="Calibri" w:hAnsi="Calibri"/>
                <w:b/>
                <w:bCs/>
                <w:color w:val="1F2937"/>
                <w:sz w:val="16"/>
                <w:szCs w:val="16"/>
              </w:rPr>
              <w:t xml:space="preserve">yes</w:t>
            </w:r>
          </w:p>
        </w:tc>
        <w:tc>
          <w:tcPr>
            <w:tcW w:type="dxa" w:w="6298"/>
            <w:tcBorders>
              <w:top w:val="single" w:color="D1D5DB" w:sz="2"/>
              <w:left w:val="single" w:color="D1D5DB" w:sz="2"/>
              <w:bottom w:val="single" w:color="D1D5DB" w:sz="2"/>
              <w:right w:val="single" w:color="D1D5DB" w:sz="2"/>
            </w:tcBorders>
            <w:tcMar>
              <w:top w:type="dxa" w:w="70"/>
              <w:left w:type="dxa" w:w="110"/>
              <w:bottom w:type="dxa" w:w="70"/>
              <w:right w:type="dxa" w:w="110"/>
            </w:tcMar>
          </w:tcPr>
          <w:p>
            <w:pPr>
              <w:spacing w:after="0" w:before="0" w:line="260"/>
            </w:pPr>
            <w:r>
              <w:rPr>
                <w:rFonts w:ascii="Calibri" w:cs="Calibri" w:eastAsia="Calibri" w:hAnsi="Calibri"/>
                <w:color w:val="4B5563"/>
                <w:sz w:val="16"/>
                <w:szCs w:val="16"/>
              </w:rPr>
              <w:t xml:space="preserve">The citizen's telephone number, call audio, SMS text, and WhatsApp messages where Twilio carries them.</w:t>
            </w:r>
          </w:p>
        </w:tc>
      </w:tr>
      <w:tr>
        <w:tc>
          <w:tcPr>
            <w:tcW w:type="dxa" w:w="1500"/>
            <w:tcBorders>
              <w:top w:val="single" w:color="D1D5DB" w:sz="2"/>
              <w:left w:val="single" w:color="D1D5DB" w:sz="2"/>
              <w:bottom w:val="single" w:color="D1D5DB" w:sz="2"/>
              <w:right w:val="single" w:color="D1D5DB" w:sz="2"/>
            </w:tcBorders>
            <w:tcMar>
              <w:top w:type="dxa" w:w="70"/>
              <w:left w:type="dxa" w:w="110"/>
              <w:bottom w:type="dxa" w:w="70"/>
              <w:right w:type="dxa" w:w="110"/>
            </w:tcMar>
          </w:tcPr>
          <w:p>
            <w:pPr>
              <w:spacing w:after="0" w:before="0" w:line="260"/>
            </w:pPr>
            <w:r>
              <w:rPr>
                <w:rFonts w:ascii="Calibri" w:cs="Calibri" w:eastAsia="Calibri" w:hAnsi="Calibri"/>
                <w:b/>
                <w:bCs/>
                <w:color w:val="1F2937"/>
                <w:sz w:val="16"/>
                <w:szCs w:val="16"/>
              </w:rPr>
              <w:t xml:space="preserve">meta</w:t>
            </w:r>
          </w:p>
        </w:tc>
        <w:tc>
          <w:tcPr>
            <w:tcW w:type="dxa" w:w="1700"/>
            <w:tcBorders>
              <w:top w:val="single" w:color="D1D5DB" w:sz="2"/>
              <w:left w:val="single" w:color="D1D5DB" w:sz="2"/>
              <w:bottom w:val="single" w:color="D1D5DB" w:sz="2"/>
              <w:right w:val="single" w:color="D1D5DB" w:sz="2"/>
            </w:tcBorders>
            <w:tcMar>
              <w:top w:type="dxa" w:w="70"/>
              <w:left w:type="dxa" w:w="110"/>
              <w:bottom w:type="dxa" w:w="70"/>
              <w:right w:type="dxa" w:w="110"/>
            </w:tcMar>
          </w:tcPr>
          <w:p>
            <w:pPr>
              <w:spacing w:after="0" w:before="0" w:line="260"/>
            </w:pPr>
            <w:r>
              <w:rPr>
                <w:rFonts w:ascii="Calibri" w:cs="Calibri" w:eastAsia="Calibri" w:hAnsi="Calibri"/>
                <w:color w:val="1F2937"/>
                <w:sz w:val="16"/>
                <w:szCs w:val="16"/>
              </w:rPr>
              <w:t xml:space="preserve">Communication channel</w:t>
            </w:r>
          </w:p>
        </w:tc>
        <w:tc>
          <w:tcPr>
            <w:tcW w:type="dxa" w:w="2700"/>
            <w:tcBorders>
              <w:top w:val="single" w:color="D1D5DB" w:sz="2"/>
              <w:left w:val="single" w:color="D1D5DB" w:sz="2"/>
              <w:bottom w:val="single" w:color="D1D5DB" w:sz="2"/>
              <w:right w:val="single" w:color="D1D5DB" w:sz="2"/>
            </w:tcBorders>
            <w:tcMar>
              <w:top w:type="dxa" w:w="70"/>
              <w:left w:type="dxa" w:w="110"/>
              <w:bottom w:type="dxa" w:w="70"/>
              <w:right w:type="dxa" w:w="110"/>
            </w:tcMar>
          </w:tcPr>
          <w:p>
            <w:pPr>
              <w:spacing w:after="0" w:before="0" w:line="260"/>
            </w:pPr>
            <w:r>
              <w:rPr>
                <w:rFonts w:ascii="Calibri" w:cs="Calibri" w:eastAsia="Calibri" w:hAnsi="Calibri"/>
                <w:color w:val="4B5563"/>
                <w:sz w:val="16"/>
                <w:szCs w:val="16"/>
              </w:rPr>
              <w:t xml:space="preserve">Meta Platforms, Inc.</w:t>
            </w:r>
          </w:p>
        </w:tc>
        <w:tc>
          <w:tcPr>
            <w:tcW w:type="dxa" w:w="2100"/>
            <w:tcBorders>
              <w:top w:val="single" w:color="D1D5DB" w:sz="2"/>
              <w:left w:val="single" w:color="D1D5DB" w:sz="2"/>
              <w:bottom w:val="single" w:color="D1D5DB" w:sz="2"/>
              <w:right w:val="single" w:color="D1D5DB" w:sz="2"/>
            </w:tcBorders>
            <w:tcMar>
              <w:top w:type="dxa" w:w="70"/>
              <w:left w:type="dxa" w:w="110"/>
              <w:bottom w:type="dxa" w:w="70"/>
              <w:right w:type="dxa" w:w="110"/>
            </w:tcMar>
          </w:tcPr>
          <w:p>
            <w:pPr>
              <w:spacing w:after="0" w:before="0" w:line="260"/>
            </w:pPr>
            <w:r>
              <w:rPr>
                <w:rFonts w:ascii="Calibri" w:cs="Calibri" w:eastAsia="Calibri" w:hAnsi="Calibri"/>
                <w:b/>
                <w:bCs/>
                <w:color w:val="1F2937"/>
                <w:sz w:val="16"/>
                <w:szCs w:val="16"/>
              </w:rPr>
              <w:t xml:space="preserve">US</w:t>
            </w:r>
          </w:p>
        </w:tc>
        <w:tc>
          <w:tcPr>
            <w:tcW w:type="dxa" w:w="1100"/>
            <w:tcBorders>
              <w:top w:val="single" w:color="D1D5DB" w:sz="2"/>
              <w:left w:val="single" w:color="D1D5DB" w:sz="2"/>
              <w:bottom w:val="single" w:color="D1D5DB" w:sz="2"/>
              <w:right w:val="single" w:color="D1D5DB" w:sz="2"/>
            </w:tcBorders>
            <w:shd w:fill="FDECEC" w:color="auto" w:val="clear"/>
            <w:tcMar>
              <w:top w:type="dxa" w:w="70"/>
              <w:left w:type="dxa" w:w="110"/>
              <w:bottom w:type="dxa" w:w="70"/>
              <w:right w:type="dxa" w:w="110"/>
            </w:tcMar>
          </w:tcPr>
          <w:p>
            <w:pPr>
              <w:spacing w:after="0" w:before="0" w:line="260"/>
            </w:pPr>
            <w:r>
              <w:rPr>
                <w:rFonts w:ascii="Calibri" w:cs="Calibri" w:eastAsia="Calibri" w:hAnsi="Calibri"/>
                <w:b/>
                <w:bCs/>
                <w:color w:val="1F2937"/>
                <w:sz w:val="16"/>
                <w:szCs w:val="16"/>
              </w:rPr>
              <w:t xml:space="preserve">yes</w:t>
            </w:r>
          </w:p>
        </w:tc>
        <w:tc>
          <w:tcPr>
            <w:tcW w:type="dxa" w:w="6298"/>
            <w:tcBorders>
              <w:top w:val="single" w:color="D1D5DB" w:sz="2"/>
              <w:left w:val="single" w:color="D1D5DB" w:sz="2"/>
              <w:bottom w:val="single" w:color="D1D5DB" w:sz="2"/>
              <w:right w:val="single" w:color="D1D5DB" w:sz="2"/>
            </w:tcBorders>
            <w:tcMar>
              <w:top w:type="dxa" w:w="70"/>
              <w:left w:type="dxa" w:w="110"/>
              <w:bottom w:type="dxa" w:w="70"/>
              <w:right w:type="dxa" w:w="110"/>
            </w:tcMar>
          </w:tcPr>
          <w:p>
            <w:pPr>
              <w:spacing w:after="0" w:before="0" w:line="260"/>
            </w:pPr>
            <w:r>
              <w:rPr>
                <w:rFonts w:ascii="Calibri" w:cs="Calibri" w:eastAsia="Calibri" w:hAnsi="Calibri"/>
                <w:color w:val="4B5563"/>
                <w:sz w:val="16"/>
                <w:szCs w:val="16"/>
              </w:rPr>
              <w:t xml:space="preserve">The citizen's telephone number, their messages, voice notes and photographs.</w:t>
            </w:r>
          </w:p>
        </w:tc>
      </w:tr>
      <w:tr>
        <w:tc>
          <w:tcPr>
            <w:tcW w:type="dxa" w:w="1500"/>
            <w:tcBorders>
              <w:top w:val="single" w:color="D1D5DB" w:sz="2"/>
              <w:left w:val="single" w:color="D1D5DB" w:sz="2"/>
              <w:bottom w:val="single" w:color="D1D5DB" w:sz="2"/>
              <w:right w:val="single" w:color="D1D5DB" w:sz="2"/>
            </w:tcBorders>
            <w:tcMar>
              <w:top w:type="dxa" w:w="70"/>
              <w:left w:type="dxa" w:w="110"/>
              <w:bottom w:type="dxa" w:w="70"/>
              <w:right w:type="dxa" w:w="110"/>
            </w:tcMar>
          </w:tcPr>
          <w:p>
            <w:pPr>
              <w:spacing w:after="0" w:before="0" w:line="260"/>
            </w:pPr>
            <w:r>
              <w:rPr>
                <w:rFonts w:ascii="Calibri" w:cs="Calibri" w:eastAsia="Calibri" w:hAnsi="Calibri"/>
                <w:b/>
                <w:bCs/>
                <w:color w:val="1F2937"/>
                <w:sz w:val="16"/>
                <w:szCs w:val="16"/>
              </w:rPr>
              <w:t xml:space="preserve">africastalking</w:t>
            </w:r>
          </w:p>
        </w:tc>
        <w:tc>
          <w:tcPr>
            <w:tcW w:type="dxa" w:w="1700"/>
            <w:tcBorders>
              <w:top w:val="single" w:color="D1D5DB" w:sz="2"/>
              <w:left w:val="single" w:color="D1D5DB" w:sz="2"/>
              <w:bottom w:val="single" w:color="D1D5DB" w:sz="2"/>
              <w:right w:val="single" w:color="D1D5DB" w:sz="2"/>
            </w:tcBorders>
            <w:tcMar>
              <w:top w:type="dxa" w:w="70"/>
              <w:left w:type="dxa" w:w="110"/>
              <w:bottom w:type="dxa" w:w="70"/>
              <w:right w:type="dxa" w:w="110"/>
            </w:tcMar>
          </w:tcPr>
          <w:p>
            <w:pPr>
              <w:spacing w:after="0" w:before="0" w:line="260"/>
            </w:pPr>
            <w:r>
              <w:rPr>
                <w:rFonts w:ascii="Calibri" w:cs="Calibri" w:eastAsia="Calibri" w:hAnsi="Calibri"/>
                <w:color w:val="1F2937"/>
                <w:sz w:val="16"/>
                <w:szCs w:val="16"/>
              </w:rPr>
              <w:t xml:space="preserve">Communication channel</w:t>
            </w:r>
          </w:p>
        </w:tc>
        <w:tc>
          <w:tcPr>
            <w:tcW w:type="dxa" w:w="2700"/>
            <w:tcBorders>
              <w:top w:val="single" w:color="D1D5DB" w:sz="2"/>
              <w:left w:val="single" w:color="D1D5DB" w:sz="2"/>
              <w:bottom w:val="single" w:color="D1D5DB" w:sz="2"/>
              <w:right w:val="single" w:color="D1D5DB" w:sz="2"/>
            </w:tcBorders>
            <w:tcMar>
              <w:top w:type="dxa" w:w="70"/>
              <w:left w:type="dxa" w:w="110"/>
              <w:bottom w:type="dxa" w:w="70"/>
              <w:right w:type="dxa" w:w="110"/>
            </w:tcMar>
          </w:tcPr>
          <w:p>
            <w:pPr>
              <w:spacing w:after="0" w:before="0" w:line="260"/>
            </w:pPr>
            <w:r>
              <w:rPr>
                <w:rFonts w:ascii="Calibri" w:cs="Calibri" w:eastAsia="Calibri" w:hAnsi="Calibri"/>
                <w:color w:val="4B5563"/>
                <w:sz w:val="16"/>
                <w:szCs w:val="16"/>
              </w:rPr>
              <w:t xml:space="preserve">Africa's Talking — declared base of operations, to be confirmed in procurement</w:t>
            </w:r>
          </w:p>
        </w:tc>
        <w:tc>
          <w:tcPr>
            <w:tcW w:type="dxa" w:w="2100"/>
            <w:tcBorders>
              <w:top w:val="single" w:color="D1D5DB" w:sz="2"/>
              <w:left w:val="single" w:color="D1D5DB" w:sz="2"/>
              <w:bottom w:val="single" w:color="D1D5DB" w:sz="2"/>
              <w:right w:val="single" w:color="D1D5DB" w:sz="2"/>
            </w:tcBorders>
            <w:tcMar>
              <w:top w:type="dxa" w:w="70"/>
              <w:left w:type="dxa" w:w="110"/>
              <w:bottom w:type="dxa" w:w="70"/>
              <w:right w:type="dxa" w:w="110"/>
            </w:tcMar>
          </w:tcPr>
          <w:p>
            <w:pPr>
              <w:spacing w:after="0" w:before="0" w:line="260"/>
            </w:pPr>
            <w:r>
              <w:rPr>
                <w:rFonts w:ascii="Calibri" w:cs="Calibri" w:eastAsia="Calibri" w:hAnsi="Calibri"/>
                <w:b/>
                <w:bCs/>
                <w:color w:val="1F2937"/>
                <w:sz w:val="16"/>
                <w:szCs w:val="16"/>
              </w:rPr>
              <w:t xml:space="preserve">KE (override with `AFRICASTALKING_JURISDICTION`)</w:t>
            </w:r>
          </w:p>
        </w:tc>
        <w:tc>
          <w:tcPr>
            <w:tcW w:type="dxa" w:w="1100"/>
            <w:tcBorders>
              <w:top w:val="single" w:color="D1D5DB" w:sz="2"/>
              <w:left w:val="single" w:color="D1D5DB" w:sz="2"/>
              <w:bottom w:val="single" w:color="D1D5DB" w:sz="2"/>
              <w:right w:val="single" w:color="D1D5DB" w:sz="2"/>
            </w:tcBorders>
            <w:shd w:fill="FDECEC" w:color="auto" w:val="clear"/>
            <w:tcMar>
              <w:top w:type="dxa" w:w="70"/>
              <w:left w:type="dxa" w:w="110"/>
              <w:bottom w:type="dxa" w:w="70"/>
              <w:right w:type="dxa" w:w="110"/>
            </w:tcMar>
          </w:tcPr>
          <w:p>
            <w:pPr>
              <w:spacing w:after="0" w:before="0" w:line="260"/>
            </w:pPr>
            <w:r>
              <w:rPr>
                <w:rFonts w:ascii="Calibri" w:cs="Calibri" w:eastAsia="Calibri" w:hAnsi="Calibri"/>
                <w:b/>
                <w:bCs/>
                <w:color w:val="1F2937"/>
                <w:sz w:val="16"/>
                <w:szCs w:val="16"/>
              </w:rPr>
              <w:t xml:space="preserve">yes</w:t>
            </w:r>
          </w:p>
        </w:tc>
        <w:tc>
          <w:tcPr>
            <w:tcW w:type="dxa" w:w="6298"/>
            <w:tcBorders>
              <w:top w:val="single" w:color="D1D5DB" w:sz="2"/>
              <w:left w:val="single" w:color="D1D5DB" w:sz="2"/>
              <w:bottom w:val="single" w:color="D1D5DB" w:sz="2"/>
              <w:right w:val="single" w:color="D1D5DB" w:sz="2"/>
            </w:tcBorders>
            <w:tcMar>
              <w:top w:type="dxa" w:w="70"/>
              <w:left w:type="dxa" w:w="110"/>
              <w:bottom w:type="dxa" w:w="70"/>
              <w:right w:type="dxa" w:w="110"/>
            </w:tcMar>
          </w:tcPr>
          <w:p>
            <w:pPr>
              <w:spacing w:after="0" w:before="0" w:line="260"/>
            </w:pPr>
            <w:r>
              <w:rPr>
                <w:rFonts w:ascii="Calibri" w:cs="Calibri" w:eastAsia="Calibri" w:hAnsi="Calibri"/>
                <w:color w:val="4B5563"/>
                <w:sz w:val="16"/>
                <w:szCs w:val="16"/>
              </w:rPr>
              <w:t xml:space="preserve">The citizen's telephone number and the text of reminders, answers and escalation notices.</w:t>
            </w:r>
          </w:p>
        </w:tc>
      </w:tr>
      <w:tr>
        <w:tc>
          <w:tcPr>
            <w:tcW w:type="dxa" w:w="1500"/>
            <w:tcBorders>
              <w:top w:val="single" w:color="D1D5DB" w:sz="2"/>
              <w:left w:val="single" w:color="D1D5DB" w:sz="2"/>
              <w:bottom w:val="single" w:color="D1D5DB" w:sz="2"/>
              <w:right w:val="single" w:color="D1D5DB" w:sz="2"/>
            </w:tcBorders>
            <w:shd w:fill="E7F6EC" w:color="auto" w:val="clear"/>
            <w:tcMar>
              <w:top w:type="dxa" w:w="70"/>
              <w:left w:type="dxa" w:w="110"/>
              <w:bottom w:type="dxa" w:w="70"/>
              <w:right w:type="dxa" w:w="110"/>
            </w:tcMar>
          </w:tcPr>
          <w:p>
            <w:pPr>
              <w:spacing w:after="0" w:before="0" w:line="260"/>
            </w:pPr>
            <w:r>
              <w:rPr>
                <w:rFonts w:ascii="Calibri" w:cs="Calibri" w:eastAsia="Calibri" w:hAnsi="Calibri"/>
                <w:b/>
                <w:bCs/>
                <w:color w:val="1F2937"/>
                <w:sz w:val="16"/>
                <w:szCs w:val="16"/>
              </w:rPr>
              <w:t xml:space="preserve">log</w:t>
            </w:r>
          </w:p>
        </w:tc>
        <w:tc>
          <w:tcPr>
            <w:tcW w:type="dxa" w:w="1700"/>
            <w:tcBorders>
              <w:top w:val="single" w:color="D1D5DB" w:sz="2"/>
              <w:left w:val="single" w:color="D1D5DB" w:sz="2"/>
              <w:bottom w:val="single" w:color="D1D5DB" w:sz="2"/>
              <w:right w:val="single" w:color="D1D5DB" w:sz="2"/>
            </w:tcBorders>
            <w:tcMar>
              <w:top w:type="dxa" w:w="70"/>
              <w:left w:type="dxa" w:w="110"/>
              <w:bottom w:type="dxa" w:w="70"/>
              <w:right w:type="dxa" w:w="110"/>
            </w:tcMar>
          </w:tcPr>
          <w:p>
            <w:pPr>
              <w:spacing w:after="0" w:before="0" w:line="260"/>
            </w:pPr>
            <w:r>
              <w:rPr>
                <w:rFonts w:ascii="Calibri" w:cs="Calibri" w:eastAsia="Calibri" w:hAnsi="Calibri"/>
                <w:color w:val="1F2937"/>
                <w:sz w:val="16"/>
                <w:szCs w:val="16"/>
              </w:rPr>
              <w:t xml:space="preserve">Communication channel</w:t>
            </w:r>
          </w:p>
        </w:tc>
        <w:tc>
          <w:tcPr>
            <w:tcW w:type="dxa" w:w="2700"/>
            <w:tcBorders>
              <w:top w:val="single" w:color="D1D5DB" w:sz="2"/>
              <w:left w:val="single" w:color="D1D5DB" w:sz="2"/>
              <w:bottom w:val="single" w:color="D1D5DB" w:sz="2"/>
              <w:right w:val="single" w:color="D1D5DB" w:sz="2"/>
            </w:tcBorders>
            <w:tcMar>
              <w:top w:type="dxa" w:w="70"/>
              <w:left w:type="dxa" w:w="110"/>
              <w:bottom w:type="dxa" w:w="70"/>
              <w:right w:type="dxa" w:w="110"/>
            </w:tcMar>
          </w:tcPr>
          <w:p>
            <w:pPr>
              <w:spacing w:after="0" w:before="0" w:line="260"/>
            </w:pPr>
            <w:r>
              <w:rPr>
                <w:rFonts w:ascii="Calibri" w:cs="Calibri" w:eastAsia="Calibri" w:hAnsi="Calibri"/>
                <w:color w:val="4B5563"/>
                <w:sz w:val="16"/>
                <w:szCs w:val="16"/>
              </w:rPr>
              <w:t xml:space="preserve">The programme</w:t>
            </w:r>
          </w:p>
        </w:tc>
        <w:tc>
          <w:tcPr>
            <w:tcW w:type="dxa" w:w="2100"/>
            <w:tcBorders>
              <w:top w:val="single" w:color="D1D5DB" w:sz="2"/>
              <w:left w:val="single" w:color="D1D5DB" w:sz="2"/>
              <w:bottom w:val="single" w:color="D1D5DB" w:sz="2"/>
              <w:right w:val="single" w:color="D1D5DB" w:sz="2"/>
            </w:tcBorders>
            <w:shd w:fill="E7F6EC" w:color="auto" w:val="clear"/>
            <w:tcMar>
              <w:top w:type="dxa" w:w="70"/>
              <w:left w:type="dxa" w:w="110"/>
              <w:bottom w:type="dxa" w:w="70"/>
              <w:right w:type="dxa" w:w="110"/>
            </w:tcMar>
          </w:tcPr>
          <w:p>
            <w:pPr>
              <w:spacing w:after="0" w:before="0" w:line="260"/>
            </w:pPr>
            <w:r>
              <w:rPr>
                <w:rFonts w:ascii="Calibri" w:cs="Calibri" w:eastAsia="Calibri" w:hAnsi="Calibri"/>
                <w:b w:val="false"/>
                <w:bCs w:val="false"/>
                <w:color w:val="1F2937"/>
                <w:sz w:val="16"/>
                <w:szCs w:val="16"/>
              </w:rPr>
              <w:t xml:space="preserve">same as the deployment (`DEPLOYMENT_JURISDICTION`)</w:t>
            </w:r>
          </w:p>
        </w:tc>
        <w:tc>
          <w:tcPr>
            <w:tcW w:type="dxa" w:w="1100"/>
            <w:tcBorders>
              <w:top w:val="single" w:color="D1D5DB" w:sz="2"/>
              <w:left w:val="single" w:color="D1D5DB" w:sz="2"/>
              <w:bottom w:val="single" w:color="D1D5DB" w:sz="2"/>
              <w:right w:val="single" w:color="D1D5DB" w:sz="2"/>
            </w:tcBorders>
            <w:tcMar>
              <w:top w:type="dxa" w:w="70"/>
              <w:left w:type="dxa" w:w="110"/>
              <w:bottom w:type="dxa" w:w="70"/>
              <w:right w:type="dxa" w:w="110"/>
            </w:tcMar>
          </w:tcPr>
          <w:p>
            <w:pPr>
              <w:spacing w:after="0" w:before="0" w:line="260"/>
            </w:pPr>
            <w:r>
              <w:rPr>
                <w:rFonts w:ascii="Calibri" w:cs="Calibri" w:eastAsia="Calibri" w:hAnsi="Calibri"/>
                <w:b w:val="false"/>
                <w:bCs w:val="false"/>
                <w:color w:val="1F2937"/>
                <w:sz w:val="16"/>
                <w:szCs w:val="16"/>
              </w:rPr>
              <w:t xml:space="preserve">no</w:t>
            </w:r>
          </w:p>
        </w:tc>
        <w:tc>
          <w:tcPr>
            <w:tcW w:type="dxa" w:w="6298"/>
            <w:tcBorders>
              <w:top w:val="single" w:color="D1D5DB" w:sz="2"/>
              <w:left w:val="single" w:color="D1D5DB" w:sz="2"/>
              <w:bottom w:val="single" w:color="D1D5DB" w:sz="2"/>
              <w:right w:val="single" w:color="D1D5DB" w:sz="2"/>
            </w:tcBorders>
            <w:tcMar>
              <w:top w:type="dxa" w:w="70"/>
              <w:left w:type="dxa" w:w="110"/>
              <w:bottom w:type="dxa" w:w="70"/>
              <w:right w:type="dxa" w:w="110"/>
            </w:tcMar>
          </w:tcPr>
          <w:p>
            <w:pPr>
              <w:spacing w:after="0" w:before="0" w:line="260"/>
            </w:pPr>
            <w:r>
              <w:rPr>
                <w:rFonts w:ascii="Calibri" w:cs="Calibri" w:eastAsia="Calibri" w:hAnsi="Calibri"/>
                <w:color w:val="4B5563"/>
                <w:sz w:val="16"/>
                <w:szCs w:val="16"/>
              </w:rPr>
              <w:t xml:space="preserve">Nothing. A message is written to this deployment's own log instead of being delivered.</w:t>
            </w:r>
          </w:p>
        </w:tc>
      </w:tr>
    </w:tbl>
    <w:p>
      <w:pPr>
        <w:spacing w:after="120" w:before="0" w:line="260"/>
      </w:pPr>
      <w:r>
        <w:rPr>
          <w:rFonts w:ascii="Calibri" w:cs="Calibri" w:eastAsia="Calibri" w:hAnsi="Calibri"/>
          <w:color w:val="1F2937"/>
          <w:sz w:val="17"/>
          <w:szCs w:val="17"/>
        </w:rPr>
        <w:t xml:space="preserve"/>
      </w:r>
    </w:p>
    <w:p>
      <w:pPr>
        <w:spacing w:after="120" w:before="0" w:line="260"/>
      </w:pPr>
      <w:r>
        <w:rPr>
          <w:rFonts w:ascii="Calibri" w:cs="Calibri" w:eastAsia="Calibri" w:hAnsi="Calibri"/>
          <w:i/>
          <w:iCs/>
          <w:color w:val="4B5563"/>
          <w:sz w:val="15"/>
          <w:szCs w:val="15"/>
        </w:rPr>
        <w:t xml:space="preserve">Rows shaded green stay inside the deployment's own country. Rows marked on the safety path are ones the platform's deterministic escalation depends on.</w:t>
      </w:r>
    </w:p>
    <w:p>
      <w:pPr>
        <w:pStyle w:val="Heading1"/>
        <w:spacing w:after="140" w:before="300"/>
      </w:pPr>
      <w:r>
        <w:rPr>
          <w:rFonts w:ascii="Calibri" w:cs="Calibri" w:eastAsia="Calibri" w:hAnsi="Calibri"/>
          <w:b/>
          <w:bCs/>
          <w:color w:val="1F2937"/>
          <w:sz w:val="24"/>
          <w:szCs w:val="24"/>
        </w:rPr>
        <w:t xml:space="preserve">What refusing a destination costs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800"/>
        <w:gridCol w:w="13598"/>
      </w:tblGrid>
      <w:tr>
        <w:trPr>
          <w:tblHeader/>
        </w:trPr>
        <w:tc>
          <w:tcPr>
            <w:tcW w:type="dxa" w:w="1800"/>
            <w:tcBorders>
              <w:top w:val="single" w:color="D1D5DB" w:sz="2"/>
              <w:left w:val="single" w:color="D1D5DB" w:sz="2"/>
              <w:bottom w:val="single" w:color="D1D5DB" w:sz="2"/>
              <w:right w:val="single" w:color="D1D5DB" w:sz="2"/>
            </w:tcBorders>
            <w:shd w:fill="0B1220" w:color="auto" w:val="clear"/>
            <w:tcMar>
              <w:top w:type="dxa" w:w="70"/>
              <w:left w:type="dxa" w:w="110"/>
              <w:bottom w:type="dxa" w:w="70"/>
              <w:right w:type="dxa" w:w="110"/>
            </w:tcMar>
          </w:tcPr>
          <w:p>
            <w:pPr>
              <w:spacing w:after="0" w:before="0" w:line="260"/>
            </w:pPr>
            <w:r>
              <w:rPr>
                <w:rFonts w:ascii="Calibri" w:cs="Calibri" w:eastAsia="Calibri" w:hAnsi="Calibri"/>
                <w:b/>
                <w:bCs/>
                <w:color w:val="FFFFFF"/>
                <w:sz w:val="17"/>
                <w:szCs w:val="17"/>
              </w:rPr>
              <w:t xml:space="preserve">Destination</w:t>
            </w:r>
          </w:p>
        </w:tc>
        <w:tc>
          <w:tcPr>
            <w:tcW w:type="dxa" w:w="13598"/>
            <w:tcBorders>
              <w:top w:val="single" w:color="D1D5DB" w:sz="2"/>
              <w:left w:val="single" w:color="D1D5DB" w:sz="2"/>
              <w:bottom w:val="single" w:color="D1D5DB" w:sz="2"/>
              <w:right w:val="single" w:color="D1D5DB" w:sz="2"/>
            </w:tcBorders>
            <w:shd w:fill="0B1220" w:color="auto" w:val="clear"/>
            <w:tcMar>
              <w:top w:type="dxa" w:w="70"/>
              <w:left w:type="dxa" w:w="110"/>
              <w:bottom w:type="dxa" w:w="70"/>
              <w:right w:type="dxa" w:w="110"/>
            </w:tcMar>
          </w:tcPr>
          <w:p>
            <w:pPr>
              <w:spacing w:after="0" w:before="0" w:line="260"/>
            </w:pPr>
            <w:r>
              <w:rPr>
                <w:rFonts w:ascii="Calibri" w:cs="Calibri" w:eastAsia="Calibri" w:hAnsi="Calibri"/>
                <w:b/>
                <w:bCs/>
                <w:color w:val="FFFFFF"/>
                <w:sz w:val="17"/>
                <w:szCs w:val="17"/>
              </w:rPr>
              <w:t xml:space="preserve">What is lost if the policy refuses it</w:t>
            </w:r>
          </w:p>
        </w:tc>
      </w:tr>
      <w:tr>
        <w:tc>
          <w:tcPr>
            <w:tcW w:type="dxa" w:w="1800"/>
            <w:tcBorders>
              <w:top w:val="single" w:color="D1D5DB" w:sz="2"/>
              <w:left w:val="single" w:color="D1D5DB" w:sz="2"/>
              <w:bottom w:val="single" w:color="D1D5DB" w:sz="2"/>
              <w:right w:val="single" w:color="D1D5DB" w:sz="2"/>
            </w:tcBorders>
            <w:tcMar>
              <w:top w:type="dxa" w:w="70"/>
              <w:left w:type="dxa" w:w="110"/>
              <w:bottom w:type="dxa" w:w="70"/>
              <w:right w:type="dxa" w:w="110"/>
            </w:tcMar>
          </w:tcPr>
          <w:p>
            <w:pPr>
              <w:spacing w:after="0" w:before="0" w:line="260"/>
            </w:pPr>
            <w:r>
              <w:rPr>
                <w:rFonts w:ascii="Calibri" w:cs="Calibri" w:eastAsia="Calibri" w:hAnsi="Calibri"/>
                <w:b/>
                <w:bCs/>
                <w:color w:val="1F2937"/>
                <w:sz w:val="16"/>
                <w:szCs w:val="16"/>
              </w:rPr>
              <w:t xml:space="preserve">self</w:t>
            </w:r>
          </w:p>
        </w:tc>
        <w:tc>
          <w:tcPr>
            <w:tcW w:type="dxa" w:w="13598"/>
            <w:tcBorders>
              <w:top w:val="single" w:color="D1D5DB" w:sz="2"/>
              <w:left w:val="single" w:color="D1D5DB" w:sz="2"/>
              <w:bottom w:val="single" w:color="D1D5DB" w:sz="2"/>
              <w:right w:val="single" w:color="D1D5DB" w:sz="2"/>
            </w:tcBorders>
            <w:tcMar>
              <w:top w:type="dxa" w:w="70"/>
              <w:left w:type="dxa" w:w="110"/>
              <w:bottom w:type="dxa" w:w="70"/>
              <w:right w:type="dxa" w:w="110"/>
            </w:tcMar>
          </w:tcPr>
          <w:p>
            <w:pPr>
              <w:spacing w:after="0" w:before="0" w:line="260"/>
            </w:pPr>
            <w:r>
              <w:rPr>
                <w:rFonts w:ascii="Calibri" w:cs="Calibri" w:eastAsia="Calibri" w:hAnsi="Calibri"/>
                <w:color w:val="4B5563"/>
                <w:sz w:val="16"/>
                <w:szCs w:val="16"/>
              </w:rPr>
              <w:t xml:space="preserve">Nothing runs. This is the deployment itself.</w:t>
            </w:r>
          </w:p>
        </w:tc>
      </w:tr>
      <w:tr>
        <w:tc>
          <w:tcPr>
            <w:tcW w:type="dxa" w:w="1800"/>
            <w:tcBorders>
              <w:top w:val="single" w:color="D1D5DB" w:sz="2"/>
              <w:left w:val="single" w:color="D1D5DB" w:sz="2"/>
              <w:bottom w:val="single" w:color="D1D5DB" w:sz="2"/>
              <w:right w:val="single" w:color="D1D5DB" w:sz="2"/>
            </w:tcBorders>
            <w:tcMar>
              <w:top w:type="dxa" w:w="70"/>
              <w:left w:type="dxa" w:w="110"/>
              <w:bottom w:type="dxa" w:w="70"/>
              <w:right w:type="dxa" w:w="110"/>
            </w:tcMar>
          </w:tcPr>
          <w:p>
            <w:pPr>
              <w:spacing w:after="0" w:before="0" w:line="260"/>
            </w:pPr>
            <w:r>
              <w:rPr>
                <w:rFonts w:ascii="Calibri" w:cs="Calibri" w:eastAsia="Calibri" w:hAnsi="Calibri"/>
                <w:b/>
                <w:bCs/>
                <w:color w:val="1F2937"/>
                <w:sz w:val="16"/>
                <w:szCs w:val="16"/>
              </w:rPr>
              <w:t xml:space="preserve">mock</w:t>
            </w:r>
          </w:p>
        </w:tc>
        <w:tc>
          <w:tcPr>
            <w:tcW w:type="dxa" w:w="13598"/>
            <w:tcBorders>
              <w:top w:val="single" w:color="D1D5DB" w:sz="2"/>
              <w:left w:val="single" w:color="D1D5DB" w:sz="2"/>
              <w:bottom w:val="single" w:color="D1D5DB" w:sz="2"/>
              <w:right w:val="single" w:color="D1D5DB" w:sz="2"/>
            </w:tcBorders>
            <w:tcMar>
              <w:top w:type="dxa" w:w="70"/>
              <w:left w:type="dxa" w:w="110"/>
              <w:bottom w:type="dxa" w:w="70"/>
              <w:right w:type="dxa" w:w="110"/>
            </w:tcMar>
          </w:tcPr>
          <w:p>
            <w:pPr>
              <w:spacing w:after="0" w:before="0" w:line="260"/>
            </w:pPr>
            <w:r>
              <w:rPr>
                <w:rFonts w:ascii="Calibri" w:cs="Calibri" w:eastAsia="Calibri" w:hAnsi="Calibri"/>
                <w:color w:val="4B5563"/>
                <w:sz w:val="16"/>
                <w:szCs w:val="16"/>
              </w:rPr>
              <w:t xml:space="preserve">The platform has no fallback and cannot answer at all.</w:t>
            </w:r>
          </w:p>
        </w:tc>
      </w:tr>
      <w:tr>
        <w:tc>
          <w:tcPr>
            <w:tcW w:type="dxa" w:w="1800"/>
            <w:tcBorders>
              <w:top w:val="single" w:color="D1D5DB" w:sz="2"/>
              <w:left w:val="single" w:color="D1D5DB" w:sz="2"/>
              <w:bottom w:val="single" w:color="D1D5DB" w:sz="2"/>
              <w:right w:val="single" w:color="D1D5DB" w:sz="2"/>
            </w:tcBorders>
            <w:tcMar>
              <w:top w:type="dxa" w:w="70"/>
              <w:left w:type="dxa" w:w="110"/>
              <w:bottom w:type="dxa" w:w="70"/>
              <w:right w:type="dxa" w:w="110"/>
            </w:tcMar>
          </w:tcPr>
          <w:p>
            <w:pPr>
              <w:spacing w:after="0" w:before="0" w:line="260"/>
            </w:pPr>
            <w:r>
              <w:rPr>
                <w:rFonts w:ascii="Calibri" w:cs="Calibri" w:eastAsia="Calibri" w:hAnsi="Calibri"/>
                <w:b/>
                <w:bCs/>
                <w:color w:val="1F2937"/>
                <w:sz w:val="16"/>
                <w:szCs w:val="16"/>
              </w:rPr>
              <w:t xml:space="preserve">anthropic</w:t>
            </w:r>
          </w:p>
        </w:tc>
        <w:tc>
          <w:tcPr>
            <w:tcW w:type="dxa" w:w="13598"/>
            <w:tcBorders>
              <w:top w:val="single" w:color="D1D5DB" w:sz="2"/>
              <w:left w:val="single" w:color="D1D5DB" w:sz="2"/>
              <w:bottom w:val="single" w:color="D1D5DB" w:sz="2"/>
              <w:right w:val="single" w:color="D1D5DB" w:sz="2"/>
            </w:tcBorders>
            <w:tcMar>
              <w:top w:type="dxa" w:w="70"/>
              <w:left w:type="dxa" w:w="110"/>
              <w:bottom w:type="dxa" w:w="70"/>
              <w:right w:type="dxa" w:w="110"/>
            </w:tcMar>
          </w:tcPr>
          <w:p>
            <w:pPr>
              <w:spacing w:after="0" w:before="0" w:line="260"/>
            </w:pPr>
            <w:r>
              <w:rPr>
                <w:rFonts w:ascii="Calibri" w:cs="Calibri" w:eastAsia="Calibri" w:hAnsi="Calibri"/>
                <w:color w:val="4B5563"/>
                <w:sz w:val="16"/>
                <w:szCs w:val="16"/>
              </w:rPr>
              <w:t xml:space="preserve">Understanding of free speech degrades to the offline rules provider. Danger-sign detection and severity are unaffected — they never used a model.</w:t>
            </w:r>
          </w:p>
        </w:tc>
      </w:tr>
      <w:tr>
        <w:tc>
          <w:tcPr>
            <w:tcW w:type="dxa" w:w="1800"/>
            <w:tcBorders>
              <w:top w:val="single" w:color="D1D5DB" w:sz="2"/>
              <w:left w:val="single" w:color="D1D5DB" w:sz="2"/>
              <w:bottom w:val="single" w:color="D1D5DB" w:sz="2"/>
              <w:right w:val="single" w:color="D1D5DB" w:sz="2"/>
            </w:tcBorders>
            <w:tcMar>
              <w:top w:type="dxa" w:w="70"/>
              <w:left w:type="dxa" w:w="110"/>
              <w:bottom w:type="dxa" w:w="70"/>
              <w:right w:type="dxa" w:w="110"/>
            </w:tcMar>
          </w:tcPr>
          <w:p>
            <w:pPr>
              <w:spacing w:after="0" w:before="0" w:line="260"/>
            </w:pPr>
            <w:r>
              <w:rPr>
                <w:rFonts w:ascii="Calibri" w:cs="Calibri" w:eastAsia="Calibri" w:hAnsi="Calibri"/>
                <w:b/>
                <w:bCs/>
                <w:color w:val="1F2937"/>
                <w:sz w:val="16"/>
                <w:szCs w:val="16"/>
              </w:rPr>
              <w:t xml:space="preserve">gemini</w:t>
            </w:r>
          </w:p>
        </w:tc>
        <w:tc>
          <w:tcPr>
            <w:tcW w:type="dxa" w:w="13598"/>
            <w:tcBorders>
              <w:top w:val="single" w:color="D1D5DB" w:sz="2"/>
              <w:left w:val="single" w:color="D1D5DB" w:sz="2"/>
              <w:bottom w:val="single" w:color="D1D5DB" w:sz="2"/>
              <w:right w:val="single" w:color="D1D5DB" w:sz="2"/>
            </w:tcBorders>
            <w:tcMar>
              <w:top w:type="dxa" w:w="70"/>
              <w:left w:type="dxa" w:w="110"/>
              <w:bottom w:type="dxa" w:w="70"/>
              <w:right w:type="dxa" w:w="110"/>
            </w:tcMar>
          </w:tcPr>
          <w:p>
            <w:pPr>
              <w:spacing w:after="0" w:before="0" w:line="260"/>
            </w:pPr>
            <w:r>
              <w:rPr>
                <w:rFonts w:ascii="Calibri" w:cs="Calibri" w:eastAsia="Calibri" w:hAnsi="Calibri"/>
                <w:color w:val="4B5563"/>
                <w:sz w:val="16"/>
                <w:szCs w:val="16"/>
              </w:rPr>
              <w:t xml:space="preserve">One fewer understanding and transcription provider in the chain.</w:t>
            </w:r>
          </w:p>
        </w:tc>
      </w:tr>
      <w:tr>
        <w:tc>
          <w:tcPr>
            <w:tcW w:type="dxa" w:w="1800"/>
            <w:tcBorders>
              <w:top w:val="single" w:color="D1D5DB" w:sz="2"/>
              <w:left w:val="single" w:color="D1D5DB" w:sz="2"/>
              <w:bottom w:val="single" w:color="D1D5DB" w:sz="2"/>
              <w:right w:val="single" w:color="D1D5DB" w:sz="2"/>
            </w:tcBorders>
            <w:tcMar>
              <w:top w:type="dxa" w:w="70"/>
              <w:left w:type="dxa" w:w="110"/>
              <w:bottom w:type="dxa" w:w="70"/>
              <w:right w:type="dxa" w:w="110"/>
            </w:tcMar>
          </w:tcPr>
          <w:p>
            <w:pPr>
              <w:spacing w:after="0" w:before="0" w:line="260"/>
            </w:pPr>
            <w:r>
              <w:rPr>
                <w:rFonts w:ascii="Calibri" w:cs="Calibri" w:eastAsia="Calibri" w:hAnsi="Calibri"/>
                <w:b/>
                <w:bCs/>
                <w:color w:val="1F2937"/>
                <w:sz w:val="16"/>
                <w:szCs w:val="16"/>
              </w:rPr>
              <w:t xml:space="preserve">openai</w:t>
            </w:r>
          </w:p>
        </w:tc>
        <w:tc>
          <w:tcPr>
            <w:tcW w:type="dxa" w:w="13598"/>
            <w:tcBorders>
              <w:top w:val="single" w:color="D1D5DB" w:sz="2"/>
              <w:left w:val="single" w:color="D1D5DB" w:sz="2"/>
              <w:bottom w:val="single" w:color="D1D5DB" w:sz="2"/>
              <w:right w:val="single" w:color="D1D5DB" w:sz="2"/>
            </w:tcBorders>
            <w:tcMar>
              <w:top w:type="dxa" w:w="70"/>
              <w:left w:type="dxa" w:w="110"/>
              <w:bottom w:type="dxa" w:w="70"/>
              <w:right w:type="dxa" w:w="110"/>
            </w:tcMar>
          </w:tcPr>
          <w:p>
            <w:pPr>
              <w:spacing w:after="0" w:before="0" w:line="260"/>
            </w:pPr>
            <w:r>
              <w:rPr>
                <w:rFonts w:ascii="Calibri" w:cs="Calibri" w:eastAsia="Calibri" w:hAnsi="Calibri"/>
                <w:color w:val="4B5563"/>
                <w:sz w:val="16"/>
                <w:szCs w:val="16"/>
              </w:rPr>
              <w:t xml:space="preserve">No transcription: a voice call falls back to the fixed scripts and the keypad menu, and free speech is not understood.</w:t>
            </w:r>
          </w:p>
        </w:tc>
      </w:tr>
      <w:tr>
        <w:tc>
          <w:tcPr>
            <w:tcW w:type="dxa" w:w="1800"/>
            <w:tcBorders>
              <w:top w:val="single" w:color="D1D5DB" w:sz="2"/>
              <w:left w:val="single" w:color="D1D5DB" w:sz="2"/>
              <w:bottom w:val="single" w:color="D1D5DB" w:sz="2"/>
              <w:right w:val="single" w:color="D1D5DB" w:sz="2"/>
            </w:tcBorders>
            <w:tcMar>
              <w:top w:type="dxa" w:w="70"/>
              <w:left w:type="dxa" w:w="110"/>
              <w:bottom w:type="dxa" w:w="70"/>
              <w:right w:type="dxa" w:w="110"/>
            </w:tcMar>
          </w:tcPr>
          <w:p>
            <w:pPr>
              <w:spacing w:after="0" w:before="0" w:line="260"/>
            </w:pPr>
            <w:r>
              <w:rPr>
                <w:rFonts w:ascii="Calibri" w:cs="Calibri" w:eastAsia="Calibri" w:hAnsi="Calibri"/>
                <w:b/>
                <w:bCs/>
                <w:color w:val="1F2937"/>
                <w:sz w:val="16"/>
                <w:szCs w:val="16"/>
              </w:rPr>
              <w:t xml:space="preserve">google_tts</w:t>
            </w:r>
          </w:p>
        </w:tc>
        <w:tc>
          <w:tcPr>
            <w:tcW w:type="dxa" w:w="13598"/>
            <w:tcBorders>
              <w:top w:val="single" w:color="D1D5DB" w:sz="2"/>
              <w:left w:val="single" w:color="D1D5DB" w:sz="2"/>
              <w:bottom w:val="single" w:color="D1D5DB" w:sz="2"/>
              <w:right w:val="single" w:color="D1D5DB" w:sz="2"/>
            </w:tcBorders>
            <w:tcMar>
              <w:top w:type="dxa" w:w="70"/>
              <w:left w:type="dxa" w:w="110"/>
              <w:bottom w:type="dxa" w:w="70"/>
              <w:right w:type="dxa" w:w="110"/>
            </w:tcMar>
          </w:tcPr>
          <w:p>
            <w:pPr>
              <w:spacing w:after="0" w:before="0" w:line="260"/>
            </w:pPr>
            <w:r>
              <w:rPr>
                <w:rFonts w:ascii="Calibri" w:cs="Calibri" w:eastAsia="Calibri" w:hAnsi="Calibri"/>
                <w:color w:val="4B5563"/>
                <w:sz w:val="16"/>
                <w:szCs w:val="16"/>
              </w:rPr>
              <w:t xml:space="preserve">Answers are spoken by the next configured synthesiser, or read from a recording where one exists.</w:t>
            </w:r>
          </w:p>
        </w:tc>
      </w:tr>
      <w:tr>
        <w:tc>
          <w:tcPr>
            <w:tcW w:type="dxa" w:w="1800"/>
            <w:tcBorders>
              <w:top w:val="single" w:color="D1D5DB" w:sz="2"/>
              <w:left w:val="single" w:color="D1D5DB" w:sz="2"/>
              <w:bottom w:val="single" w:color="D1D5DB" w:sz="2"/>
              <w:right w:val="single" w:color="D1D5DB" w:sz="2"/>
            </w:tcBorders>
            <w:tcMar>
              <w:top w:type="dxa" w:w="70"/>
              <w:left w:type="dxa" w:w="110"/>
              <w:bottom w:type="dxa" w:w="70"/>
              <w:right w:type="dxa" w:w="110"/>
            </w:tcMar>
          </w:tcPr>
          <w:p>
            <w:pPr>
              <w:spacing w:after="0" w:before="0" w:line="260"/>
            </w:pPr>
            <w:r>
              <w:rPr>
                <w:rFonts w:ascii="Calibri" w:cs="Calibri" w:eastAsia="Calibri" w:hAnsi="Calibri"/>
                <w:b/>
                <w:bCs/>
                <w:color w:val="1F2937"/>
                <w:sz w:val="16"/>
                <w:szCs w:val="16"/>
              </w:rPr>
              <w:t xml:space="preserve">twilio</w:t>
            </w:r>
          </w:p>
        </w:tc>
        <w:tc>
          <w:tcPr>
            <w:tcW w:type="dxa" w:w="13598"/>
            <w:tcBorders>
              <w:top w:val="single" w:color="D1D5DB" w:sz="2"/>
              <w:left w:val="single" w:color="D1D5DB" w:sz="2"/>
              <w:bottom w:val="single" w:color="D1D5DB" w:sz="2"/>
              <w:right w:val="single" w:color="D1D5DB" w:sz="2"/>
            </w:tcBorders>
            <w:tcMar>
              <w:top w:type="dxa" w:w="70"/>
              <w:left w:type="dxa" w:w="110"/>
              <w:bottom w:type="dxa" w:w="70"/>
              <w:right w:type="dxa" w:w="110"/>
            </w:tcMar>
          </w:tcPr>
          <w:p>
            <w:pPr>
              <w:spacing w:after="0" w:before="0" w:line="260"/>
            </w:pPr>
            <w:r>
              <w:rPr>
                <w:rFonts w:ascii="Calibri" w:cs="Calibri" w:eastAsia="Calibri" w:hAnsi="Calibri"/>
                <w:color w:val="4B5563"/>
                <w:sz w:val="16"/>
                <w:szCs w:val="16"/>
              </w:rPr>
              <w:t xml:space="preserve">No voice, and no SMS or WhatsApp through this carrier. An escalation cannot reach a worker by telephone.</w:t>
            </w:r>
          </w:p>
        </w:tc>
      </w:tr>
      <w:tr>
        <w:tc>
          <w:tcPr>
            <w:tcW w:type="dxa" w:w="1800"/>
            <w:tcBorders>
              <w:top w:val="single" w:color="D1D5DB" w:sz="2"/>
              <w:left w:val="single" w:color="D1D5DB" w:sz="2"/>
              <w:bottom w:val="single" w:color="D1D5DB" w:sz="2"/>
              <w:right w:val="single" w:color="D1D5DB" w:sz="2"/>
            </w:tcBorders>
            <w:tcMar>
              <w:top w:type="dxa" w:w="70"/>
              <w:left w:type="dxa" w:w="110"/>
              <w:bottom w:type="dxa" w:w="70"/>
              <w:right w:type="dxa" w:w="110"/>
            </w:tcMar>
          </w:tcPr>
          <w:p>
            <w:pPr>
              <w:spacing w:after="0" w:before="0" w:line="260"/>
            </w:pPr>
            <w:r>
              <w:rPr>
                <w:rFonts w:ascii="Calibri" w:cs="Calibri" w:eastAsia="Calibri" w:hAnsi="Calibri"/>
                <w:b/>
                <w:bCs/>
                <w:color w:val="1F2937"/>
                <w:sz w:val="16"/>
                <w:szCs w:val="16"/>
              </w:rPr>
              <w:t xml:space="preserve">meta</w:t>
            </w:r>
          </w:p>
        </w:tc>
        <w:tc>
          <w:tcPr>
            <w:tcW w:type="dxa" w:w="13598"/>
            <w:tcBorders>
              <w:top w:val="single" w:color="D1D5DB" w:sz="2"/>
              <w:left w:val="single" w:color="D1D5DB" w:sz="2"/>
              <w:bottom w:val="single" w:color="D1D5DB" w:sz="2"/>
              <w:right w:val="single" w:color="D1D5DB" w:sz="2"/>
            </w:tcBorders>
            <w:tcMar>
              <w:top w:type="dxa" w:w="70"/>
              <w:left w:type="dxa" w:w="110"/>
              <w:bottom w:type="dxa" w:w="70"/>
              <w:right w:type="dxa" w:w="110"/>
            </w:tcMar>
          </w:tcPr>
          <w:p>
            <w:pPr>
              <w:spacing w:after="0" w:before="0" w:line="260"/>
            </w:pPr>
            <w:r>
              <w:rPr>
                <w:rFonts w:ascii="Calibri" w:cs="Calibri" w:eastAsia="Calibri" w:hAnsi="Calibri"/>
                <w:color w:val="4B5563"/>
                <w:sz w:val="16"/>
                <w:szCs w:val="16"/>
              </w:rPr>
              <w:t xml:space="preserve">No WhatsApp channel.</w:t>
            </w:r>
          </w:p>
        </w:tc>
      </w:tr>
      <w:tr>
        <w:tc>
          <w:tcPr>
            <w:tcW w:type="dxa" w:w="1800"/>
            <w:tcBorders>
              <w:top w:val="single" w:color="D1D5DB" w:sz="2"/>
              <w:left w:val="single" w:color="D1D5DB" w:sz="2"/>
              <w:bottom w:val="single" w:color="D1D5DB" w:sz="2"/>
              <w:right w:val="single" w:color="D1D5DB" w:sz="2"/>
            </w:tcBorders>
            <w:tcMar>
              <w:top w:type="dxa" w:w="70"/>
              <w:left w:type="dxa" w:w="110"/>
              <w:bottom w:type="dxa" w:w="70"/>
              <w:right w:type="dxa" w:w="110"/>
            </w:tcMar>
          </w:tcPr>
          <w:p>
            <w:pPr>
              <w:spacing w:after="0" w:before="0" w:line="260"/>
            </w:pPr>
            <w:r>
              <w:rPr>
                <w:rFonts w:ascii="Calibri" w:cs="Calibri" w:eastAsia="Calibri" w:hAnsi="Calibri"/>
                <w:b/>
                <w:bCs/>
                <w:color w:val="1F2937"/>
                <w:sz w:val="16"/>
                <w:szCs w:val="16"/>
              </w:rPr>
              <w:t xml:space="preserve">africastalking</w:t>
            </w:r>
          </w:p>
        </w:tc>
        <w:tc>
          <w:tcPr>
            <w:tcW w:type="dxa" w:w="13598"/>
            <w:tcBorders>
              <w:top w:val="single" w:color="D1D5DB" w:sz="2"/>
              <w:left w:val="single" w:color="D1D5DB" w:sz="2"/>
              <w:bottom w:val="single" w:color="D1D5DB" w:sz="2"/>
              <w:right w:val="single" w:color="D1D5DB" w:sz="2"/>
            </w:tcBorders>
            <w:tcMar>
              <w:top w:type="dxa" w:w="70"/>
              <w:left w:type="dxa" w:w="110"/>
              <w:bottom w:type="dxa" w:w="70"/>
              <w:right w:type="dxa" w:w="110"/>
            </w:tcMar>
          </w:tcPr>
          <w:p>
            <w:pPr>
              <w:spacing w:after="0" w:before="0" w:line="260"/>
            </w:pPr>
            <w:r>
              <w:rPr>
                <w:rFonts w:ascii="Calibri" w:cs="Calibri" w:eastAsia="Calibri" w:hAnsi="Calibri"/>
                <w:color w:val="4B5563"/>
                <w:sz w:val="16"/>
                <w:szCs w:val="16"/>
              </w:rPr>
              <w:t xml:space="preserve">No SMS. Reminders and escalation notices cannot be delivered by message.</w:t>
            </w:r>
          </w:p>
        </w:tc>
      </w:tr>
      <w:tr>
        <w:tc>
          <w:tcPr>
            <w:tcW w:type="dxa" w:w="1800"/>
            <w:tcBorders>
              <w:top w:val="single" w:color="D1D5DB" w:sz="2"/>
              <w:left w:val="single" w:color="D1D5DB" w:sz="2"/>
              <w:bottom w:val="single" w:color="D1D5DB" w:sz="2"/>
              <w:right w:val="single" w:color="D1D5DB" w:sz="2"/>
            </w:tcBorders>
            <w:tcMar>
              <w:top w:type="dxa" w:w="70"/>
              <w:left w:type="dxa" w:w="110"/>
              <w:bottom w:type="dxa" w:w="70"/>
              <w:right w:type="dxa" w:w="110"/>
            </w:tcMar>
          </w:tcPr>
          <w:p>
            <w:pPr>
              <w:spacing w:after="0" w:before="0" w:line="260"/>
            </w:pPr>
            <w:r>
              <w:rPr>
                <w:rFonts w:ascii="Calibri" w:cs="Calibri" w:eastAsia="Calibri" w:hAnsi="Calibri"/>
                <w:b/>
                <w:bCs/>
                <w:color w:val="1F2937"/>
                <w:sz w:val="16"/>
                <w:szCs w:val="16"/>
              </w:rPr>
              <w:t xml:space="preserve">log</w:t>
            </w:r>
          </w:p>
        </w:tc>
        <w:tc>
          <w:tcPr>
            <w:tcW w:type="dxa" w:w="13598"/>
            <w:tcBorders>
              <w:top w:val="single" w:color="D1D5DB" w:sz="2"/>
              <w:left w:val="single" w:color="D1D5DB" w:sz="2"/>
              <w:bottom w:val="single" w:color="D1D5DB" w:sz="2"/>
              <w:right w:val="single" w:color="D1D5DB" w:sz="2"/>
            </w:tcBorders>
            <w:tcMar>
              <w:top w:type="dxa" w:w="70"/>
              <w:left w:type="dxa" w:w="110"/>
              <w:bottom w:type="dxa" w:w="70"/>
              <w:right w:type="dxa" w:w="110"/>
            </w:tcMar>
          </w:tcPr>
          <w:p>
            <w:pPr>
              <w:spacing w:after="0" w:before="0" w:line="260"/>
            </w:pPr>
            <w:r>
              <w:rPr>
                <w:rFonts w:ascii="Calibri" w:cs="Calibri" w:eastAsia="Calibri" w:hAnsi="Calibri"/>
                <w:color w:val="4B5563"/>
                <w:sz w:val="16"/>
                <w:szCs w:val="16"/>
              </w:rPr>
              <w:t xml:space="preserve">Nothing; a deployment that serves citizens already reports log-only delivery as a failure.</w:t>
            </w:r>
          </w:p>
        </w:tc>
      </w:tr>
    </w:tbl>
    <w:p>
      <w:pPr>
        <w:pStyle w:val="Heading1"/>
        <w:spacing w:after="140" w:before="300"/>
      </w:pPr>
      <w:r>
        <w:rPr>
          <w:rFonts w:ascii="Calibri" w:cs="Calibri" w:eastAsia="Calibri" w:hAnsi="Calibri"/>
          <w:b/>
          <w:bCs/>
          <w:color w:val="1F2937"/>
          <w:sz w:val="24"/>
          <w:szCs w:val="24"/>
        </w:rPr>
        <w:t xml:space="preserve">The strictest useful setting</w:t>
      </w:r>
    </w:p>
    <w:p>
      <w:pPr>
        <w:spacing w:after="120" w:before="0" w:line="260"/>
      </w:pPr>
      <w:r>
        <w:rPr>
          <w:rFonts w:ascii="Calibri" w:cs="Calibri" w:eastAsia="Calibri" w:hAnsi="Calibri"/>
          <w:b/>
          <w:bCs/>
          <w:color w:val="1F2937"/>
          <w:sz w:val="18"/>
          <w:szCs w:val="18"/>
        </w:rPr>
        <w:t xml:space="preserve">DATA_RESIDENCY=CD    DEPLOYMENT_JURISDICTION=CD</w:t>
      </w:r>
    </w:p>
    <w:p>
      <w:pPr>
        <w:spacing w:after="120" w:before="0" w:line="260"/>
      </w:pPr>
      <w:r>
        <w:rPr>
          <w:rFonts w:ascii="Calibri" w:cs="Calibri" w:eastAsia="Calibri" w:hAnsi="Calibri"/>
          <w:color w:val="1F2937"/>
          <w:sz w:val="17"/>
          <w:szCs w:val="17"/>
        </w:rPr>
        <w:t xml:space="preserve">Every remote provider is refused. The platform still triages by protocol, still detects danger signs, still grades severity and still speaks the fixed emergency scripts — none of that ever used a model. What it loses is understanding free speech and transcribing a voice note.</w:t>
      </w:r>
    </w:p>
    <w:p>
      <w:pPr>
        <w:spacing w:after="120" w:before="0" w:line="260"/>
      </w:pPr>
      <w:r>
        <w:rPr>
          <w:rFonts w:ascii="Calibri" w:cs="Calibri" w:eastAsia="Calibri" w:hAnsi="Calibri"/>
          <w:b/>
          <w:bCs/>
          <w:color w:val="1F2937"/>
          <w:sz w:val="17"/>
          <w:szCs w:val="17"/>
        </w:rPr>
        <w:t xml:space="preserve">That is a different product, and under a strict localisation requirement it is the honest one.</w:t>
      </w:r>
    </w:p>
    <w:p>
      <w:pPr>
        <w:pStyle w:val="Heading1"/>
        <w:spacing w:after="140" w:before="300"/>
      </w:pPr>
      <w:r>
        <w:rPr>
          <w:rFonts w:ascii="Calibri" w:cs="Calibri" w:eastAsia="Calibri" w:hAnsi="Calibri"/>
          <w:b/>
          <w:bCs/>
          <w:color w:val="1F2937"/>
          <w:sz w:val="24"/>
          <w:szCs w:val="24"/>
        </w:rPr>
        <w:t xml:space="preserve">The question this document does not answer</w:t>
      </w:r>
    </w:p>
    <w:p>
      <w:pPr>
        <w:spacing w:after="120" w:before="0" w:line="260"/>
      </w:pPr>
      <w:r>
        <w:rPr>
          <w:rFonts w:ascii="Calibri" w:cs="Calibri" w:eastAsia="Calibri" w:hAnsi="Calibri"/>
          <w:color w:val="1F2937"/>
          <w:sz w:val="17"/>
          <w:szCs w:val="17"/>
        </w:rPr>
        <w:t xml:space="preserve">Whether the DRC Code du numérique (Ordonnance-loi n° 23/010 of 13 March 2023) requires localisation, or sets conditions on cross-border transfer, is a legal question. It decides both the host and which providers may be enabled, and it is recorded as an open Phase 0 decision. This inventory is what that review needs in front of it, not a substitute for it.</w:t>
      </w:r>
    </w:p>
    <w:sectPr>
      <w:footerReference w:type="default" r:id="rId7"/>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4B5563"/>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CONGO VOICE AI OS — Where citizen data can go</dc:title>
  <dc:creator>CONGO VOICE AI OS</dc:creator>
  <dc:description>10 destinations a citizen's data can reach, and what each one receives.</dc:description>
  <cp:lastModifiedBy>Un-named</cp:lastModifiedBy>
  <cp:revision>1</cp:revision>
  <dcterms:created xsi:type="dcterms:W3CDTF">2026-09-25T15:13:55.204Z</dcterms:created>
  <dcterms:modified xsi:type="dcterms:W3CDTF">2026-09-25T15:13:55.204Z</dcterms:modified>
</cp:coreProperties>
</file>

<file path=docProps/custom.xml><?xml version="1.0" encoding="utf-8"?>
<Properties xmlns="http://schemas.openxmlformats.org/officeDocument/2006/custom-properties" xmlns:vt="http://schemas.openxmlformats.org/officeDocument/2006/docPropsVTypes"/>
</file>