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pPr>
      <w:r>
        <w:t xml:space="preserve"/>
      </w:r>
    </w:p>
    <w:p>
      <w:pPr>
        <w:spacing w:after="40"/>
      </w:pPr>
      <w:r>
        <w:rPr>
          <w:rFonts w:ascii="Calibri" w:cs="Calibri" w:eastAsia="Calibri" w:hAnsi="Calibri"/>
          <w:b/>
          <w:bCs/>
          <w:color w:val="102A43"/>
          <w:spacing w:val="30"/>
          <w:sz w:val="68"/>
          <w:szCs w:val="68"/>
        </w:rPr>
        <w:t xml:space="preserve">JESS MOVE</w:t>
      </w:r>
    </w:p>
    <w:p>
      <w:pPr>
        <w:spacing w:after="340"/>
      </w:pPr>
      <w:r>
        <w:rPr>
          <w:rFonts w:ascii="Calibri" w:cs="Calibri" w:eastAsia="Calibri" w:hAnsi="Calibri"/>
          <w:color w:val="00A99D"/>
          <w:sz w:val="30"/>
          <w:szCs w:val="30"/>
        </w:rPr>
        <w:t xml:space="preserve">Small Moves. Powerful Change.</w:t>
      </w:r>
    </w:p>
    <w:p>
      <w:pPr>
        <w:pBdr>
          <w:top w:val="single" w:color="00A99D" w:sz="12"/>
        </w:pBdr>
        <w:spacing w:after="60"/>
      </w:pPr>
      <w:r>
        <w:rPr>
          <w:sz w:val="2"/>
          <w:szCs w:val="2"/>
        </w:rPr>
        <w:t xml:space="preserve"/>
      </w:r>
    </w:p>
    <w:p>
      <w:pPr>
        <w:spacing w:after="60" w:before="220"/>
      </w:pPr>
      <w:r>
        <w:rPr>
          <w:rFonts w:ascii="Calibri" w:cs="Calibri" w:eastAsia="Calibri" w:hAnsi="Calibri"/>
          <w:b/>
          <w:bCs/>
          <w:color w:val="1A1A1A"/>
          <w:sz w:val="32"/>
          <w:szCs w:val="32"/>
        </w:rPr>
        <w:t xml:space="preserve">Feature list for sales</w:t>
      </w:r>
    </w:p>
    <w:p>
      <w:pPr>
        <w:spacing w:after="260" w:line="276"/>
      </w:pPr>
      <w:r>
        <w:rPr>
          <w:rFonts w:ascii="Calibri" w:cs="Calibri" w:eastAsia="Calibri" w:hAnsi="Calibri"/>
          <w:color w:val="536575"/>
          <w:sz w:val="22"/>
          <w:szCs w:val="22"/>
        </w:rPr>
        <w:t xml:space="preserve">For organic selling and for marketwaros.com. Every claim in this document describes something that exists in the product specification and the codebase. Nothing here is aspirational.</w:t>
      </w:r>
    </w:p>
    <w:p>
      <w:pPr>
        <w:pBdr>
          <w:left w:val="single" w:color="C83B46" w:sz="18"/>
        </w:pBdr>
        <w:shd w:fill="EAF2F1" w:color="auto" w:val="clear"/>
        <w:spacing w:after="180" w:before="160"/>
        <w:ind w:left="200" w:right="200"/>
      </w:pPr>
      <w:r>
        <w:rPr>
          <w:rFonts w:ascii="Calibri" w:cs="Calibri" w:eastAsia="Calibri" w:hAnsi="Calibri"/>
          <w:i/>
          <w:iCs/>
          <w:color w:val="102A43"/>
          <w:sz w:val="21"/>
          <w:szCs w:val="21"/>
        </w:rPr>
        <w:t xml:space="preserve">Section 18 — “What we never claim” — is not optional reading. It is what keeps this product sellable under UK advertising and medical-device rules.</w:t>
      </w:r>
    </w:p>
    <w:p>
      <w:pPr>
        <w:spacing w:after="0" w:line="276"/>
      </w:pPr>
      <w:r>
        <w:rPr>
          <w:rFonts w:ascii="Calibri" w:cs="Calibri" w:eastAsia="Calibri" w:hAnsi="Calibri"/>
          <w:i/>
          <w:iCs/>
          <w:color w:val="536575"/>
          <w:sz w:val="17"/>
          <w:szCs w:val="17"/>
        </w:rPr>
        <w:t xml:space="preserve">Jess Move AI — your daily movement and body-balance operating system. A general wellness product. It does not diagnose or treat any condition.</w:t>
      </w:r>
    </w:p>
    <w:p>
      <w:pPr>
        <w:pStyle w:val="Heading1"/>
        <w:pageBreakBefore/>
        <w:spacing w:after="60" w:before="420"/>
      </w:pPr>
      <w:r>
        <w:rPr>
          <w:rFonts w:ascii="Calibri" w:cs="Calibri" w:eastAsia="Calibri" w:hAnsi="Calibri"/>
          <w:b/>
          <w:bCs/>
          <w:color w:val="102A43"/>
          <w:sz w:val="34"/>
          <w:szCs w:val="34"/>
        </w:rPr>
        <w:t xml:space="preserve">The pitch, in one paragraph</w:t>
      </w:r>
    </w:p>
    <w:p>
      <w:pPr>
        <w:spacing w:after="140" w:line="276"/>
      </w:pPr>
      <w:r>
        <w:rPr>
          <w:rFonts w:ascii="Calibri" w:cs="Calibri" w:eastAsia="Calibri" w:hAnsi="Calibri"/>
          <w:color w:val="1A1A1A"/>
          <w:sz w:val="23"/>
          <w:szCs w:val="23"/>
        </w:rPr>
        <w:t xml:space="preserve">Jess Move is an AI-powered movement, food and body-balance operating system for people aged 10 to 100. It doesn’t ask anyone to find an hour, join a gym or rebuild their life. It reads the day a person already has — work, school, commute, home — finds the two-minute gaps that are genuinely free, and puts one personalised movement into them. Then it explains why it chose that one, adapts to what actually got completed, and stays silent when moving isn’t possible. It is the difference between a reminder that fires at the wrong moment and a coach that knows you’re in a meeting.</w:t>
      </w:r>
    </w:p>
    <w:p>
      <w:pPr>
        <w:pBdr>
          <w:left w:val="single" w:color="00A99D" w:sz="18"/>
        </w:pBdr>
        <w:shd w:fill="EAF2F1" w:color="auto" w:val="clear"/>
        <w:spacing w:after="180" w:before="160"/>
        <w:ind w:left="200" w:right="200"/>
      </w:pPr>
      <w:r>
        <w:rPr>
          <w:rFonts w:ascii="Calibri" w:cs="Calibri" w:eastAsia="Calibri" w:hAnsi="Calibri"/>
          <w:i/>
          <w:iCs/>
          <w:color w:val="102A43"/>
          <w:sz w:val="21"/>
          <w:szCs w:val="21"/>
        </w:rPr>
        <w:t xml:space="preserve">The 15-second version: Fitness apps compete for the hour you don’t have. Jess Move owns the two-minute gaps you didn’t know you had.</w:t>
      </w:r>
    </w:p>
    <w:p>
      <w:pPr>
        <w:pStyle w:val="Heading2"/>
        <w:spacing w:after="100" w:before="300"/>
      </w:pPr>
      <w:r>
        <w:rPr>
          <w:rFonts w:ascii="Calibri" w:cs="Calibri" w:eastAsia="Calibri" w:hAnsi="Calibri"/>
          <w:b/>
          <w:bCs/>
          <w:color w:val="102A43"/>
          <w:sz w:val="26"/>
          <w:szCs w:val="26"/>
        </w:rPr>
        <w:t xml:space="preserve">The problem it solves</w:t>
      </w:r>
    </w:p>
    <w:p>
      <w:pPr>
        <w:spacing w:after="140" w:line="276"/>
      </w:pPr>
      <w:r>
        <w:rPr>
          <w:rFonts w:ascii="Calibri" w:cs="Calibri" w:eastAsia="Calibri" w:hAnsi="Calibri"/>
          <w:color w:val="1A1A1A"/>
          <w:sz w:val="21"/>
          <w:szCs w:val="21"/>
        </w:rPr>
        <w:t xml:space="preserve">Meeting a weekly exercise target does not cancel the risk of spending the rest of the day sitting. Most people who aren’t moving enough are not refusing to exercise — they cannot commit to something that needs an hour, a changing room and a membership. And generic “time to stand” reminders fail because they know nothing about the person’s day: they fire while you’re driving, teaching, holding a baby or in a meeting you cannot leave. You ignore them, then you turn notifications off. Jess Move is built for the gap between what people are told to do and what their day actually permits.</w:t>
      </w:r>
    </w:p>
    <w:p>
      <w:pPr>
        <w:pStyle w:val="Heading1"/>
        <w:pageBreakBefore/>
        <w:spacing w:after="60" w:before="420"/>
      </w:pPr>
      <w:r>
        <w:rPr>
          <w:rFonts w:ascii="Calibri" w:cs="Calibri" w:eastAsia="Calibri" w:hAnsi="Calibri"/>
          <w:b/>
          <w:bCs/>
          <w:color w:val="102A43"/>
          <w:sz w:val="34"/>
          <w:szCs w:val="34"/>
        </w:rPr>
        <w:t xml:space="preserve">1 · The Movement Opportunity Engine</w:t>
      </w:r>
    </w:p>
    <w:p>
      <w:pPr>
        <w:pStyle w:val="Heading3"/>
        <w:spacing w:after="50" w:before="220"/>
      </w:pPr>
      <w:r>
        <w:rPr>
          <w:rFonts w:ascii="Calibri" w:cs="Calibri" w:eastAsia="Calibri" w:hAnsi="Calibri"/>
          <w:b/>
          <w:bCs/>
          <w:color w:val="00A99D"/>
          <w:sz w:val="22"/>
          <w:szCs w:val="22"/>
        </w:rPr>
        <w:t xml:space="preserve">Nine questions before it says anything</w:t>
      </w:r>
    </w:p>
    <w:p>
      <w:pPr>
        <w:spacing w:after="120" w:line="276"/>
      </w:pPr>
      <w:r>
        <w:rPr>
          <w:rFonts w:ascii="Calibri" w:cs="Calibri" w:eastAsia="Calibri" w:hAnsi="Calibri"/>
          <w:color w:val="1A1A1A"/>
          <w:sz w:val="21"/>
          <w:szCs w:val="21"/>
        </w:rPr>
        <w:t xml:space="preserve">Before a single prompt fires, the engine settles nine things: when you were last active, what you’re doing, where you are, what capability you have, how much time is genuinely free, whether movement is safe and socially appropriate here, which activity you’ll actually finish, what tone will work, and whether to stay silent altogether. A generic reminder answers none of these. That’s the entire difference in one list.</w:t>
      </w:r>
    </w:p>
    <w:p>
      <w:pPr>
        <w:pStyle w:val="Heading3"/>
        <w:spacing w:after="50" w:before="220"/>
      </w:pPr>
      <w:r>
        <w:rPr>
          <w:rFonts w:ascii="Calibri" w:cs="Calibri" w:eastAsia="Calibri" w:hAnsi="Calibri"/>
          <w:b/>
          <w:bCs/>
          <w:color w:val="00A99D"/>
          <w:sz w:val="22"/>
          <w:szCs w:val="22"/>
        </w:rPr>
        <w:t xml:space="preserve">The Opportunity Score</w:t>
      </w:r>
    </w:p>
    <w:p>
      <w:pPr>
        <w:spacing w:after="120" w:line="276"/>
      </w:pPr>
      <w:r>
        <w:rPr>
          <w:rFonts w:ascii="Calibri" w:cs="Calibri" w:eastAsia="Calibri" w:hAnsi="Calibri"/>
          <w:color w:val="1A1A1A"/>
          <w:sz w:val="21"/>
          <w:szCs w:val="21"/>
        </w:rPr>
        <w:t xml:space="preserve">Every candidate moment is scored on seven factors that multiply — available time, sedentary duration, readiness, environmental suitability, safety confidence, completion probability and personal benefit — minus three penalties: interruption cost, social awkwardness and fatigue risk. Safety sits in the multiplied half, so a zero there kills the recommendation no matter how attractive the moment otherwise looks. Below the threshold, the system says nothing.</w:t>
      </w:r>
    </w:p>
    <w:p>
      <w:pPr>
        <w:pStyle w:val="Heading3"/>
        <w:spacing w:after="50" w:before="220"/>
      </w:pPr>
      <w:r>
        <w:rPr>
          <w:rFonts w:ascii="Calibri" w:cs="Calibri" w:eastAsia="Calibri" w:hAnsi="Calibri"/>
          <w:b/>
          <w:bCs/>
          <w:color w:val="00A99D"/>
          <w:sz w:val="22"/>
          <w:szCs w:val="22"/>
        </w:rPr>
        <w:t xml:space="preserve">Silence is a feature, and it’s measured</w:t>
      </w:r>
    </w:p>
    <w:p>
      <w:pPr>
        <w:spacing w:after="120" w:line="276"/>
      </w:pPr>
      <w:r>
        <w:rPr>
          <w:rFonts w:ascii="Calibri" w:cs="Calibri" w:eastAsia="Calibri" w:hAnsi="Calibri"/>
          <w:color w:val="1A1A1A"/>
          <w:sz w:val="21"/>
          <w:szCs w:val="21"/>
        </w:rPr>
        <w:t xml:space="preserve">A notification fired into a moment you cannot move is treated as a defect. It’s logged as a misfire and used to retrain the timing model. “Prompts held back” is a headline metric on the dashboard — which makes growth conversations slightly awkward and the product substantially better.</w:t>
      </w:r>
    </w:p>
    <w:p>
      <w:pPr>
        <w:pStyle w:val="Heading3"/>
        <w:spacing w:after="50" w:before="220"/>
      </w:pPr>
      <w:r>
        <w:rPr>
          <w:rFonts w:ascii="Calibri" w:cs="Calibri" w:eastAsia="Calibri" w:hAnsi="Calibri"/>
          <w:b/>
          <w:bCs/>
          <w:color w:val="00A99D"/>
          <w:sz w:val="22"/>
          <w:szCs w:val="22"/>
        </w:rPr>
        <w:t xml:space="preserve">Seventeen recognised contexts</w:t>
      </w:r>
    </w:p>
    <w:p>
      <w:pPr>
        <w:spacing w:after="120" w:line="276"/>
      </w:pPr>
      <w:r>
        <w:rPr>
          <w:rFonts w:ascii="Calibri" w:cs="Calibri" w:eastAsia="Calibri" w:hAnsi="Calibri"/>
          <w:color w:val="1A1A1A"/>
          <w:sz w:val="21"/>
          <w:szCs w:val="21"/>
        </w:rPr>
        <w:t xml:space="preserve">Office desk, home office, classroom, library, kitchen, bedroom, living room, train, bus, airport, parked vehicle, care home, hospital waiting area, hotel, outdoors, and public versus private environments. The engine knows the difference between a stairwell and an open-plan office, and it suggests accordingly.</w:t>
      </w:r>
    </w:p>
    <w:p>
      <w:pPr>
        <w:pStyle w:val="Heading3"/>
        <w:spacing w:after="50" w:before="220"/>
      </w:pPr>
      <w:r>
        <w:rPr>
          <w:rFonts w:ascii="Calibri" w:cs="Calibri" w:eastAsia="Calibri" w:hAnsi="Calibri"/>
          <w:b/>
          <w:bCs/>
          <w:color w:val="00A99D"/>
          <w:sz w:val="22"/>
          <w:szCs w:val="22"/>
        </w:rPr>
        <w:t xml:space="preserve">The sedentary timeline</w:t>
      </w:r>
    </w:p>
    <w:p>
      <w:pPr>
        <w:spacing w:after="120" w:line="276"/>
      </w:pPr>
      <w:r>
        <w:rPr>
          <w:rFonts w:ascii="Calibri" w:cs="Calibri" w:eastAsia="Calibri" w:hAnsi="Calibri"/>
          <w:color w:val="1A1A1A"/>
          <w:sz w:val="21"/>
          <w:szCs w:val="21"/>
        </w:rPr>
        <w:t xml:space="preserve">A visual map of the working day showing committed time, gaps found, missions delivered and prompts deliberately held. It’s the single screen that makes people say “oh, I do have time” — because it shows them their own day with the movement already in it.</w:t>
      </w:r>
    </w:p>
    <w:p>
      <w:pPr>
        <w:pStyle w:val="Heading1"/>
        <w:pageBreakBefore/>
        <w:spacing w:after="60" w:before="420"/>
      </w:pPr>
      <w:r>
        <w:rPr>
          <w:rFonts w:ascii="Calibri" w:cs="Calibri" w:eastAsia="Calibri" w:hAnsi="Calibri"/>
          <w:b/>
          <w:bCs/>
          <w:color w:val="102A43"/>
          <w:sz w:val="34"/>
          <w:szCs w:val="34"/>
        </w:rPr>
        <w:t xml:space="preserve">2 · MOVA — the AI coach</w:t>
      </w:r>
    </w:p>
    <w:p>
      <w:pPr>
        <w:pStyle w:val="Heading3"/>
        <w:spacing w:after="50" w:before="220"/>
      </w:pPr>
      <w:r>
        <w:rPr>
          <w:rFonts w:ascii="Calibri" w:cs="Calibri" w:eastAsia="Calibri" w:hAnsi="Calibri"/>
          <w:b/>
          <w:bCs/>
          <w:color w:val="7656E8"/>
          <w:sz w:val="22"/>
          <w:szCs w:val="22"/>
        </w:rPr>
        <w:t xml:space="preserve">It has to explain itself before it’s allowed to speak</w:t>
      </w:r>
    </w:p>
    <w:p>
      <w:pPr>
        <w:spacing w:after="120" w:line="276"/>
      </w:pPr>
      <w:r>
        <w:rPr>
          <w:rFonts w:ascii="Calibri" w:cs="Calibri" w:eastAsia="Calibri" w:hAnsi="Calibri"/>
          <w:color w:val="1A1A1A"/>
          <w:sz w:val="21"/>
          <w:szCs w:val="21"/>
        </w:rPr>
        <w:t xml:space="preserve">Every suggestion carries a machine-readable reason trace with three required parts: what triggered it, what window made it possible, and why this movement rather than another. If the trace can’t be built, nothing is shown. “Why this?” isn’t a feature bolted on — it’s the precondition for interrupting somebody at all.</w:t>
      </w:r>
    </w:p>
    <w:p>
      <w:pPr>
        <w:pStyle w:val="Heading3"/>
        <w:spacing w:after="50" w:before="220"/>
      </w:pPr>
      <w:r>
        <w:rPr>
          <w:rFonts w:ascii="Calibri" w:cs="Calibri" w:eastAsia="Calibri" w:hAnsi="Calibri"/>
          <w:b/>
          <w:bCs/>
          <w:color w:val="7656E8"/>
          <w:sz w:val="22"/>
          <w:szCs w:val="22"/>
        </w:rPr>
        <w:t xml:space="preserve">It shows what it rejected</w:t>
      </w:r>
    </w:p>
    <w:p>
      <w:pPr>
        <w:spacing w:after="120" w:line="276"/>
      </w:pPr>
      <w:r>
        <w:rPr>
          <w:rFonts w:ascii="Calibri" w:cs="Calibri" w:eastAsia="Calibri" w:hAnsi="Calibri"/>
          <w:color w:val="1A1A1A"/>
          <w:sz w:val="21"/>
          <w:szCs w:val="21"/>
        </w:rPr>
        <w:t xml:space="preserve">The card tells you not just what it chose but what it ruled out and why — “standing balance: no stable support detected”, “stairwell walk: 25 minutes isn’t enough to get back and settle”. A recommendation only means something next to the options it beat.</w:t>
      </w:r>
    </w:p>
    <w:p>
      <w:pPr>
        <w:pStyle w:val="Heading3"/>
        <w:spacing w:after="50" w:before="220"/>
      </w:pPr>
      <w:r>
        <w:rPr>
          <w:rFonts w:ascii="Calibri" w:cs="Calibri" w:eastAsia="Calibri" w:hAnsi="Calibri"/>
          <w:b/>
          <w:bCs/>
          <w:color w:val="7656E8"/>
          <w:sz w:val="22"/>
          <w:szCs w:val="22"/>
        </w:rPr>
        <w:t xml:space="preserve">Four presence levels, including completely off</w:t>
      </w:r>
    </w:p>
    <w:p>
      <w:pPr>
        <w:spacing w:after="120" w:line="276"/>
      </w:pPr>
      <w:r>
        <w:rPr>
          <w:rFonts w:ascii="Calibri" w:cs="Calibri" w:eastAsia="Calibri" w:hAnsi="Calibri"/>
          <w:color w:val="1A1A1A"/>
          <w:sz w:val="21"/>
          <w:szCs w:val="21"/>
        </w:rPr>
        <w:t xml:space="preserve">Full coach, compact card, quiet, or off entirely. Turning MOVA off removes zero capability — the full movement library, every chart, the sedentary timeline, export and team challenges all remain. This is asserted as a build gate, not a promise. And off means off, including for safety messages: a coach that ignores your setting isn’t switched off, it’s just quieter.</w:t>
      </w:r>
    </w:p>
    <w:p>
      <w:pPr>
        <w:pStyle w:val="Heading3"/>
        <w:spacing w:after="50" w:before="220"/>
      </w:pPr>
      <w:r>
        <w:rPr>
          <w:rFonts w:ascii="Calibri" w:cs="Calibri" w:eastAsia="Calibri" w:hAnsi="Calibri"/>
          <w:b/>
          <w:bCs/>
          <w:color w:val="7656E8"/>
          <w:sz w:val="22"/>
          <w:szCs w:val="22"/>
        </w:rPr>
        <w:t xml:space="preserve">One personality, six voices</w:t>
      </w:r>
    </w:p>
    <w:p>
      <w:pPr>
        <w:spacing w:after="120" w:line="276"/>
      </w:pPr>
      <w:r>
        <w:rPr>
          <w:rFonts w:ascii="Calibri" w:cs="Calibri" w:eastAsia="Calibri" w:hAnsi="Calibri"/>
          <w:color w:val="1A1A1A"/>
          <w:sz w:val="21"/>
          <w:szCs w:val="21"/>
        </w:rPr>
        <w:t xml:space="preserve">The same reasoning arrives in six registers derived from age mode. It’s not a tone slider — each register carries different prohibitions. Explorer Mode never says anything evaluative about a body; Teen Mode never uses hype or sounds like a parent; Vitality Mode never uses timers, scores or more than one instruction.</w:t>
      </w:r>
    </w:p>
    <w:p>
      <w:pPr>
        <w:pStyle w:val="Heading3"/>
        <w:spacing w:after="50" w:before="220"/>
      </w:pPr>
      <w:r>
        <w:rPr>
          <w:rFonts w:ascii="Calibri" w:cs="Calibri" w:eastAsia="Calibri" w:hAnsi="Calibri"/>
          <w:b/>
          <w:bCs/>
          <w:color w:val="7656E8"/>
          <w:sz w:val="22"/>
          <w:szCs w:val="22"/>
        </w:rPr>
        <w:t xml:space="preserve">Seven things it refuses, at any price</w:t>
      </w:r>
    </w:p>
    <w:p>
      <w:pPr>
        <w:spacing w:after="120" w:line="276"/>
      </w:pPr>
      <w:r>
        <w:rPr>
          <w:rFonts w:ascii="Calibri" w:cs="Calibri" w:eastAsia="Calibri" w:hAnsi="Calibri"/>
          <w:color w:val="1A1A1A"/>
          <w:sz w:val="21"/>
          <w:szCs w:val="21"/>
        </w:rPr>
        <w:t xml:space="preserve">It won’t diagnose a symptom, invent a movement outside the clinically reviewed library, override a safety block because you insisted, discuss a child’s weight or calories, compare you with another named person, promise a result by a date, or claim to be human. These are refusals, not confidence thresholds — a better model doesn’t unlock them.</w:t>
      </w:r>
    </w:p>
    <w:p>
      <w:pPr>
        <w:pStyle w:val="Heading3"/>
        <w:spacing w:after="50" w:before="220"/>
      </w:pPr>
      <w:r>
        <w:rPr>
          <w:rFonts w:ascii="Calibri" w:cs="Calibri" w:eastAsia="Calibri" w:hAnsi="Calibri"/>
          <w:b/>
          <w:bCs/>
          <w:color w:val="7656E8"/>
          <w:sz w:val="22"/>
          <w:szCs w:val="22"/>
        </w:rPr>
        <w:t xml:space="preserve">Colour is never the only signal</w:t>
      </w:r>
    </w:p>
    <w:p>
      <w:pPr>
        <w:spacing w:after="120" w:line="276"/>
      </w:pPr>
      <w:r>
        <w:rPr>
          <w:rFonts w:ascii="Calibri" w:cs="Calibri" w:eastAsia="Calibri" w:hAnsi="Calibri"/>
          <w:color w:val="1A1A1A"/>
          <w:sz w:val="21"/>
          <w:szCs w:val="21"/>
        </w:rPr>
        <w:t xml:space="preserve">MOVA changes colour with context — teal for movement, orange for food, purple for body reasoning, sky for recovery — and always prints the state name alongside. Somebody who can’t distinguish teal from sky still knows whether they’re being coached or warned.</w:t>
      </w:r>
    </w:p>
    <w:p>
      <w:pPr>
        <w:pStyle w:val="Heading1"/>
        <w:pageBreakBefore/>
        <w:spacing w:after="60" w:before="420"/>
      </w:pPr>
      <w:r>
        <w:rPr>
          <w:rFonts w:ascii="Calibri" w:cs="Calibri" w:eastAsia="Calibri" w:hAnsi="Calibri"/>
          <w:b/>
          <w:bCs/>
          <w:color w:val="102A43"/>
          <w:sz w:val="34"/>
          <w:szCs w:val="34"/>
        </w:rPr>
        <w:t xml:space="preserve">3 · Micro-Movement</w:t>
      </w:r>
    </w:p>
    <w:p>
      <w:pPr>
        <w:pStyle w:val="Heading3"/>
        <w:spacing w:after="50" w:before="220"/>
      </w:pPr>
      <w:r>
        <w:rPr>
          <w:rFonts w:ascii="Calibri" w:cs="Calibri" w:eastAsia="Calibri" w:hAnsi="Calibri"/>
          <w:b/>
          <w:bCs/>
          <w:color w:val="00A99D"/>
          <w:sz w:val="22"/>
          <w:szCs w:val="22"/>
        </w:rPr>
        <w:t xml:space="preserve">90 to 300 seconds, matched to the room you’re actually in</w:t>
      </w:r>
    </w:p>
    <w:p>
      <w:pPr>
        <w:spacing w:after="120" w:line="276"/>
      </w:pPr>
      <w:r>
        <w:rPr>
          <w:rFonts w:ascii="Calibri" w:cs="Calibri" w:eastAsia="Calibri" w:hAnsi="Calibri"/>
          <w:color w:val="1A1A1A"/>
          <w:sz w:val="21"/>
          <w:szCs w:val="21"/>
        </w:rPr>
        <w:t xml:space="preserve">Space, noise level, privacy, footwear, clothing, whether there’s a stable surface to hold, and whether you’re in a moving vehicle. All of it narrows the library before preference is considered. A movement you love that would have you kneeling on an office floor in a suit is not offered, however much you love it.</w:t>
      </w:r>
    </w:p>
    <w:p>
      <w:pPr>
        <w:pStyle w:val="Heading3"/>
        <w:spacing w:after="50" w:before="220"/>
      </w:pPr>
      <w:r>
        <w:rPr>
          <w:rFonts w:ascii="Calibri" w:cs="Calibri" w:eastAsia="Calibri" w:hAnsi="Calibri"/>
          <w:b/>
          <w:bCs/>
          <w:color w:val="00A99D"/>
          <w:sz w:val="22"/>
          <w:szCs w:val="22"/>
        </w:rPr>
        <w:t xml:space="preserve">Yes, footwear</w:t>
      </w:r>
    </w:p>
    <w:p>
      <w:pPr>
        <w:spacing w:after="120" w:line="276"/>
      </w:pPr>
      <w:r>
        <w:rPr>
          <w:rFonts w:ascii="Calibri" w:cs="Calibri" w:eastAsia="Calibri" w:hAnsi="Calibri"/>
          <w:color w:val="1A1A1A"/>
          <w:sz w:val="21"/>
          <w:szCs w:val="21"/>
        </w:rPr>
        <w:t xml:space="preserve">Heels rule out balance work. Socks on a hard floor rule out anything with a pivot. Nobody else asks, and it’s precisely why their suggestions get ignored.</w:t>
      </w:r>
    </w:p>
    <w:p>
      <w:pPr>
        <w:pStyle w:val="Heading3"/>
        <w:spacing w:after="50" w:before="220"/>
      </w:pPr>
      <w:r>
        <w:rPr>
          <w:rFonts w:ascii="Calibri" w:cs="Calibri" w:eastAsia="Calibri" w:hAnsi="Calibri"/>
          <w:b/>
          <w:bCs/>
          <w:color w:val="00A99D"/>
          <w:sz w:val="22"/>
          <w:szCs w:val="22"/>
        </w:rPr>
        <w:t xml:space="preserve">Every refusal names its reason and its unlock</w:t>
      </w:r>
    </w:p>
    <w:p>
      <w:pPr>
        <w:spacing w:after="120" w:line="276"/>
      </w:pPr>
      <w:r>
        <w:rPr>
          <w:rFonts w:ascii="Calibri" w:cs="Calibri" w:eastAsia="Calibri" w:hAnsi="Calibri"/>
          <w:color w:val="1A1A1A"/>
          <w:sz w:val="21"/>
          <w:szCs w:val="21"/>
        </w:rPr>
        <w:t xml:space="preserve">When something isn’t available it doesn’t just disappear — it says which constraint failed (“needs floor space”, “balance work is unsafe in a moving vehicle”) and what would change it (“a counter, a chair back or a wall”). An unexplained refusal is indistinguishable from a bug.</w:t>
      </w:r>
    </w:p>
    <w:p>
      <w:pPr>
        <w:pStyle w:val="Heading3"/>
        <w:spacing w:after="50" w:before="220"/>
      </w:pPr>
      <w:r>
        <w:rPr>
          <w:rFonts w:ascii="Calibri" w:cs="Calibri" w:eastAsia="Calibri" w:hAnsi="Calibri"/>
          <w:b/>
          <w:bCs/>
          <w:color w:val="00A99D"/>
          <w:sz w:val="22"/>
          <w:szCs w:val="22"/>
        </w:rPr>
        <w:t xml:space="preserve">Five variants on every movement, or it doesn’t ship</w:t>
      </w:r>
    </w:p>
    <w:p>
      <w:pPr>
        <w:spacing w:after="120" w:line="276"/>
      </w:pPr>
      <w:r>
        <w:rPr>
          <w:rFonts w:ascii="Calibri" w:cs="Calibri" w:eastAsia="Calibri" w:hAnsi="Calibri"/>
          <w:color w:val="1A1A1A"/>
          <w:sz w:val="21"/>
          <w:szCs w:val="21"/>
        </w:rPr>
        <w:t xml:space="preserve">Standing, seated, chair-supported, bed or recliner, and adaptive single-limb — each independently authored, not degraded from the standing version. A movement missing any of the five stays in draft indefinitely. There is no force-publish flag, no admin bypass and no override role. A competitor with a standing-first library cannot retrofit this.</w:t>
      </w:r>
    </w:p>
    <w:p>
      <w:pPr>
        <w:pStyle w:val="Heading3"/>
        <w:spacing w:after="50" w:before="220"/>
      </w:pPr>
      <w:r>
        <w:rPr>
          <w:rFonts w:ascii="Calibri" w:cs="Calibri" w:eastAsia="Calibri" w:hAnsi="Calibri"/>
          <w:b/>
          <w:bCs/>
          <w:color w:val="00A99D"/>
          <w:sz w:val="22"/>
          <w:szCs w:val="22"/>
        </w:rPr>
        <w:t xml:space="preserve">The support ladder is a one-way function</w:t>
      </w:r>
    </w:p>
    <w:p>
      <w:pPr>
        <w:spacing w:after="120" w:line="276"/>
      </w:pPr>
      <w:r>
        <w:rPr>
          <w:rFonts w:ascii="Calibri" w:cs="Calibri" w:eastAsia="Calibri" w:hAnsi="Calibri"/>
          <w:color w:val="1A1A1A"/>
          <w:sz w:val="21"/>
          <w:szCs w:val="21"/>
        </w:rPr>
        <w:t xml:space="preserve">Variant selection can only move down toward more support, never up. An easier variant is always safe to substitute; a harder one never is. A reported flare-up drops to the gentlest variant automatically. In Vitality Mode, standing work is disabled unless a clinician has cleared it.</w:t>
      </w:r>
    </w:p>
    <w:p>
      <w:pPr>
        <w:pStyle w:val="Heading3"/>
        <w:spacing w:after="50" w:before="220"/>
      </w:pPr>
      <w:r>
        <w:rPr>
          <w:rFonts w:ascii="Calibri" w:cs="Calibri" w:eastAsia="Calibri" w:hAnsi="Calibri"/>
          <w:b/>
          <w:bCs/>
          <w:color w:val="00A99D"/>
          <w:sz w:val="22"/>
          <w:szCs w:val="22"/>
        </w:rPr>
        <w:t xml:space="preserve">The dose gets smaller when you’re struggling</w:t>
      </w:r>
    </w:p>
    <w:p>
      <w:pPr>
        <w:spacing w:after="120" w:line="276"/>
      </w:pPr>
      <w:r>
        <w:rPr>
          <w:rFonts w:ascii="Calibri" w:cs="Calibri" w:eastAsia="Calibri" w:hAnsi="Calibri"/>
          <w:color w:val="1A1A1A"/>
          <w:sz w:val="21"/>
          <w:szCs w:val="21"/>
        </w:rPr>
        <w:t xml:space="preserve">The engine prescribes the largest dose you’ll actually complete, not the optimal one, and escalates by at most 7% a week. When completion slips below 60%, the ask goes down — not louder. That single decision is what separates this from every plan somebody has already abandoned.</w:t>
      </w:r>
    </w:p>
    <w:p>
      <w:pPr>
        <w:pStyle w:val="Heading3"/>
        <w:spacing w:after="50" w:before="220"/>
      </w:pPr>
      <w:r>
        <w:rPr>
          <w:rFonts w:ascii="Calibri" w:cs="Calibri" w:eastAsia="Calibri" w:hAnsi="Calibri"/>
          <w:b/>
          <w:bCs/>
          <w:color w:val="00A99D"/>
          <w:sz w:val="22"/>
          <w:szCs w:val="22"/>
        </w:rPr>
        <w:t xml:space="preserve">Variety is enforced</w:t>
      </w:r>
    </w:p>
    <w:p>
      <w:pPr>
        <w:spacing w:after="120" w:line="276"/>
      </w:pPr>
      <w:r>
        <w:rPr>
          <w:rFonts w:ascii="Calibri" w:cs="Calibri" w:eastAsia="Calibri" w:hAnsi="Calibri"/>
          <w:color w:val="1A1A1A"/>
          <w:sz w:val="21"/>
          <w:szCs w:val="21"/>
        </w:rPr>
        <w:t xml:space="preserve">A movement offered in the last 20 hours is suppressed even when it scores best, and two from the same category in one day is the ceiling. Boredom is the quiet killer in this category.</w:t>
      </w:r>
    </w:p>
    <w:p>
      <w:pPr>
        <w:pStyle w:val="Heading3"/>
        <w:spacing w:after="50" w:before="220"/>
      </w:pPr>
      <w:r>
        <w:rPr>
          <w:rFonts w:ascii="Calibri" w:cs="Calibri" w:eastAsia="Calibri" w:hAnsi="Calibri"/>
          <w:b/>
          <w:bCs/>
          <w:color w:val="00A99D"/>
          <w:sz w:val="22"/>
          <w:szCs w:val="22"/>
        </w:rPr>
        <w:t xml:space="preserve">180 authored cue sets per movement</w:t>
      </w:r>
    </w:p>
    <w:p>
      <w:pPr>
        <w:spacing w:after="120" w:line="276"/>
      </w:pPr>
      <w:r>
        <w:rPr>
          <w:rFonts w:ascii="Calibri" w:cs="Calibri" w:eastAsia="Calibri" w:hAnsi="Calibri"/>
          <w:color w:val="1A1A1A"/>
          <w:sz w:val="21"/>
          <w:szCs w:val="21"/>
        </w:rPr>
        <w:t xml:space="preserve">Five variants × six age modes × six cue channels (text, audio, captioned video, haptic, voice-only). Every movement also carries ten governance fields — contraindications, accessibility alternatives, balance demand, clinical review status, version history — before it can exist.</w:t>
      </w:r>
    </w:p>
    <w:p>
      <w:pPr>
        <w:pStyle w:val="Heading1"/>
        <w:pageBreakBefore/>
        <w:spacing w:after="60" w:before="420"/>
      </w:pPr>
      <w:r>
        <w:rPr>
          <w:rFonts w:ascii="Calibri" w:cs="Calibri" w:eastAsia="Calibri" w:hAnsi="Calibri"/>
          <w:b/>
          <w:bCs/>
          <w:color w:val="102A43"/>
          <w:sz w:val="34"/>
          <w:szCs w:val="34"/>
        </w:rPr>
        <w:t xml:space="preserve">4 · FoodLens 360°</w:t>
      </w:r>
    </w:p>
    <w:p>
      <w:pPr>
        <w:pStyle w:val="Heading3"/>
        <w:spacing w:after="50" w:before="220"/>
      </w:pPr>
      <w:r>
        <w:rPr>
          <w:rFonts w:ascii="Calibri" w:cs="Calibri" w:eastAsia="Calibri" w:hAnsi="Calibri"/>
          <w:b/>
          <w:bCs/>
          <w:color w:val="C97A1E"/>
          <w:sz w:val="22"/>
          <w:szCs w:val="22"/>
        </w:rPr>
        <w:t xml:space="preserve">Photograph a meal, get an honest answer</w:t>
      </w:r>
    </w:p>
    <w:p>
      <w:pPr>
        <w:spacing w:after="120" w:line="276"/>
      </w:pPr>
      <w:r>
        <w:rPr>
          <w:rFonts w:ascii="Calibri" w:cs="Calibri" w:eastAsia="Calibri" w:hAnsi="Calibri"/>
          <w:color w:val="1A1A1A"/>
          <w:sz w:val="21"/>
          <w:szCs w:val="21"/>
        </w:rPr>
        <w:t xml:space="preserve">A photograph cannot resolve portion size, hidden oil or cooking method exactly. So FoodLens returns a range, its evidence source and a confidence level — and refuses to collapse that range unless the source is verified. Everyone else invents a tidy number; this is the one that tells you what the picture couldn’t see.</w:t>
      </w:r>
    </w:p>
    <w:p>
      <w:pPr>
        <w:pStyle w:val="Heading3"/>
        <w:spacing w:after="50" w:before="220"/>
      </w:pPr>
      <w:r>
        <w:rPr>
          <w:rFonts w:ascii="Calibri" w:cs="Calibri" w:eastAsia="Calibri" w:hAnsi="Calibri"/>
          <w:b/>
          <w:bCs/>
          <w:color w:val="C97A1E"/>
          <w:sz w:val="22"/>
          <w:szCs w:val="22"/>
        </w:rPr>
        <w:t xml:space="preserve">Six live capture checks before the shutter</w:t>
      </w:r>
    </w:p>
    <w:p>
      <w:pPr>
        <w:spacing w:after="120" w:line="276"/>
      </w:pPr>
      <w:r>
        <w:rPr>
          <w:rFonts w:ascii="Calibri" w:cs="Calibri" w:eastAsia="Calibri" w:hAnsi="Calibri"/>
          <w:color w:val="1A1A1A"/>
          <w:sz w:val="21"/>
          <w:szCs w:val="21"/>
        </w:rPr>
        <w:t xml:space="preserve">Plate detected, lighting quality, item borders, barcode present, second-angle guidance, and whether a reference object is in frame. Each check that passes narrows the estimate — a fork for scale and a side-on photo are worth more than any amount of model confidence. The app asks rather than guessing.</w:t>
      </w:r>
    </w:p>
    <w:p>
      <w:pPr>
        <w:pStyle w:val="Heading3"/>
        <w:spacing w:after="50" w:before="220"/>
      </w:pPr>
      <w:r>
        <w:rPr>
          <w:rFonts w:ascii="Calibri" w:cs="Calibri" w:eastAsia="Calibri" w:hAnsi="Calibri"/>
          <w:b/>
          <w:bCs/>
          <w:color w:val="C97A1E"/>
          <w:sz w:val="22"/>
          <w:szCs w:val="22"/>
        </w:rPr>
        <w:t xml:space="preserve">The processing is visible while it runs</w:t>
      </w:r>
    </w:p>
    <w:p>
      <w:pPr>
        <w:spacing w:after="120" w:line="276"/>
      </w:pPr>
      <w:r>
        <w:rPr>
          <w:rFonts w:ascii="Calibri" w:cs="Calibri" w:eastAsia="Calibri" w:hAnsi="Calibri"/>
          <w:color w:val="1A1A1A"/>
          <w:sz w:val="21"/>
          <w:szCs w:val="21"/>
        </w:rPr>
        <w:t xml:space="preserve">Finding foods, estimating portions, checking preparation, calculating nutrition, comparing with your pattern, creating alternatives. Six steps, shown, because each one is a place the answer could go wrong and you deserve to know which produced your number.</w:t>
      </w:r>
    </w:p>
    <w:p>
      <w:pPr>
        <w:pStyle w:val="Heading3"/>
        <w:spacing w:after="50" w:before="220"/>
      </w:pPr>
      <w:r>
        <w:rPr>
          <w:rFonts w:ascii="Calibri" w:cs="Calibri" w:eastAsia="Calibri" w:hAnsi="Calibri"/>
          <w:b/>
          <w:bCs/>
          <w:color w:val="C97A1E"/>
          <w:sz w:val="22"/>
          <w:szCs w:val="22"/>
        </w:rPr>
        <w:t xml:space="preserve">Meal Intelligence — a score for the analysis, not the food</w:t>
      </w:r>
    </w:p>
    <w:p>
      <w:pPr>
        <w:spacing w:after="120" w:line="276"/>
      </w:pPr>
      <w:r>
        <w:rPr>
          <w:rFonts w:ascii="Calibri" w:cs="Calibri" w:eastAsia="Calibri" w:hAnsi="Calibri"/>
          <w:color w:val="1A1A1A"/>
          <w:sz w:val="21"/>
          <w:szCs w:val="21"/>
        </w:rPr>
        <w:t xml:space="preserve">A 0–100 figure for how much the system actually knows about this plate. A barcode-scanned takeaway with a confirmed portion scores high; a home-cooked salad photographed in bad light scores low. It tells you how much to trust the numbers underneath — and it never rates how good the food is.</w:t>
      </w:r>
    </w:p>
    <w:p>
      <w:pPr>
        <w:pStyle w:val="Heading3"/>
        <w:spacing w:after="50" w:before="220"/>
      </w:pPr>
      <w:r>
        <w:rPr>
          <w:rFonts w:ascii="Calibri" w:cs="Calibri" w:eastAsia="Calibri" w:hAnsi="Calibri"/>
          <w:b/>
          <w:bCs/>
          <w:color w:val="C97A1E"/>
          <w:sz w:val="22"/>
          <w:szCs w:val="22"/>
        </w:rPr>
        <w:t xml:space="preserve">Twelve dimensions, no composite health score</w:t>
      </w:r>
    </w:p>
    <w:p>
      <w:pPr>
        <w:spacing w:after="120" w:line="276"/>
      </w:pPr>
      <w:r>
        <w:rPr>
          <w:rFonts w:ascii="Calibri" w:cs="Calibri" w:eastAsia="Calibri" w:hAnsi="Calibri"/>
          <w:color w:val="1A1A1A"/>
          <w:sz w:val="21"/>
          <w:szCs w:val="21"/>
        </w:rPr>
        <w:t xml:space="preserve">Energy, protein, fibre, plant diversity, fat quality, sugars, salt, processing, portion, personal fit, allergen confidence and the estimate’s own confidence. There is deliberately no single “healthy” rating, because one number invites the comparison this product refuses to make.</w:t>
      </w:r>
    </w:p>
    <w:p>
      <w:pPr>
        <w:pStyle w:val="Heading3"/>
        <w:spacing w:after="50" w:before="220"/>
      </w:pPr>
      <w:r>
        <w:rPr>
          <w:rFonts w:ascii="Calibri" w:cs="Calibri" w:eastAsia="Calibri" w:hAnsi="Calibri"/>
          <w:b/>
          <w:bCs/>
          <w:color w:val="C97A1E"/>
          <w:sz w:val="22"/>
          <w:szCs w:val="22"/>
        </w:rPr>
        <w:t xml:space="preserve">UK front-of-pack traffic lights, with the word printed</w:t>
      </w:r>
    </w:p>
    <w:p>
      <w:pPr>
        <w:spacing w:after="120" w:line="276"/>
      </w:pPr>
      <w:r>
        <w:rPr>
          <w:rFonts w:ascii="Calibri" w:cs="Calibri" w:eastAsia="Calibri" w:hAnsi="Calibri"/>
          <w:color w:val="1A1A1A"/>
          <w:sz w:val="21"/>
          <w:szCs w:val="21"/>
        </w:rPr>
        <w:t xml:space="preserve">Fat, saturates, sugars and salt at the published per-100g thresholds — and each band prints “Low”, “Medium” or “High” beside the colour, because colour alone is not an accessible signal.</w:t>
      </w:r>
    </w:p>
    <w:p>
      <w:pPr>
        <w:pStyle w:val="Heading3"/>
        <w:spacing w:after="50" w:before="220"/>
      </w:pPr>
      <w:r>
        <w:rPr>
          <w:rFonts w:ascii="Calibri" w:cs="Calibri" w:eastAsia="Calibri" w:hAnsi="Calibri"/>
          <w:b/>
          <w:bCs/>
          <w:color w:val="C97A1E"/>
          <w:sz w:val="22"/>
          <w:szCs w:val="22"/>
        </w:rPr>
        <w:t xml:space="preserve">The macros are checked, not trusted</w:t>
      </w:r>
    </w:p>
    <w:p>
      <w:pPr>
        <w:spacing w:after="120" w:line="276"/>
      </w:pPr>
      <w:r>
        <w:rPr>
          <w:rFonts w:ascii="Calibri" w:cs="Calibri" w:eastAsia="Calibri" w:hAnsi="Calibri"/>
          <w:color w:val="1A1A1A"/>
          <w:sz w:val="21"/>
          <w:szCs w:val="21"/>
        </w:rPr>
        <w:t xml:space="preserve">An Atwater cross-check compares the stated energy against protein, carbohydrate and fat. When they disagree by more than 12%, the range widens rather than one side being picked.</w:t>
      </w:r>
    </w:p>
    <w:p>
      <w:pPr>
        <w:pStyle w:val="Heading3"/>
        <w:spacing w:after="50" w:before="220"/>
      </w:pPr>
      <w:r>
        <w:rPr>
          <w:rFonts w:ascii="Calibri" w:cs="Calibri" w:eastAsia="Calibri" w:hAnsi="Calibri"/>
          <w:b/>
          <w:bCs/>
          <w:color w:val="C83B46"/>
          <w:sz w:val="22"/>
          <w:szCs w:val="22"/>
        </w:rPr>
        <w:t xml:space="preserve">All 14 UK allergens — and absence is never inferred</w:t>
      </w:r>
    </w:p>
    <w:p>
      <w:pPr>
        <w:spacing w:after="120" w:line="276"/>
      </w:pPr>
      <w:r>
        <w:rPr>
          <w:rFonts w:ascii="Calibri" w:cs="Calibri" w:eastAsia="Calibri" w:hAnsi="Calibri"/>
          <w:color w:val="1A1A1A"/>
          <w:sz w:val="21"/>
          <w:szCs w:val="21"/>
        </w:rPr>
        <w:t xml:space="preserve">A model can be extremely confident there are no peanuts in a photograph and be wrong in a way that puts somebody in hospital. Only a complete declaration from a verifiable source may say “absent”. Everything else is unknown, displayed as a warning rather than a pass.</w:t>
      </w:r>
    </w:p>
    <w:p>
      <w:pPr>
        <w:pStyle w:val="Heading3"/>
        <w:spacing w:after="50" w:before="220"/>
      </w:pPr>
      <w:r>
        <w:rPr>
          <w:rFonts w:ascii="Calibri" w:cs="Calibri" w:eastAsia="Calibri" w:hAnsi="Calibri"/>
          <w:b/>
          <w:bCs/>
          <w:color w:val="C97A1E"/>
          <w:sz w:val="22"/>
          <w:szCs w:val="22"/>
        </w:rPr>
        <w:t xml:space="preserve">The swap ladder starts with the smallest change</w:t>
      </w:r>
    </w:p>
    <w:p>
      <w:pPr>
        <w:spacing w:after="120" w:line="276"/>
      </w:pPr>
      <w:r>
        <w:rPr>
          <w:rFonts w:ascii="Calibri" w:cs="Calibri" w:eastAsia="Calibri" w:hAnsi="Calibri"/>
          <w:color w:val="1A1A1A"/>
          <w:sz w:val="21"/>
          <w:szCs w:val="21"/>
        </w:rPr>
        <w:t xml:space="preserve">Level 1 keeps the meal and reduces one element. “Choose something else” is level 5, a last resort. Every swap respects culture, budget, local availability, allergies, religion, cooking skill, family size, preparation time and supermarket access. And a simulated swap carries extra uncertainty, because a meal you haven’t eaten can’t be known as well as one you photographed.</w:t>
      </w:r>
    </w:p>
    <w:p>
      <w:pPr>
        <w:pStyle w:val="Heading3"/>
        <w:spacing w:after="50" w:before="220"/>
      </w:pPr>
      <w:r>
        <w:rPr>
          <w:rFonts w:ascii="Calibri" w:cs="Calibri" w:eastAsia="Calibri" w:hAnsi="Calibri"/>
          <w:b/>
          <w:bCs/>
          <w:color w:val="C97A1E"/>
          <w:sz w:val="22"/>
          <w:szCs w:val="22"/>
        </w:rPr>
        <w:t xml:space="preserve">Compared with your own fortnight, never with other people</w:t>
      </w:r>
    </w:p>
    <w:p>
      <w:pPr>
        <w:spacing w:after="120" w:line="276"/>
      </w:pPr>
      <w:r>
        <w:rPr>
          <w:rFonts w:ascii="Calibri" w:cs="Calibri" w:eastAsia="Calibri" w:hAnsi="Calibri"/>
          <w:color w:val="1A1A1A"/>
          <w:sz w:val="21"/>
          <w:szCs w:val="21"/>
        </w:rPr>
        <w:t xml:space="preserve">No cohort comparison, no percentile against other users. That would be a leaderboard about food. The only useful baseline is the one you set yourself.</w:t>
      </w:r>
    </w:p>
    <w:p>
      <w:pPr>
        <w:pStyle w:val="Heading3"/>
        <w:spacing w:after="50" w:before="220"/>
      </w:pPr>
      <w:r>
        <w:rPr>
          <w:rFonts w:ascii="Calibri" w:cs="Calibri" w:eastAsia="Calibri" w:hAnsi="Calibri"/>
          <w:b/>
          <w:bCs/>
          <w:color w:val="C97A1E"/>
          <w:sz w:val="22"/>
          <w:szCs w:val="22"/>
        </w:rPr>
        <w:t xml:space="preserve">Plant diversity as a count, not a target you’re failing</w:t>
      </w:r>
    </w:p>
    <w:p>
      <w:pPr>
        <w:spacing w:after="120" w:line="276"/>
      </w:pPr>
      <w:r>
        <w:rPr>
          <w:rFonts w:ascii="Calibri" w:cs="Calibri" w:eastAsia="Calibri" w:hAnsi="Calibri"/>
          <w:color w:val="1A1A1A"/>
          <w:sz w:val="21"/>
          <w:szCs w:val="21"/>
        </w:rPr>
        <w:t xml:space="preserve">Distinct plants across a rolling week, with new ones named. The empty slots are drawn faintly and carry no red, because an unfinished week is not a bad one.</w:t>
      </w:r>
    </w:p>
    <w:p>
      <w:pPr>
        <w:pStyle w:val="Heading3"/>
        <w:spacing w:after="50" w:before="220"/>
      </w:pPr>
      <w:r>
        <w:rPr>
          <w:rFonts w:ascii="Calibri" w:cs="Calibri" w:eastAsia="Calibri" w:hAnsi="Calibri"/>
          <w:b/>
          <w:bCs/>
          <w:color w:val="C97A1E"/>
          <w:sz w:val="22"/>
          <w:szCs w:val="22"/>
        </w:rPr>
        <w:t xml:space="preserve">Movement is never framed as cancelling out food</w:t>
      </w:r>
    </w:p>
    <w:p>
      <w:pPr>
        <w:spacing w:after="120" w:line="276"/>
      </w:pPr>
      <w:r>
        <w:rPr>
          <w:rFonts w:ascii="Calibri" w:cs="Calibri" w:eastAsia="Calibri" w:hAnsi="Calibri"/>
          <w:color w:val="1A1A1A"/>
          <w:sz w:val="21"/>
          <w:szCs w:val="21"/>
        </w:rPr>
        <w:t xml:space="preserve">Permitted: “A short walk may support your movement target and break up sitting after the meal.” Forbidden: “Walk 20 minutes to burn off the burger.” The distinction is enforced in code.</w:t>
      </w:r>
    </w:p>
    <w:p>
      <w:pPr>
        <w:pStyle w:val="Heading1"/>
        <w:pageBreakBefore/>
        <w:spacing w:after="60" w:before="420"/>
      </w:pPr>
      <w:r>
        <w:rPr>
          <w:rFonts w:ascii="Calibri" w:cs="Calibri" w:eastAsia="Calibri" w:hAnsi="Calibri"/>
          <w:b/>
          <w:bCs/>
          <w:color w:val="102A43"/>
          <w:sz w:val="34"/>
          <w:szCs w:val="34"/>
        </w:rPr>
        <w:t xml:space="preserve">5 · BodyCommand — body balance</w:t>
      </w:r>
    </w:p>
    <w:p>
      <w:pPr>
        <w:pStyle w:val="Heading3"/>
        <w:spacing w:after="50" w:before="220"/>
      </w:pPr>
      <w:r>
        <w:rPr>
          <w:rFonts w:ascii="Calibri" w:cs="Calibri" w:eastAsia="Calibri" w:hAnsi="Calibri"/>
          <w:b/>
          <w:bCs/>
          <w:color w:val="D84F9A"/>
          <w:sz w:val="22"/>
          <w:szCs w:val="22"/>
        </w:rPr>
        <w:t xml:space="preserve">Nine pathways, of which weight reduction is one</w:t>
      </w:r>
    </w:p>
    <w:p>
      <w:pPr>
        <w:spacing w:after="120" w:line="276"/>
      </w:pPr>
      <w:r>
        <w:rPr>
          <w:rFonts w:ascii="Calibri" w:cs="Calibri" w:eastAsia="Calibri" w:hAnsi="Calibri"/>
          <w:color w:val="1A1A1A"/>
          <w:sz w:val="21"/>
          <w:szCs w:val="21"/>
        </w:rPr>
        <w:t xml:space="preserve">Reduce, Waist, Maintain, Strength Recomposition, Gain Safely, Child Growth, Older-Adult Independence, Limited Mobility, and Professional Support. The system never assumes a lower number is better. You choose the pathway, you can change it whenever you like, and you can switch the whole surface off without losing anything else in the product.</w:t>
      </w:r>
    </w:p>
    <w:p>
      <w:pPr>
        <w:pStyle w:val="Heading3"/>
        <w:spacing w:after="50" w:before="220"/>
      </w:pPr>
      <w:r>
        <w:rPr>
          <w:rFonts w:ascii="Calibri" w:cs="Calibri" w:eastAsia="Calibri" w:hAnsi="Calibri"/>
          <w:b/>
          <w:bCs/>
          <w:color w:val="D84F9A"/>
          <w:sz w:val="22"/>
          <w:szCs w:val="22"/>
        </w:rPr>
        <w:t xml:space="preserve">Trajectory with honest uncertainty</w:t>
      </w:r>
    </w:p>
    <w:p>
      <w:pPr>
        <w:spacing w:after="120" w:line="276"/>
      </w:pPr>
      <w:r>
        <w:rPr>
          <w:rFonts w:ascii="Calibri" w:cs="Calibri" w:eastAsia="Calibri" w:hAnsi="Calibri"/>
          <w:color w:val="1A1A1A"/>
          <w:sz w:val="21"/>
          <w:szCs w:val="21"/>
        </w:rPr>
        <w:t xml:space="preserve">Projections are drawn as a widening cone, not a confident line — because the further out you look, the less anyone can honestly say. A single line would be a promise nobody can keep.</w:t>
      </w:r>
    </w:p>
    <w:p>
      <w:pPr>
        <w:pStyle w:val="Heading3"/>
        <w:spacing w:after="50" w:before="220"/>
      </w:pPr>
      <w:r>
        <w:rPr>
          <w:rFonts w:ascii="Calibri" w:cs="Calibri" w:eastAsia="Calibri" w:hAnsi="Calibri"/>
          <w:b/>
          <w:bCs/>
          <w:color w:val="D84F9A"/>
          <w:sz w:val="22"/>
          <w:szCs w:val="22"/>
        </w:rPr>
        <w:t xml:space="preserve">Your strongest current blocker, and the minimum effective change</w:t>
      </w:r>
    </w:p>
    <w:p>
      <w:pPr>
        <w:spacing w:after="120" w:line="276"/>
      </w:pPr>
      <w:r>
        <w:rPr>
          <w:rFonts w:ascii="Calibri" w:cs="Calibri" w:eastAsia="Calibri" w:hAnsi="Calibri"/>
          <w:color w:val="1A1A1A"/>
          <w:sz w:val="21"/>
          <w:szCs w:val="21"/>
        </w:rPr>
        <w:t xml:space="preserve">A behaviour waterfall shows what’s helping and what’s holding you back, then names the one smallest change that would move it. Not a twelve-point plan — one thing, chosen because it’s the highest-leverage thing available to you this week.</w:t>
      </w:r>
    </w:p>
    <w:p>
      <w:pPr>
        <w:pStyle w:val="Heading3"/>
        <w:spacing w:after="50" w:before="220"/>
      </w:pPr>
      <w:r>
        <w:rPr>
          <w:rFonts w:ascii="Calibri" w:cs="Calibri" w:eastAsia="Calibri" w:hAnsi="Calibri"/>
          <w:b/>
          <w:bCs/>
          <w:color w:val="C83B46"/>
          <w:sz w:val="22"/>
          <w:szCs w:val="22"/>
        </w:rPr>
        <w:t xml:space="preserve">Safety can only narrow, never widen</w:t>
      </w:r>
    </w:p>
    <w:p>
      <w:pPr>
        <w:spacing w:after="120" w:line="276"/>
      </w:pPr>
      <w:r>
        <w:rPr>
          <w:rFonts w:ascii="Calibri" w:cs="Calibri" w:eastAsia="Calibri" w:hAnsi="Calibri"/>
          <w:color w:val="1A1A1A"/>
          <w:sz w:val="21"/>
          <w:szCs w:val="21"/>
        </w:rPr>
        <w:t xml:space="preserve">Under 18 forces the growth pathway with automation off. Pregnancy or eating-disorder indicators block automation entirely and route to professional support. In the ranking formula, safety is a multiplier rather than a weighted term, so it cannot be outvoted by a high score elsewhere.</w:t>
      </w:r>
    </w:p>
    <w:p>
      <w:pPr>
        <w:pStyle w:val="Heading3"/>
        <w:spacing w:after="50" w:before="220"/>
      </w:pPr>
      <w:r>
        <w:rPr>
          <w:rFonts w:ascii="Calibri" w:cs="Calibri" w:eastAsia="Calibri" w:hAnsi="Calibri"/>
          <w:b/>
          <w:bCs/>
          <w:color w:val="C83B46"/>
          <w:sz w:val="22"/>
          <w:szCs w:val="22"/>
        </w:rPr>
        <w:t xml:space="preserve">The absolute under-18 rule</w:t>
      </w:r>
    </w:p>
    <w:p>
      <w:pPr>
        <w:spacing w:after="120" w:line="276"/>
      </w:pPr>
      <w:r>
        <w:rPr>
          <w:rFonts w:ascii="Calibri" w:cs="Calibri" w:eastAsia="Calibri" w:hAnsi="Calibri"/>
          <w:color w:val="1A1A1A"/>
          <w:sz w:val="21"/>
          <w:szCs w:val="21"/>
        </w:rPr>
        <w:t xml:space="preserve">No weight, BMI, calorie or appearance framing is ever shown to a person under 18, in any mode, under any consent setting. The consent switch is not consulted below 18 — there is no setting that turns it on. Growth, energy, confidence and routine are the frame instead.</w:t>
      </w:r>
    </w:p>
    <w:p>
      <w:pPr>
        <w:pStyle w:val="Heading1"/>
        <w:pageBreakBefore/>
        <w:spacing w:after="60" w:before="420"/>
      </w:pPr>
      <w:r>
        <w:rPr>
          <w:rFonts w:ascii="Calibri" w:cs="Calibri" w:eastAsia="Calibri" w:hAnsi="Calibri"/>
          <w:b/>
          <w:bCs/>
          <w:color w:val="102A43"/>
          <w:sz w:val="34"/>
          <w:szCs w:val="34"/>
        </w:rPr>
        <w:t xml:space="preserve">6 · Challenges and team competition</w:t>
      </w:r>
    </w:p>
    <w:p>
      <w:pPr>
        <w:pStyle w:val="Heading3"/>
        <w:spacing w:after="50" w:before="220"/>
      </w:pPr>
      <w:r>
        <w:rPr>
          <w:rFonts w:ascii="Calibri" w:cs="Calibri" w:eastAsia="Calibri" w:hAnsi="Calibri"/>
          <w:b/>
          <w:bCs/>
          <w:color w:val="6E8F0F"/>
          <w:sz w:val="22"/>
          <w:szCs w:val="22"/>
        </w:rPr>
        <w:t xml:space="preserve">The fittest person in the room can’t win it alone</w:t>
      </w:r>
    </w:p>
    <w:p>
      <w:pPr>
        <w:spacing w:after="120" w:line="276"/>
      </w:pPr>
      <w:r>
        <w:rPr>
          <w:rFonts w:ascii="Calibri" w:cs="Calibri" w:eastAsia="Calibri" w:hAnsi="Calibri"/>
          <w:color w:val="1A1A1A"/>
          <w:sz w:val="21"/>
          <w:szCs w:val="21"/>
        </w:rPr>
        <w:t xml:space="preserve">Team Score is participation (35%), consistency (25%), improvement against your own baseline (25%) and mutual support (15%). Capability isn’t weighted down — it is absent from the formula. A ten-year-old, a wheelchair user and an eighty-eight-year-old contribute on exactly the same four terms as a marathon runner.</w:t>
      </w:r>
    </w:p>
    <w:p>
      <w:pPr>
        <w:pStyle w:val="Heading3"/>
        <w:spacing w:after="50" w:before="220"/>
      </w:pPr>
      <w:r>
        <w:rPr>
          <w:rFonts w:ascii="Calibri" w:cs="Calibri" w:eastAsia="Calibri" w:hAnsi="Calibri"/>
          <w:b/>
          <w:bCs/>
          <w:color w:val="6E8F0F"/>
          <w:sz w:val="22"/>
          <w:szCs w:val="22"/>
        </w:rPr>
        <w:t xml:space="preserve">Output metrics are rejected at the boundary</w:t>
      </w:r>
    </w:p>
    <w:p>
      <w:pPr>
        <w:spacing w:after="120" w:line="276"/>
      </w:pPr>
      <w:r>
        <w:rPr>
          <w:rFonts w:ascii="Calibri" w:cs="Calibri" w:eastAsia="Calibri" w:hAnsi="Calibri"/>
          <w:color w:val="1A1A1A"/>
          <w:sz w:val="21"/>
          <w:szCs w:val="21"/>
        </w:rPr>
        <w:t xml:space="preserve">Steps, distance, pace, VO2 max, calories, weight, BMI, heart rate, watts, reps, load and personal bests — fourteen field names refused outright, matched by substring so “weeklySteps” is caught as readily as “steps”. A well-meaning integration cannot quietly reintroduce a fitness leaderboard.</w:t>
      </w:r>
    </w:p>
    <w:p>
      <w:pPr>
        <w:pStyle w:val="Heading3"/>
        <w:spacing w:after="50" w:before="220"/>
      </w:pPr>
      <w:r>
        <w:rPr>
          <w:rFonts w:ascii="Calibri" w:cs="Calibri" w:eastAsia="Calibri" w:hAnsi="Calibri"/>
          <w:b/>
          <w:bCs/>
          <w:color w:val="6E8F0F"/>
          <w:sz w:val="22"/>
          <w:szCs w:val="22"/>
        </w:rPr>
        <w:t xml:space="preserve">A contribution ceiling stops domination</w:t>
      </w:r>
    </w:p>
    <w:p>
      <w:pPr>
        <w:spacing w:after="120" w:line="276"/>
      </w:pPr>
      <w:r>
        <w:rPr>
          <w:rFonts w:ascii="Calibri" w:cs="Calibri" w:eastAsia="Calibri" w:hAnsi="Calibri"/>
          <w:color w:val="1A1A1A"/>
          <w:sz w:val="21"/>
          <w:szCs w:val="21"/>
        </w:rPr>
        <w:t xml:space="preserve">No individual may supply more than 18% of a team’s total. In the engine’s own numbers, three genuinely exceptional athletes score 34; twelve ordinary people doing two minutes most days score 82.</w:t>
      </w:r>
    </w:p>
    <w:p>
      <w:pPr>
        <w:pStyle w:val="Heading3"/>
        <w:spacing w:after="50" w:before="220"/>
      </w:pPr>
      <w:r>
        <w:rPr>
          <w:rFonts w:ascii="Calibri" w:cs="Calibri" w:eastAsia="Calibri" w:hAnsi="Calibri"/>
          <w:b/>
          <w:bCs/>
          <w:color w:val="6E8F0F"/>
          <w:sz w:val="22"/>
          <w:szCs w:val="22"/>
        </w:rPr>
        <w:t xml:space="preserve">A challenge no median team can win is not shipped</w:t>
      </w:r>
    </w:p>
    <w:p>
      <w:pPr>
        <w:spacing w:after="120" w:line="276"/>
      </w:pPr>
      <w:r>
        <w:rPr>
          <w:rFonts w:ascii="Calibri" w:cs="Calibri" w:eastAsia="Calibri" w:hAnsi="Calibri"/>
          <w:color w:val="1A1A1A"/>
          <w:sz w:val="21"/>
          <w:szCs w:val="21"/>
        </w:rPr>
        <w:t xml:space="preserve">Every challenge is simulated against a team of entirely median people before release. If they can’t reach the target, it doesn’t launch.</w:t>
      </w:r>
    </w:p>
    <w:p>
      <w:pPr>
        <w:pStyle w:val="Heading3"/>
        <w:spacing w:after="50" w:before="220"/>
      </w:pPr>
      <w:r>
        <w:rPr>
          <w:rFonts w:ascii="Calibri" w:cs="Calibri" w:eastAsia="Calibri" w:hAnsi="Calibri"/>
          <w:b/>
          <w:bCs/>
          <w:color w:val="6E8F0F"/>
          <w:sz w:val="22"/>
          <w:szCs w:val="22"/>
        </w:rPr>
        <w:t xml:space="preserve">Nobody is ever shown their position from the bottom</w:t>
      </w:r>
    </w:p>
    <w:p>
      <w:pPr>
        <w:spacing w:after="120" w:line="276"/>
      </w:pPr>
      <w:r>
        <w:rPr>
          <w:rFonts w:ascii="Calibri" w:cs="Calibri" w:eastAsia="Calibri" w:hAnsi="Calibri"/>
          <w:color w:val="1A1A1A"/>
          <w:sz w:val="21"/>
          <w:szCs w:val="21"/>
        </w:rPr>
        <w:t xml:space="preserve">Below-median positions are not rendered at all, for anyone. Team standing is visible; individual ranking within it is not. No leaderboard is ever built on weight or appearance, and there are no open leaderboards at all in Explorer or Teen Mode.</w:t>
      </w:r>
    </w:p>
    <w:p>
      <w:pPr>
        <w:pStyle w:val="Heading3"/>
        <w:spacing w:after="50" w:before="220"/>
      </w:pPr>
      <w:r>
        <w:rPr>
          <w:rFonts w:ascii="Calibri" w:cs="Calibri" w:eastAsia="Calibri" w:hAnsi="Calibri"/>
          <w:b/>
          <w:bCs/>
          <w:color w:val="6E8F0F"/>
          <w:sz w:val="22"/>
          <w:szCs w:val="22"/>
        </w:rPr>
        <w:t xml:space="preserve">Stepping out costs your team nothing</w:t>
      </w:r>
    </w:p>
    <w:p>
      <w:pPr>
        <w:spacing w:after="120" w:line="276"/>
      </w:pPr>
      <w:r>
        <w:rPr>
          <w:rFonts w:ascii="Calibri" w:cs="Calibri" w:eastAsia="Calibri" w:hAnsi="Calibri"/>
          <w:color w:val="1A1A1A"/>
          <w:sz w:val="21"/>
          <w:szCs w:val="21"/>
        </w:rPr>
        <w:t xml:space="preserve">Illness, a flare-up, bereavement, a new caring responsibility, three days of declining, or any safety escalation triggers automatic withdrawal from competitive mechanics. Participation is measured against active members, not the roster — so your absence cannot drag colleagues down, and nobody is told why you left.</w:t>
      </w:r>
    </w:p>
    <w:p>
      <w:pPr>
        <w:pStyle w:val="Heading3"/>
        <w:spacing w:after="50" w:before="220"/>
      </w:pPr>
      <w:r>
        <w:rPr>
          <w:rFonts w:ascii="Calibri" w:cs="Calibri" w:eastAsia="Calibri" w:hAnsi="Calibri"/>
          <w:b/>
          <w:bCs/>
          <w:color w:val="6E8F0F"/>
          <w:sz w:val="22"/>
          <w:szCs w:val="22"/>
        </w:rPr>
        <w:t xml:space="preserve">Eight ready-made challenge formats</w:t>
      </w:r>
    </w:p>
    <w:p>
      <w:pPr>
        <w:spacing w:after="120" w:line="276"/>
      </w:pPr>
      <w:r>
        <w:rPr>
          <w:rFonts w:ascii="Calibri" w:cs="Calibri" w:eastAsia="Calibri" w:hAnsi="Calibri"/>
          <w:color w:val="1A1A1A"/>
          <w:sz w:val="21"/>
          <w:szCs w:val="21"/>
        </w:rPr>
        <w:t xml:space="preserve">Meeting Breakers, Lunchtime Lift, School Class Quest, Family Weekend Expedition, Care Home Garden Journey, UK City Movement League, Charity Movement Month, and The Return — which scores only teammates brought back after a lapse. Charity Movement Month has no losing team.</w:t>
      </w:r>
    </w:p>
    <w:p>
      <w:pPr>
        <w:pStyle w:val="Heading1"/>
        <w:pageBreakBefore/>
        <w:spacing w:after="60" w:before="420"/>
      </w:pPr>
      <w:r>
        <w:rPr>
          <w:rFonts w:ascii="Calibri" w:cs="Calibri" w:eastAsia="Calibri" w:hAnsi="Calibri"/>
          <w:b/>
          <w:bCs/>
          <w:color w:val="102A43"/>
          <w:sz w:val="34"/>
          <w:szCs w:val="34"/>
        </w:rPr>
        <w:t xml:space="preserve">7 · Wearables and integrations</w:t>
      </w:r>
    </w:p>
    <w:p>
      <w:pPr>
        <w:pStyle w:val="Heading3"/>
        <w:spacing w:after="50" w:before="220"/>
      </w:pPr>
      <w:r>
        <w:rPr>
          <w:rFonts w:ascii="Calibri" w:cs="Calibri" w:eastAsia="Calibri" w:hAnsi="Calibri"/>
          <w:b/>
          <w:bCs/>
          <w:color w:val="3487F7"/>
          <w:sz w:val="22"/>
          <w:szCs w:val="22"/>
        </w:rPr>
        <w:t xml:space="preserve">Seven providers, none of them required</w:t>
      </w:r>
    </w:p>
    <w:p>
      <w:pPr>
        <w:spacing w:after="120" w:line="276"/>
      </w:pPr>
      <w:r>
        <w:rPr>
          <w:rFonts w:ascii="Calibri" w:cs="Calibri" w:eastAsia="Calibri" w:hAnsi="Calibri"/>
          <w:color w:val="1A1A1A"/>
          <w:sz w:val="21"/>
          <w:szCs w:val="21"/>
        </w:rPr>
        <w:t xml:space="preserve">Apple Health, Health Connect, Fitbit, Garmin, Samsung Health, Oura and Polar. A wearable improves the estimate; it never gates the product. The floor of Jess Move is a phone that can receive a text message.</w:t>
      </w:r>
    </w:p>
    <w:p>
      <w:pPr>
        <w:pStyle w:val="Heading3"/>
        <w:spacing w:after="50" w:before="220"/>
      </w:pPr>
      <w:r>
        <w:rPr>
          <w:rFonts w:ascii="Calibri" w:cs="Calibri" w:eastAsia="Calibri" w:hAnsi="Calibri"/>
          <w:b/>
          <w:bCs/>
          <w:color w:val="3487F7"/>
          <w:sz w:val="22"/>
          <w:szCs w:val="22"/>
        </w:rPr>
        <w:t xml:space="preserve">Two never let your data leave the phone</w:t>
      </w:r>
    </w:p>
    <w:p>
      <w:pPr>
        <w:spacing w:after="120" w:line="276"/>
      </w:pPr>
      <w:r>
        <w:rPr>
          <w:rFonts w:ascii="Calibri" w:cs="Calibri" w:eastAsia="Calibri" w:hAnsi="Calibri"/>
          <w:color w:val="1A1A1A"/>
          <w:sz w:val="21"/>
          <w:szCs w:val="21"/>
        </w:rPr>
        <w:t xml:space="preserve">Apple Health and Health Connect classify on-device and hand over a summary. The table states plainly which providers already hold your data in their own cloud, rather than implying a difference that doesn’t exist.</w:t>
      </w:r>
    </w:p>
    <w:p>
      <w:pPr>
        <w:pStyle w:val="Heading3"/>
        <w:spacing w:after="50" w:before="220"/>
      </w:pPr>
      <w:r>
        <w:rPr>
          <w:rFonts w:ascii="Calibri" w:cs="Calibri" w:eastAsia="Calibri" w:hAnsi="Calibri"/>
          <w:b/>
          <w:bCs/>
          <w:color w:val="3487F7"/>
          <w:sz w:val="22"/>
          <w:szCs w:val="22"/>
        </w:rPr>
        <w:t xml:space="preserve">Nine data types deliberately refused</w:t>
      </w:r>
    </w:p>
    <w:p>
      <w:pPr>
        <w:spacing w:after="120" w:line="276"/>
      </w:pPr>
      <w:r>
        <w:rPr>
          <w:rFonts w:ascii="Calibri" w:cs="Calibri" w:eastAsia="Calibri" w:hAnsi="Calibri"/>
          <w:color w:val="1A1A1A"/>
          <w:sz w:val="21"/>
          <w:szCs w:val="21"/>
        </w:rPr>
        <w:t xml:space="preserve">ECG traces, blood oxygen, blood glucose, blood pressure, detailed cycle data, fertility indicators, medication logs, GPS route history and continuous raw heart-rate series. Each would either edge the product toward a medical-device claim or create a re-identification surface that no movement recommendation is worth.</w:t>
      </w:r>
    </w:p>
    <w:p>
      <w:pPr>
        <w:pStyle w:val="Heading3"/>
        <w:spacing w:after="50" w:before="220"/>
      </w:pPr>
      <w:r>
        <w:rPr>
          <w:rFonts w:ascii="Calibri" w:cs="Calibri" w:eastAsia="Calibri" w:hAnsi="Calibri"/>
          <w:b/>
          <w:bCs/>
          <w:color w:val="3487F7"/>
          <w:sz w:val="22"/>
          <w:szCs w:val="22"/>
        </w:rPr>
        <w:t xml:space="preserve">Every switch says what turning it off costs</w:t>
      </w:r>
    </w:p>
    <w:p>
      <w:pPr>
        <w:spacing w:after="120" w:line="276"/>
      </w:pPr>
      <w:r>
        <w:rPr>
          <w:rFonts w:ascii="Calibri" w:cs="Calibri" w:eastAsia="Calibri" w:hAnsi="Calibri"/>
          <w:color w:val="1A1A1A"/>
          <w:sz w:val="21"/>
          <w:szCs w:val="21"/>
        </w:rPr>
        <w:t xml:space="preserve">Revoke sleep data and Low Energy Day is triggered by your check-in instead of automatically — the logic is unchanged, it just asks rather than infers. Each scope names what gets less precise and what carries on working. A consent screen that only lists losses is designed to stop you leaving.</w:t>
      </w:r>
    </w:p>
    <w:p>
      <w:pPr>
        <w:pStyle w:val="Heading3"/>
        <w:spacing w:after="50" w:before="220"/>
      </w:pPr>
      <w:r>
        <w:rPr>
          <w:rFonts w:ascii="Calibri" w:cs="Calibri" w:eastAsia="Calibri" w:hAnsi="Calibri"/>
          <w:b/>
          <w:bCs/>
          <w:color w:val="3487F7"/>
          <w:sz w:val="22"/>
          <w:szCs w:val="22"/>
        </w:rPr>
        <w:t xml:space="preserve">Stale readings are labelled, not used silently</w:t>
      </w:r>
    </w:p>
    <w:p>
      <w:pPr>
        <w:spacing w:after="120" w:line="276"/>
      </w:pPr>
      <w:r>
        <w:rPr>
          <w:rFonts w:ascii="Calibri" w:cs="Calibri" w:eastAsia="Calibri" w:hAnsi="Calibri"/>
          <w:color w:val="1A1A1A"/>
          <w:sz w:val="21"/>
          <w:szCs w:val="21"/>
        </w:rPr>
        <w:t xml:space="preserve">Past three hours a reading is marked stale. A confident number from this morning is worse than an honest gap. And when two sources disagree by more than 15%, the engine stops picking a winner and widens its own uncertainty instead.</w:t>
      </w:r>
    </w:p>
    <w:p>
      <w:pPr>
        <w:pStyle w:val="Heading3"/>
        <w:spacing w:after="50" w:before="220"/>
      </w:pPr>
      <w:r>
        <w:rPr>
          <w:rFonts w:ascii="Calibri" w:cs="Calibri" w:eastAsia="Calibri" w:hAnsi="Calibri"/>
          <w:b/>
          <w:bCs/>
          <w:color w:val="3487F7"/>
          <w:sz w:val="22"/>
          <w:szCs w:val="22"/>
        </w:rPr>
        <w:t xml:space="preserve">Disconnecting is four guarantees, shown before you connect</w:t>
      </w:r>
    </w:p>
    <w:p>
      <w:pPr>
        <w:spacing w:after="120" w:line="276"/>
      </w:pPr>
      <w:r>
        <w:rPr>
          <w:rFonts w:ascii="Calibri" w:cs="Calibri" w:eastAsia="Calibri" w:hAnsi="Calibri"/>
          <w:color w:val="1A1A1A"/>
          <w:sz w:val="21"/>
          <w:szCs w:val="21"/>
        </w:rPr>
        <w:t xml:space="preserve">Immediate effect with no sync cycle or support ticket; ingested data deleted within 24 hours; never disables another provider or the product; reconnecting later starts fresh rather than restoring old history.</w:t>
      </w:r>
    </w:p>
    <w:p>
      <w:pPr>
        <w:pStyle w:val="Heading1"/>
        <w:pageBreakBefore/>
        <w:spacing w:after="60" w:before="420"/>
      </w:pPr>
      <w:r>
        <w:rPr>
          <w:rFonts w:ascii="Calibri" w:cs="Calibri" w:eastAsia="Calibri" w:hAnsi="Calibri"/>
          <w:b/>
          <w:bCs/>
          <w:color w:val="102A43"/>
          <w:sz w:val="34"/>
          <w:szCs w:val="34"/>
        </w:rPr>
        <w:t xml:space="preserve">8 · Six age modes — genuinely one product for 10 to 100</w:t>
      </w:r>
    </w:p>
    <w:p>
      <w:pPr>
        <w:spacing w:after="140" w:line="276"/>
      </w:pPr>
      <w:r>
        <w:rPr>
          <w:rFonts w:ascii="Calibri" w:cs="Calibri" w:eastAsia="Calibri" w:hAnsi="Calibri"/>
          <w:color w:val="1A1A1A"/>
          <w:sz w:val="21"/>
          <w:szCs w:val="21"/>
        </w:rPr>
        <w:t xml:space="preserve">Mode is derived from a verified age band plus a capability profile. It is never chosen freely, because it governs safeguarding rules rather than preferences. It changes interface density, the coach’s register, which gamification mechanics are legal, what data may be collected, and which clinical guardrails apply.</w:t>
      </w:r>
    </w:p>
    <w:tbl>
      <w:tblPr>
        <w:tblW w:type="dxa" w:w="9360"/>
        <w:tblBorders>
          <w:top w:val="single" w:color="DCE6E4" w:sz="2"/>
          <w:left w:val="none" w:color="auto" w:sz="0"/>
          <w:bottom w:val="single" w:color="DCE6E4" w:sz="2"/>
          <w:right w:val="none" w:color="auto" w:sz="0"/>
          <w:insideH w:val="single" w:color="DCE6E4" w:sz="2"/>
          <w:insideV w:val="none" w:color="auto" w:sz="0"/>
        </w:tblBorders>
      </w:tblPr>
      <w:tblGrid>
        <w:gridCol w:w="1500"/>
        <w:gridCol w:w="900"/>
        <w:gridCol w:w="5960"/>
        <w:gridCol w:w="1000"/>
      </w:tblGrid>
      <w:tr>
        <w:trPr>
          <w:tblHeader/>
        </w:trPr>
        <w:tc>
          <w:tcPr>
            <w:tcW w:type="dxa" w:w="1500"/>
            <w:shd w:fill="102A43" w:color="auto" w:val="clear"/>
            <w:tcMar>
              <w:top w:type="dxa" w:w="90"/>
              <w:left w:type="dxa" w:w="130"/>
              <w:bottom w:type="dxa" w:w="90"/>
              <w:right w:type="dxa" w:w="130"/>
            </w:tcMar>
          </w:tcPr>
          <w:p>
            <w:pPr>
              <w:spacing w:after="0" w:line="260"/>
            </w:pPr>
            <w:r>
              <w:rPr>
                <w:rFonts w:ascii="Calibri" w:cs="Calibri" w:eastAsia="Calibri" w:hAnsi="Calibri"/>
                <w:b/>
                <w:bCs/>
                <w:caps/>
                <w:color w:val="FFFFFF"/>
                <w:spacing w:val="20"/>
                <w:sz w:val="17"/>
                <w:szCs w:val="17"/>
              </w:rPr>
              <w:t xml:space="preserve">Mode</w:t>
            </w:r>
          </w:p>
        </w:tc>
        <w:tc>
          <w:tcPr>
            <w:tcW w:type="dxa" w:w="900"/>
            <w:shd w:fill="102A43" w:color="auto" w:val="clear"/>
            <w:tcMar>
              <w:top w:type="dxa" w:w="90"/>
              <w:left w:type="dxa" w:w="130"/>
              <w:bottom w:type="dxa" w:w="90"/>
              <w:right w:type="dxa" w:w="130"/>
            </w:tcMar>
          </w:tcPr>
          <w:p>
            <w:pPr>
              <w:spacing w:after="0" w:line="260"/>
            </w:pPr>
            <w:r>
              <w:rPr>
                <w:rFonts w:ascii="Calibri" w:cs="Calibri" w:eastAsia="Calibri" w:hAnsi="Calibri"/>
                <w:b/>
                <w:bCs/>
                <w:caps/>
                <w:color w:val="FFFFFF"/>
                <w:spacing w:val="20"/>
                <w:sz w:val="17"/>
                <w:szCs w:val="17"/>
              </w:rPr>
              <w:t xml:space="preserve">Ages</w:t>
            </w:r>
          </w:p>
        </w:tc>
        <w:tc>
          <w:tcPr>
            <w:tcW w:type="dxa" w:w="5960"/>
            <w:shd w:fill="102A43" w:color="auto" w:val="clear"/>
            <w:tcMar>
              <w:top w:type="dxa" w:w="90"/>
              <w:left w:type="dxa" w:w="130"/>
              <w:bottom w:type="dxa" w:w="90"/>
              <w:right w:type="dxa" w:w="130"/>
            </w:tcMar>
          </w:tcPr>
          <w:p>
            <w:pPr>
              <w:spacing w:after="0" w:line="260"/>
            </w:pPr>
            <w:r>
              <w:rPr>
                <w:rFonts w:ascii="Calibri" w:cs="Calibri" w:eastAsia="Calibri" w:hAnsi="Calibri"/>
                <w:b/>
                <w:bCs/>
                <w:caps/>
                <w:color w:val="FFFFFF"/>
                <w:spacing w:val="20"/>
                <w:sz w:val="17"/>
                <w:szCs w:val="17"/>
              </w:rPr>
              <w:t xml:space="preserve">Built to solve</w:t>
            </w:r>
          </w:p>
        </w:tc>
        <w:tc>
          <w:tcPr>
            <w:tcW w:type="dxa" w:w="1000"/>
            <w:shd w:fill="102A43" w:color="auto" w:val="clear"/>
            <w:tcMar>
              <w:top w:type="dxa" w:w="90"/>
              <w:left w:type="dxa" w:w="130"/>
              <w:bottom w:type="dxa" w:w="90"/>
              <w:right w:type="dxa" w:w="130"/>
            </w:tcMar>
          </w:tcPr>
          <w:p>
            <w:pPr>
              <w:spacing w:after="0" w:line="260"/>
            </w:pPr>
            <w:r>
              <w:rPr>
                <w:rFonts w:ascii="Calibri" w:cs="Calibri" w:eastAsia="Calibri" w:hAnsi="Calibri"/>
                <w:b/>
                <w:bCs/>
                <w:caps/>
                <w:color w:val="FFFFFF"/>
                <w:spacing w:val="20"/>
                <w:sz w:val="17"/>
                <w:szCs w:val="17"/>
              </w:rPr>
              <w:t xml:space="preserve">Cap</w:t>
            </w:r>
          </w:p>
        </w:tc>
      </w:tr>
      <w:tr>
        <w:tc>
          <w:tcPr>
            <w:tcW w:type="dxa" w:w="1500"/>
            <w:tcMar>
              <w:top w:type="dxa" w:w="90"/>
              <w:left w:type="dxa" w:w="130"/>
              <w:bottom w:type="dxa" w:w="90"/>
              <w:right w:type="dxa" w:w="130"/>
            </w:tcMar>
          </w:tcPr>
          <w:p>
            <w:pPr>
              <w:spacing w:after="0" w:line="260"/>
            </w:pPr>
            <w:r>
              <w:rPr>
                <w:rFonts w:ascii="Calibri" w:cs="Calibri" w:eastAsia="Calibri" w:hAnsi="Calibri"/>
                <w:b/>
                <w:bCs/>
                <w:color w:val="1A1A1A"/>
                <w:sz w:val="20"/>
                <w:szCs w:val="20"/>
              </w:rPr>
              <w:t xml:space="preserve">Explorer</w:t>
            </w:r>
          </w:p>
        </w:tc>
        <w:tc>
          <w:tcPr>
            <w:tcW w:type="dxa" w:w="900"/>
            <w:tcMar>
              <w:top w:type="dxa" w:w="90"/>
              <w:left w:type="dxa" w:w="130"/>
              <w:bottom w:type="dxa" w:w="90"/>
              <w:right w:type="dxa" w:w="130"/>
            </w:tcMar>
          </w:tcPr>
          <w:p>
            <w:pPr>
              <w:spacing w:after="0" w:line="260"/>
            </w:pPr>
            <w:r>
              <w:rPr>
                <w:rFonts w:ascii="Calibri" w:cs="Calibri" w:eastAsia="Calibri" w:hAnsi="Calibri"/>
                <w:b w:val="false"/>
                <w:bCs w:val="false"/>
                <w:color w:val="1A1A1A"/>
                <w:sz w:val="20"/>
                <w:szCs w:val="20"/>
              </w:rPr>
              <w:t xml:space="preserve">10–12</w:t>
            </w:r>
          </w:p>
        </w:tc>
        <w:tc>
          <w:tcPr>
            <w:tcW w:type="dxa" w:w="5960"/>
            <w:tcMar>
              <w:top w:type="dxa" w:w="90"/>
              <w:left w:type="dxa" w:w="130"/>
              <w:bottom w:type="dxa" w:w="90"/>
              <w:right w:type="dxa" w:w="130"/>
            </w:tcMar>
          </w:tcPr>
          <w:p>
            <w:pPr>
              <w:spacing w:after="0" w:line="260"/>
            </w:pPr>
            <w:r>
              <w:rPr>
                <w:rFonts w:ascii="Calibri" w:cs="Calibri" w:eastAsia="Calibri" w:hAnsi="Calibri"/>
                <w:b w:val="false"/>
                <w:bCs w:val="false"/>
                <w:color w:val="1A1A1A"/>
                <w:sz w:val="20"/>
                <w:szCs w:val="20"/>
              </w:rPr>
              <w:t xml:space="preserve">Adventure, not health. Screen-break missions, coordination, classroom-safe play. Guardian account mandatory.</w:t>
            </w:r>
          </w:p>
        </w:tc>
        <w:tc>
          <w:tcPr>
            <w:tcW w:type="dxa" w:w="1000"/>
            <w:tcMar>
              <w:top w:type="dxa" w:w="90"/>
              <w:left w:type="dxa" w:w="130"/>
              <w:bottom w:type="dxa" w:w="90"/>
              <w:right w:type="dxa" w:w="130"/>
            </w:tcMar>
          </w:tcPr>
          <w:p>
            <w:pPr>
              <w:spacing w:after="0" w:line="260"/>
            </w:pPr>
            <w:r>
              <w:rPr>
                <w:rFonts w:ascii="Calibri" w:cs="Calibri" w:eastAsia="Calibri" w:hAnsi="Calibri"/>
                <w:b w:val="false"/>
                <w:bCs w:val="false"/>
                <w:color w:val="1A1A1A"/>
                <w:sz w:val="20"/>
                <w:szCs w:val="20"/>
              </w:rPr>
              <w:t xml:space="preserve">3/day</w:t>
            </w:r>
          </w:p>
        </w:tc>
      </w:tr>
      <w:tr>
        <w:tc>
          <w:tcPr>
            <w:tcW w:type="dxa" w:w="1500"/>
            <w:shd w:fill="F7FAF9" w:color="auto" w:val="clear"/>
            <w:tcMar>
              <w:top w:type="dxa" w:w="90"/>
              <w:left w:type="dxa" w:w="130"/>
              <w:bottom w:type="dxa" w:w="90"/>
              <w:right w:type="dxa" w:w="130"/>
            </w:tcMar>
          </w:tcPr>
          <w:p>
            <w:pPr>
              <w:spacing w:after="0" w:line="260"/>
            </w:pPr>
            <w:r>
              <w:rPr>
                <w:rFonts w:ascii="Calibri" w:cs="Calibri" w:eastAsia="Calibri" w:hAnsi="Calibri"/>
                <w:b/>
                <w:bCs/>
                <w:color w:val="1A1A1A"/>
                <w:sz w:val="20"/>
                <w:szCs w:val="20"/>
              </w:rPr>
              <w:t xml:space="preserve">Teen</w:t>
            </w:r>
          </w:p>
        </w:tc>
        <w:tc>
          <w:tcPr>
            <w:tcW w:type="dxa" w:w="900"/>
            <w:shd w:fill="F7FAF9" w:color="auto" w:val="clear"/>
            <w:tcMar>
              <w:top w:type="dxa" w:w="90"/>
              <w:left w:type="dxa" w:w="130"/>
              <w:bottom w:type="dxa" w:w="90"/>
              <w:right w:type="dxa" w:w="130"/>
            </w:tcMar>
          </w:tcPr>
          <w:p>
            <w:pPr>
              <w:spacing w:after="0" w:line="260"/>
            </w:pPr>
            <w:r>
              <w:rPr>
                <w:rFonts w:ascii="Calibri" w:cs="Calibri" w:eastAsia="Calibri" w:hAnsi="Calibri"/>
                <w:b w:val="false"/>
                <w:bCs w:val="false"/>
                <w:color w:val="1A1A1A"/>
                <w:sz w:val="20"/>
                <w:szCs w:val="20"/>
              </w:rPr>
              <w:t xml:space="preserve">13–17</w:t>
            </w:r>
          </w:p>
        </w:tc>
        <w:tc>
          <w:tcPr>
            <w:tcW w:type="dxa" w:w="5960"/>
            <w:shd w:fill="F7FAF9" w:color="auto" w:val="clear"/>
            <w:tcMar>
              <w:top w:type="dxa" w:w="90"/>
              <w:left w:type="dxa" w:w="130"/>
              <w:bottom w:type="dxa" w:w="90"/>
              <w:right w:type="dxa" w:w="130"/>
            </w:tcMar>
          </w:tcPr>
          <w:p>
            <w:pPr>
              <w:spacing w:after="0" w:line="260"/>
            </w:pPr>
            <w:r>
              <w:rPr>
                <w:rFonts w:ascii="Calibri" w:cs="Calibri" w:eastAsia="Calibri" w:hAnsi="Calibri"/>
                <w:b w:val="false"/>
                <w:bCs w:val="false"/>
                <w:color w:val="1A1A1A"/>
                <w:sz w:val="20"/>
                <w:szCs w:val="20"/>
              </w:rPr>
              <w:t xml:space="preserve">Autonomy and identity. Revision resets, gaming recovery, private crews. No open leaderboards.</w:t>
            </w:r>
          </w:p>
        </w:tc>
        <w:tc>
          <w:tcPr>
            <w:tcW w:type="dxa" w:w="1000"/>
            <w:shd w:fill="F7FAF9" w:color="auto" w:val="clear"/>
            <w:tcMar>
              <w:top w:type="dxa" w:w="90"/>
              <w:left w:type="dxa" w:w="130"/>
              <w:bottom w:type="dxa" w:w="90"/>
              <w:right w:type="dxa" w:w="130"/>
            </w:tcMar>
          </w:tcPr>
          <w:p>
            <w:pPr>
              <w:spacing w:after="0" w:line="260"/>
            </w:pPr>
            <w:r>
              <w:rPr>
                <w:rFonts w:ascii="Calibri" w:cs="Calibri" w:eastAsia="Calibri" w:hAnsi="Calibri"/>
                <w:b w:val="false"/>
                <w:bCs w:val="false"/>
                <w:color w:val="1A1A1A"/>
                <w:sz w:val="20"/>
                <w:szCs w:val="20"/>
              </w:rPr>
              <w:t xml:space="preserve">4/day</w:t>
            </w:r>
          </w:p>
        </w:tc>
      </w:tr>
      <w:tr>
        <w:tc>
          <w:tcPr>
            <w:tcW w:type="dxa" w:w="1500"/>
            <w:tcMar>
              <w:top w:type="dxa" w:w="90"/>
              <w:left w:type="dxa" w:w="130"/>
              <w:bottom w:type="dxa" w:w="90"/>
              <w:right w:type="dxa" w:w="130"/>
            </w:tcMar>
          </w:tcPr>
          <w:p>
            <w:pPr>
              <w:spacing w:after="0" w:line="260"/>
            </w:pPr>
            <w:r>
              <w:rPr>
                <w:rFonts w:ascii="Calibri" w:cs="Calibri" w:eastAsia="Calibri" w:hAnsi="Calibri"/>
                <w:b/>
                <w:bCs/>
                <w:color w:val="1A1A1A"/>
                <w:sz w:val="20"/>
                <w:szCs w:val="20"/>
              </w:rPr>
              <w:t xml:space="preserve">Momentum</w:t>
            </w:r>
          </w:p>
        </w:tc>
        <w:tc>
          <w:tcPr>
            <w:tcW w:type="dxa" w:w="900"/>
            <w:tcMar>
              <w:top w:type="dxa" w:w="90"/>
              <w:left w:type="dxa" w:w="130"/>
              <w:bottom w:type="dxa" w:w="90"/>
              <w:right w:type="dxa" w:w="130"/>
            </w:tcMar>
          </w:tcPr>
          <w:p>
            <w:pPr>
              <w:spacing w:after="0" w:line="260"/>
            </w:pPr>
            <w:r>
              <w:rPr>
                <w:rFonts w:ascii="Calibri" w:cs="Calibri" w:eastAsia="Calibri" w:hAnsi="Calibri"/>
                <w:b w:val="false"/>
                <w:bCs w:val="false"/>
                <w:color w:val="1A1A1A"/>
                <w:sz w:val="20"/>
                <w:szCs w:val="20"/>
              </w:rPr>
              <w:t xml:space="preserve">18–39</w:t>
            </w:r>
          </w:p>
        </w:tc>
        <w:tc>
          <w:tcPr>
            <w:tcW w:type="dxa" w:w="5960"/>
            <w:tcMar>
              <w:top w:type="dxa" w:w="90"/>
              <w:left w:type="dxa" w:w="130"/>
              <w:bottom w:type="dxa" w:w="90"/>
              <w:right w:type="dxa" w:w="130"/>
            </w:tcMar>
          </w:tcPr>
          <w:p>
            <w:pPr>
              <w:spacing w:after="0" w:line="260"/>
            </w:pPr>
            <w:r>
              <w:rPr>
                <w:rFonts w:ascii="Calibri" w:cs="Calibri" w:eastAsia="Calibri" w:hAnsi="Calibri"/>
                <w:b w:val="false"/>
                <w:bCs w:val="false"/>
                <w:color w:val="1A1A1A"/>
                <w:sz w:val="20"/>
                <w:szCs w:val="20"/>
              </w:rPr>
              <w:t xml:space="preserve">Hybrid work, commuting, early parenting. Meeting recovery and stress resets.</w:t>
            </w:r>
          </w:p>
        </w:tc>
        <w:tc>
          <w:tcPr>
            <w:tcW w:type="dxa" w:w="1000"/>
            <w:tcMar>
              <w:top w:type="dxa" w:w="90"/>
              <w:left w:type="dxa" w:w="130"/>
              <w:bottom w:type="dxa" w:w="90"/>
              <w:right w:type="dxa" w:w="130"/>
            </w:tcMar>
          </w:tcPr>
          <w:p>
            <w:pPr>
              <w:spacing w:after="0" w:line="260"/>
            </w:pPr>
            <w:r>
              <w:rPr>
                <w:rFonts w:ascii="Calibri" w:cs="Calibri" w:eastAsia="Calibri" w:hAnsi="Calibri"/>
                <w:b w:val="false"/>
                <w:bCs w:val="false"/>
                <w:color w:val="1A1A1A"/>
                <w:sz w:val="20"/>
                <w:szCs w:val="20"/>
              </w:rPr>
              <w:t xml:space="preserve">6/day</w:t>
            </w:r>
          </w:p>
        </w:tc>
      </w:tr>
      <w:tr>
        <w:tc>
          <w:tcPr>
            <w:tcW w:type="dxa" w:w="1500"/>
            <w:shd w:fill="F7FAF9" w:color="auto" w:val="clear"/>
            <w:tcMar>
              <w:top w:type="dxa" w:w="90"/>
              <w:left w:type="dxa" w:w="130"/>
              <w:bottom w:type="dxa" w:w="90"/>
              <w:right w:type="dxa" w:w="130"/>
            </w:tcMar>
          </w:tcPr>
          <w:p>
            <w:pPr>
              <w:spacing w:after="0" w:line="260"/>
            </w:pPr>
            <w:r>
              <w:rPr>
                <w:rFonts w:ascii="Calibri" w:cs="Calibri" w:eastAsia="Calibri" w:hAnsi="Calibri"/>
                <w:b/>
                <w:bCs/>
                <w:color w:val="1A1A1A"/>
                <w:sz w:val="20"/>
                <w:szCs w:val="20"/>
              </w:rPr>
              <w:t xml:space="preserve">Balance</w:t>
            </w:r>
          </w:p>
        </w:tc>
        <w:tc>
          <w:tcPr>
            <w:tcW w:type="dxa" w:w="900"/>
            <w:shd w:fill="F7FAF9" w:color="auto" w:val="clear"/>
            <w:tcMar>
              <w:top w:type="dxa" w:w="90"/>
              <w:left w:type="dxa" w:w="130"/>
              <w:bottom w:type="dxa" w:w="90"/>
              <w:right w:type="dxa" w:w="130"/>
            </w:tcMar>
          </w:tcPr>
          <w:p>
            <w:pPr>
              <w:spacing w:after="0" w:line="260"/>
            </w:pPr>
            <w:r>
              <w:rPr>
                <w:rFonts w:ascii="Calibri" w:cs="Calibri" w:eastAsia="Calibri" w:hAnsi="Calibri"/>
                <w:b w:val="false"/>
                <w:bCs w:val="false"/>
                <w:color w:val="1A1A1A"/>
                <w:sz w:val="20"/>
                <w:szCs w:val="20"/>
              </w:rPr>
              <w:t xml:space="preserve">40–64</w:t>
            </w:r>
          </w:p>
        </w:tc>
        <w:tc>
          <w:tcPr>
            <w:tcW w:type="dxa" w:w="5960"/>
            <w:shd w:fill="F7FAF9" w:color="auto" w:val="clear"/>
            <w:tcMar>
              <w:top w:type="dxa" w:w="90"/>
              <w:left w:type="dxa" w:w="130"/>
              <w:bottom w:type="dxa" w:w="90"/>
              <w:right w:type="dxa" w:w="130"/>
            </w:tcMar>
          </w:tcPr>
          <w:p>
            <w:pPr>
              <w:spacing w:after="0" w:line="260"/>
            </w:pPr>
            <w:r>
              <w:rPr>
                <w:rFonts w:ascii="Calibri" w:cs="Calibri" w:eastAsia="Calibri" w:hAnsi="Calibri"/>
                <w:b w:val="false"/>
                <w:bCs w:val="false"/>
                <w:color w:val="1A1A1A"/>
                <w:sz w:val="20"/>
                <w:szCs w:val="20"/>
              </w:rPr>
              <w:t xml:space="preserve">Stiffness prevention, joint-friendly strength, posture, travel, optional menopause-aware personalisation.</w:t>
            </w:r>
          </w:p>
        </w:tc>
        <w:tc>
          <w:tcPr>
            <w:tcW w:type="dxa" w:w="1000"/>
            <w:shd w:fill="F7FAF9" w:color="auto" w:val="clear"/>
            <w:tcMar>
              <w:top w:type="dxa" w:w="90"/>
              <w:left w:type="dxa" w:w="130"/>
              <w:bottom w:type="dxa" w:w="90"/>
              <w:right w:type="dxa" w:w="130"/>
            </w:tcMar>
          </w:tcPr>
          <w:p>
            <w:pPr>
              <w:spacing w:after="0" w:line="260"/>
            </w:pPr>
            <w:r>
              <w:rPr>
                <w:rFonts w:ascii="Calibri" w:cs="Calibri" w:eastAsia="Calibri" w:hAnsi="Calibri"/>
                <w:b w:val="false"/>
                <w:bCs w:val="false"/>
                <w:color w:val="1A1A1A"/>
                <w:sz w:val="20"/>
                <w:szCs w:val="20"/>
              </w:rPr>
              <w:t xml:space="preserve">5/day</w:t>
            </w:r>
          </w:p>
        </w:tc>
      </w:tr>
      <w:tr>
        <w:tc>
          <w:tcPr>
            <w:tcW w:type="dxa" w:w="1500"/>
            <w:tcMar>
              <w:top w:type="dxa" w:w="90"/>
              <w:left w:type="dxa" w:w="130"/>
              <w:bottom w:type="dxa" w:w="90"/>
              <w:right w:type="dxa" w:w="130"/>
            </w:tcMar>
          </w:tcPr>
          <w:p>
            <w:pPr>
              <w:spacing w:after="0" w:line="260"/>
            </w:pPr>
            <w:r>
              <w:rPr>
                <w:rFonts w:ascii="Calibri" w:cs="Calibri" w:eastAsia="Calibri" w:hAnsi="Calibri"/>
                <w:b/>
                <w:bCs/>
                <w:color w:val="1A1A1A"/>
                <w:sz w:val="20"/>
                <w:szCs w:val="20"/>
              </w:rPr>
              <w:t xml:space="preserve">Independence</w:t>
            </w:r>
          </w:p>
        </w:tc>
        <w:tc>
          <w:tcPr>
            <w:tcW w:type="dxa" w:w="900"/>
            <w:tcMar>
              <w:top w:type="dxa" w:w="90"/>
              <w:left w:type="dxa" w:w="130"/>
              <w:bottom w:type="dxa" w:w="90"/>
              <w:right w:type="dxa" w:w="130"/>
            </w:tcMar>
          </w:tcPr>
          <w:p>
            <w:pPr>
              <w:spacing w:after="0" w:line="260"/>
            </w:pPr>
            <w:r>
              <w:rPr>
                <w:rFonts w:ascii="Calibri" w:cs="Calibri" w:eastAsia="Calibri" w:hAnsi="Calibri"/>
                <w:b w:val="false"/>
                <w:bCs w:val="false"/>
                <w:color w:val="1A1A1A"/>
                <w:sz w:val="20"/>
                <w:szCs w:val="20"/>
              </w:rPr>
              <w:t xml:space="preserve">65–79</w:t>
            </w:r>
          </w:p>
        </w:tc>
        <w:tc>
          <w:tcPr>
            <w:tcW w:type="dxa" w:w="5960"/>
            <w:tcMar>
              <w:top w:type="dxa" w:w="90"/>
              <w:left w:type="dxa" w:w="130"/>
              <w:bottom w:type="dxa" w:w="90"/>
              <w:right w:type="dxa" w:w="130"/>
            </w:tcMar>
          </w:tcPr>
          <w:p>
            <w:pPr>
              <w:spacing w:after="0" w:line="260"/>
            </w:pPr>
            <w:r>
              <w:rPr>
                <w:rFonts w:ascii="Calibri" w:cs="Calibri" w:eastAsia="Calibri" w:hAnsi="Calibri"/>
                <w:b w:val="false"/>
                <w:bCs w:val="false"/>
                <w:color w:val="1A1A1A"/>
                <w:sz w:val="20"/>
                <w:szCs w:val="20"/>
              </w:rPr>
              <w:t xml:space="preserve">Balance, lower-limb strength, grip and gait. Confidence and staying independent.</w:t>
            </w:r>
          </w:p>
        </w:tc>
        <w:tc>
          <w:tcPr>
            <w:tcW w:type="dxa" w:w="1000"/>
            <w:tcMar>
              <w:top w:type="dxa" w:w="90"/>
              <w:left w:type="dxa" w:w="130"/>
              <w:bottom w:type="dxa" w:w="90"/>
              <w:right w:type="dxa" w:w="130"/>
            </w:tcMar>
          </w:tcPr>
          <w:p>
            <w:pPr>
              <w:spacing w:after="0" w:line="260"/>
            </w:pPr>
            <w:r>
              <w:rPr>
                <w:rFonts w:ascii="Calibri" w:cs="Calibri" w:eastAsia="Calibri" w:hAnsi="Calibri"/>
                <w:b w:val="false"/>
                <w:bCs w:val="false"/>
                <w:color w:val="1A1A1A"/>
                <w:sz w:val="20"/>
                <w:szCs w:val="20"/>
              </w:rPr>
              <w:t xml:space="preserve">4/day</w:t>
            </w:r>
          </w:p>
        </w:tc>
      </w:tr>
      <w:tr>
        <w:tc>
          <w:tcPr>
            <w:tcW w:type="dxa" w:w="1500"/>
            <w:shd w:fill="F7FAF9" w:color="auto" w:val="clear"/>
            <w:tcMar>
              <w:top w:type="dxa" w:w="90"/>
              <w:left w:type="dxa" w:w="130"/>
              <w:bottom w:type="dxa" w:w="90"/>
              <w:right w:type="dxa" w:w="130"/>
            </w:tcMar>
          </w:tcPr>
          <w:p>
            <w:pPr>
              <w:spacing w:after="0" w:line="260"/>
            </w:pPr>
            <w:r>
              <w:rPr>
                <w:rFonts w:ascii="Calibri" w:cs="Calibri" w:eastAsia="Calibri" w:hAnsi="Calibri"/>
                <w:b/>
                <w:bCs/>
                <w:color w:val="1A1A1A"/>
                <w:sz w:val="20"/>
                <w:szCs w:val="20"/>
              </w:rPr>
              <w:t xml:space="preserve">Vitality</w:t>
            </w:r>
          </w:p>
        </w:tc>
        <w:tc>
          <w:tcPr>
            <w:tcW w:type="dxa" w:w="900"/>
            <w:shd w:fill="F7FAF9" w:color="auto" w:val="clear"/>
            <w:tcMar>
              <w:top w:type="dxa" w:w="90"/>
              <w:left w:type="dxa" w:w="130"/>
              <w:bottom w:type="dxa" w:w="90"/>
              <w:right w:type="dxa" w:w="130"/>
            </w:tcMar>
          </w:tcPr>
          <w:p>
            <w:pPr>
              <w:spacing w:after="0" w:line="260"/>
            </w:pPr>
            <w:r>
              <w:rPr>
                <w:rFonts w:ascii="Calibri" w:cs="Calibri" w:eastAsia="Calibri" w:hAnsi="Calibri"/>
                <w:b w:val="false"/>
                <w:bCs w:val="false"/>
                <w:color w:val="1A1A1A"/>
                <w:sz w:val="20"/>
                <w:szCs w:val="20"/>
              </w:rPr>
              <w:t xml:space="preserve">80–100</w:t>
            </w:r>
          </w:p>
        </w:tc>
        <w:tc>
          <w:tcPr>
            <w:tcW w:type="dxa" w:w="5960"/>
            <w:shd w:fill="F7FAF9" w:color="auto" w:val="clear"/>
            <w:tcMar>
              <w:top w:type="dxa" w:w="90"/>
              <w:left w:type="dxa" w:w="130"/>
              <w:bottom w:type="dxa" w:w="90"/>
              <w:right w:type="dxa" w:w="130"/>
            </w:tcMar>
          </w:tcPr>
          <w:p>
            <w:pPr>
              <w:spacing w:after="0" w:line="260"/>
            </w:pPr>
            <w:r>
              <w:rPr>
                <w:rFonts w:ascii="Calibri" w:cs="Calibri" w:eastAsia="Calibri" w:hAnsi="Calibri"/>
                <w:b w:val="false"/>
                <w:bCs w:val="false"/>
                <w:color w:val="1A1A1A"/>
                <w:sz w:val="20"/>
                <w:szCs w:val="20"/>
              </w:rPr>
              <w:t xml:space="preserve">Dignity and simplicity. Seated and bed-compatible, carer-assisted, voice-operated, no failure states.</w:t>
            </w:r>
          </w:p>
        </w:tc>
        <w:tc>
          <w:tcPr>
            <w:tcW w:type="dxa" w:w="1000"/>
            <w:shd w:fill="F7FAF9" w:color="auto" w:val="clear"/>
            <w:tcMar>
              <w:top w:type="dxa" w:w="90"/>
              <w:left w:type="dxa" w:w="130"/>
              <w:bottom w:type="dxa" w:w="90"/>
              <w:right w:type="dxa" w:w="130"/>
            </w:tcMar>
          </w:tcPr>
          <w:p>
            <w:pPr>
              <w:spacing w:after="0" w:line="260"/>
            </w:pPr>
            <w:r>
              <w:rPr>
                <w:rFonts w:ascii="Calibri" w:cs="Calibri" w:eastAsia="Calibri" w:hAnsi="Calibri"/>
                <w:b w:val="false"/>
                <w:bCs w:val="false"/>
                <w:color w:val="1A1A1A"/>
                <w:sz w:val="20"/>
                <w:szCs w:val="20"/>
              </w:rPr>
              <w:t xml:space="preserve">2/day</w:t>
            </w:r>
          </w:p>
        </w:tc>
      </w:tr>
    </w:tbl>
    <w:p>
      <w:pPr>
        <w:spacing w:after="200" w:line="276"/>
      </w:pPr>
      <w:r>
        <w:rPr>
          <w:rFonts w:ascii="Calibri" w:cs="Calibri" w:eastAsia="Calibri" w:hAnsi="Calibri"/>
          <w:color w:val="1A1A1A"/>
          <w:sz w:val="21"/>
          <w:szCs w:val="21"/>
        </w:rPr>
        <w:t xml:space="preserve">The daily cap is a ceiling the engine may never exceed, not a target it pushes you toward. The middle of life carries the most and the ends carry the least — but nobody carries nothing.</w:t>
      </w:r>
    </w:p>
    <w:p>
      <w:pPr>
        <w:pStyle w:val="Heading2"/>
        <w:spacing w:after="100" w:before="300"/>
      </w:pPr>
      <w:r>
        <w:rPr>
          <w:rFonts w:ascii="Calibri" w:cs="Calibri" w:eastAsia="Calibri" w:hAnsi="Calibri"/>
          <w:b/>
          <w:bCs/>
          <w:color w:val="102A43"/>
          <w:sz w:val="26"/>
          <w:szCs w:val="26"/>
        </w:rPr>
        <w:t xml:space="preserve">Four delivery tiers — nobody is excluded by hardware</w:t>
      </w:r>
    </w:p>
    <w:p>
      <w:pPr>
        <w:spacing w:after="140" w:line="276"/>
      </w:pPr>
      <w:r>
        <w:rPr>
          <w:rFonts w:ascii="Calibri" w:cs="Calibri" w:eastAsia="Calibri" w:hAnsi="Calibri"/>
          <w:color w:val="1A1A1A"/>
          <w:sz w:val="21"/>
          <w:szCs w:val="21"/>
        </w:rPr>
        <w:t xml:space="preserve">The product’s reach is defined by its lowest tier, not its highest. Full app with wearables, phone-only, lightweight over WhatsApp and SMS, and assisted delivery through a carer proxy. The messaging and assisted tiers are first-class product tiers with their own funnels — not charity, and not a degraded experience. This is what makes council, care-home and public-health deployment actually possible rather than theoretical.</w:t>
      </w:r>
    </w:p>
    <w:p>
      <w:pPr>
        <w:pStyle w:val="Heading1"/>
        <w:pageBreakBefore/>
        <w:spacing w:after="60" w:before="420"/>
      </w:pPr>
      <w:r>
        <w:rPr>
          <w:rFonts w:ascii="Calibri" w:cs="Calibri" w:eastAsia="Calibri" w:hAnsi="Calibri"/>
          <w:b/>
          <w:bCs/>
          <w:color w:val="102A43"/>
          <w:sz w:val="34"/>
          <w:szCs w:val="34"/>
        </w:rPr>
        <w:t xml:space="preserve">9 · Privacy, built in rather than bolted on</w:t>
      </w:r>
    </w:p>
    <w:p>
      <w:pPr>
        <w:pStyle w:val="Heading3"/>
        <w:spacing w:after="50" w:before="220"/>
      </w:pPr>
      <w:r>
        <w:rPr>
          <w:rFonts w:ascii="Calibri" w:cs="Calibri" w:eastAsia="Calibri" w:hAnsi="Calibri"/>
          <w:b/>
          <w:bCs/>
          <w:color w:val="102A43"/>
          <w:sz w:val="22"/>
          <w:szCs w:val="22"/>
        </w:rPr>
        <w:t xml:space="preserve">Your calendar titles never leave your device</w:t>
      </w:r>
    </w:p>
    <w:p>
      <w:pPr>
        <w:spacing w:after="120" w:line="276"/>
      </w:pPr>
      <w:r>
        <w:rPr>
          <w:rFonts w:ascii="Calibri" w:cs="Calibri" w:eastAsia="Calibri" w:hAnsi="Calibri"/>
          <w:color w:val="1A1A1A"/>
          <w:sz w:val="21"/>
          <w:szCs w:val="21"/>
        </w:rPr>
        <w:t xml:space="preserve">Events are classified locally into busy, free, focus and travel. Only that structure — times and a category — is transmitted. Titles, attendees, descriptions and links are never sent to us and never sent to any AI model.</w:t>
      </w:r>
    </w:p>
    <w:p>
      <w:pPr>
        <w:pStyle w:val="Heading3"/>
        <w:spacing w:after="50" w:before="220"/>
      </w:pPr>
      <w:r>
        <w:rPr>
          <w:rFonts w:ascii="Calibri" w:cs="Calibri" w:eastAsia="Calibri" w:hAnsi="Calibri"/>
          <w:b/>
          <w:bCs/>
          <w:color w:val="102A43"/>
          <w:sz w:val="22"/>
          <w:szCs w:val="22"/>
        </w:rPr>
        <w:t xml:space="preserve">Eleven independent consent switches</w:t>
      </w:r>
    </w:p>
    <w:p>
      <w:pPr>
        <w:spacing w:after="120" w:line="276"/>
      </w:pPr>
      <w:r>
        <w:rPr>
          <w:rFonts w:ascii="Calibri" w:cs="Calibri" w:eastAsia="Calibri" w:hAnsi="Calibri"/>
          <w:color w:val="1A1A1A"/>
          <w:sz w:val="21"/>
          <w:szCs w:val="21"/>
        </w:rPr>
        <w:t xml:space="preserve">Calendar, wearables, location context, heart rate, sleep, team participation, employer analytics, family visibility, research, marketing and AI personalisation. Each independent, each revocable, none required to keep using the product.</w:t>
      </w:r>
    </w:p>
    <w:p>
      <w:pPr>
        <w:pStyle w:val="Heading3"/>
        <w:spacing w:after="50" w:before="220"/>
      </w:pPr>
      <w:r>
        <w:rPr>
          <w:rFonts w:ascii="Calibri" w:cs="Calibri" w:eastAsia="Calibri" w:hAnsi="Calibri"/>
          <w:b/>
          <w:bCs/>
          <w:color w:val="102A43"/>
          <w:sz w:val="22"/>
          <w:szCs w:val="22"/>
        </w:rPr>
        <w:t xml:space="preserve">An employer cannot see an individual — structurally</w:t>
      </w:r>
    </w:p>
    <w:p>
      <w:pPr>
        <w:spacing w:after="120" w:line="276"/>
      </w:pPr>
      <w:r>
        <w:rPr>
          <w:rFonts w:ascii="Calibri" w:cs="Calibri" w:eastAsia="Calibri" w:hAnsi="Calibri"/>
          <w:color w:val="1A1A1A"/>
          <w:sz w:val="21"/>
          <w:szCs w:val="21"/>
        </w:rPr>
        <w:t xml:space="preserve">k-anonymity of 8 enforced in the query planner and again as a database constraint, with intersection-attack checks across filter combinations. The individual view is not permission-gated: it does not exist in the type system, so no role, escalation or support ticket can produce it. Employees see exactly what their employer can see, on a permanent transparency screen.</w:t>
      </w:r>
    </w:p>
    <w:p>
      <w:pPr>
        <w:pStyle w:val="Heading3"/>
        <w:spacing w:after="50" w:before="220"/>
      </w:pPr>
      <w:r>
        <w:rPr>
          <w:rFonts w:ascii="Calibri" w:cs="Calibri" w:eastAsia="Calibri" w:hAnsi="Calibri"/>
          <w:b/>
          <w:bCs/>
          <w:color w:val="102A43"/>
          <w:sz w:val="22"/>
          <w:szCs w:val="22"/>
        </w:rPr>
        <w:t xml:space="preserve">Never sent to any model provider</w:t>
      </w:r>
    </w:p>
    <w:p>
      <w:pPr>
        <w:spacing w:after="120" w:line="276"/>
      </w:pPr>
      <w:r>
        <w:rPr>
          <w:rFonts w:ascii="Calibri" w:cs="Calibri" w:eastAsia="Calibri" w:hAnsi="Calibri"/>
          <w:color w:val="1A1A1A"/>
          <w:sz w:val="21"/>
          <w:szCs w:val="21"/>
        </w:rPr>
        <w:t xml:space="preserve">Calendar titles and attendees, meeting descriptions, free-text health notes, precise location, names and emails, a child’s free-text conversation, and raw wearable time series. Enforced in the AI gateway rather than in the prompt — because a prompt is a request and a gateway is a wall.</w:t>
      </w:r>
    </w:p>
    <w:p>
      <w:pPr>
        <w:pStyle w:val="Heading3"/>
        <w:spacing w:after="50" w:before="220"/>
      </w:pPr>
      <w:r>
        <w:rPr>
          <w:rFonts w:ascii="Calibri" w:cs="Calibri" w:eastAsia="Calibri" w:hAnsi="Calibri"/>
          <w:b/>
          <w:bCs/>
          <w:color w:val="102A43"/>
          <w:sz w:val="22"/>
          <w:szCs w:val="22"/>
        </w:rPr>
        <w:t xml:space="preserve">Children’s Code by construction</w:t>
      </w:r>
    </w:p>
    <w:p>
      <w:pPr>
        <w:spacing w:after="120" w:line="276"/>
      </w:pPr>
      <w:r>
        <w:rPr>
          <w:rFonts w:ascii="Calibri" w:cs="Calibri" w:eastAsia="Calibri" w:hAnsi="Calibri"/>
          <w:color w:val="1A1A1A"/>
          <w:sz w:val="21"/>
          <w:szCs w:val="21"/>
        </w:rPr>
        <w:t xml:space="preserve">Age assurance, guardian consent, high privacy defaults, no targeted advertising, no public profiles, no location sharing, no unrestricted adult contact. A guardian sees participation, safety flags and consent settings — and does not see private check-ins, mood entries or free-text conversation with the coach. That boundary is deliberate and not configurable.</w:t>
      </w:r>
    </w:p>
    <w:p>
      <w:pPr>
        <w:pStyle w:val="Heading1"/>
        <w:pageBreakBefore/>
        <w:spacing w:after="60" w:before="420"/>
      </w:pPr>
      <w:r>
        <w:rPr>
          <w:rFonts w:ascii="Calibri" w:cs="Calibri" w:eastAsia="Calibri" w:hAnsi="Calibri"/>
          <w:b/>
          <w:bCs/>
          <w:color w:val="102A43"/>
          <w:sz w:val="34"/>
          <w:szCs w:val="34"/>
        </w:rPr>
        <w:t xml:space="preserve">10 · Ethics, enforced as a failing build</w:t>
      </w:r>
    </w:p>
    <w:p>
      <w:pPr>
        <w:pStyle w:val="Heading3"/>
        <w:spacing w:after="50" w:before="220"/>
      </w:pPr>
      <w:r>
        <w:rPr>
          <w:rFonts w:ascii="Calibri" w:cs="Calibri" w:eastAsia="Calibri" w:hAnsi="Calibri"/>
          <w:b/>
          <w:bCs/>
          <w:color w:val="C8483D"/>
          <w:sz w:val="22"/>
          <w:szCs w:val="22"/>
        </w:rPr>
        <w:t xml:space="preserve">The Ethical Gamification Charter</w:t>
      </w:r>
    </w:p>
    <w:p>
      <w:pPr>
        <w:spacing w:after="120" w:line="276"/>
      </w:pPr>
      <w:r>
        <w:rPr>
          <w:rFonts w:ascii="Calibri" w:cs="Calibri" w:eastAsia="Calibri" w:hAnsi="Calibri"/>
          <w:color w:val="1A1A1A"/>
          <w:sz w:val="21"/>
          <w:szCs w:val="21"/>
        </w:rPr>
        <w:t xml:space="preserve">Eight rules asserted in continuous integration. A build that violates them does not ship. No paid streak restoration, no loss framing, no bottom-of-leaderboard exposure, no body-composition language to a minor. This category runs on dark patterns; ours are banned at the engine level rather than discouraged in a values page.</w:t>
      </w:r>
    </w:p>
    <w:p>
      <w:pPr>
        <w:pStyle w:val="Heading3"/>
        <w:spacing w:after="50" w:before="220"/>
      </w:pPr>
      <w:r>
        <w:rPr>
          <w:rFonts w:ascii="Calibri" w:cs="Calibri" w:eastAsia="Calibri" w:hAnsi="Calibri"/>
          <w:b/>
          <w:bCs/>
          <w:color w:val="C8483D"/>
          <w:sz w:val="22"/>
          <w:szCs w:val="22"/>
        </w:rPr>
        <w:t xml:space="preserve">The streak forgives</w:t>
      </w:r>
    </w:p>
    <w:p>
      <w:pPr>
        <w:spacing w:after="120" w:line="276"/>
      </w:pPr>
      <w:r>
        <w:rPr>
          <w:rFonts w:ascii="Calibri" w:cs="Calibri" w:eastAsia="Calibri" w:hAnsi="Calibri"/>
          <w:color w:val="1A1A1A"/>
          <w:sz w:val="21"/>
          <w:szCs w:val="21"/>
        </w:rPr>
        <w:t xml:space="preserve">Grace tokens, Flare Mode and a Bereavement Hold are built into the engine. Loss-aversion mechanics that punish illness, caring duties or a disability flare-up are banned. Guilt is a churn driver, not a growth lever.</w:t>
      </w:r>
    </w:p>
    <w:p>
      <w:pPr>
        <w:pStyle w:val="Heading3"/>
        <w:spacing w:after="50" w:before="220"/>
      </w:pPr>
      <w:r>
        <w:rPr>
          <w:rFonts w:ascii="Calibri" w:cs="Calibri" w:eastAsia="Calibri" w:hAnsi="Calibri"/>
          <w:b/>
          <w:bCs/>
          <w:color w:val="C8483D"/>
          <w:sz w:val="22"/>
          <w:szCs w:val="22"/>
        </w:rPr>
        <w:t xml:space="preserve">Points reward the things that actually matter</w:t>
      </w:r>
    </w:p>
    <w:p>
      <w:pPr>
        <w:spacing w:after="120" w:line="276"/>
      </w:pPr>
      <w:r>
        <w:rPr>
          <w:rFonts w:ascii="Calibri" w:cs="Calibri" w:eastAsia="Calibri" w:hAnsi="Calibri"/>
          <w:color w:val="1A1A1A"/>
          <w:sz w:val="21"/>
          <w:szCs w:val="21"/>
        </w:rPr>
        <w:t xml:space="preserve">Starting, completing, returning after a lapse, supporting a teammate, trying a new category, consistency, completing an accessible alternative, and moving during a previously inactive period. Never calories, weight, appearance, maximum intensity or biometric comparison.</w:t>
      </w:r>
    </w:p>
    <w:p>
      <w:pPr>
        <w:pStyle w:val="Heading3"/>
        <w:spacing w:after="50" w:before="220"/>
      </w:pPr>
      <w:r>
        <w:rPr>
          <w:rFonts w:ascii="Calibri" w:cs="Calibri" w:eastAsia="Calibri" w:hAnsi="Calibri"/>
          <w:b/>
          <w:bCs/>
          <w:color w:val="C8483D"/>
          <w:sz w:val="22"/>
          <w:szCs w:val="22"/>
        </w:rPr>
        <w:t xml:space="preserve">Food is described, never the person eating it</w:t>
      </w:r>
    </w:p>
    <w:p>
      <w:pPr>
        <w:spacing w:after="120" w:line="276"/>
      </w:pPr>
      <w:r>
        <w:rPr>
          <w:rFonts w:ascii="Calibri" w:cs="Calibri" w:eastAsia="Calibri" w:hAnsi="Calibri"/>
          <w:color w:val="1A1A1A"/>
          <w:sz w:val="21"/>
          <w:szCs w:val="21"/>
        </w:rPr>
        <w:t xml:space="preserve">Seven permitted framings, exhaustively listed. “Bad”, “junk”, “cheat”, “guilty”, “sinful”, “clean” and “toxic” are banned by list rather than by tone of voice.</w:t>
      </w:r>
    </w:p>
    <w:p>
      <w:pPr>
        <w:pStyle w:val="Heading3"/>
        <w:spacing w:after="50" w:before="220"/>
      </w:pPr>
      <w:r>
        <w:rPr>
          <w:rFonts w:ascii="Calibri" w:cs="Calibri" w:eastAsia="Calibri" w:hAnsi="Calibri"/>
          <w:b/>
          <w:bCs/>
          <w:color w:val="C8483D"/>
          <w:sz w:val="22"/>
          <w:szCs w:val="22"/>
        </w:rPr>
        <w:t xml:space="preserve">Gamification that doesn’t insult anyone</w:t>
      </w:r>
    </w:p>
    <w:p>
      <w:pPr>
        <w:spacing w:after="120" w:line="276"/>
      </w:pPr>
      <w:r>
        <w:rPr>
          <w:rFonts w:ascii="Calibri" w:cs="Calibri" w:eastAsia="Calibri" w:hAnsi="Calibri"/>
          <w:color w:val="1A1A1A"/>
          <w:sz w:val="21"/>
          <w:szCs w:val="21"/>
        </w:rPr>
        <w:t xml:space="preserve">Nine game worlds — Space Explorer, Kingdom Builder, Wildlife Protector, Global Traveller, City Rebuilder, Garden of Movement, Ocean Adventure, Future Athlete and Gentle Vitality Journey — each improved by completed movement. Eleven reward assets including MovePoints, Energy Crystals, Streak Shields, Diversity Seeds and Balance Crowns. The celebration is short: haptics, brief particles, a light sound. No confetti after every action.</w:t>
      </w:r>
    </w:p>
    <w:p>
      <w:pPr>
        <w:pStyle w:val="Heading1"/>
        <w:pageBreakBefore/>
        <w:spacing w:after="60" w:before="420"/>
      </w:pPr>
      <w:r>
        <w:rPr>
          <w:rFonts w:ascii="Calibri" w:cs="Calibri" w:eastAsia="Calibri" w:hAnsi="Calibri"/>
          <w:b/>
          <w:bCs/>
          <w:color w:val="102A43"/>
          <w:sz w:val="34"/>
          <w:szCs w:val="34"/>
        </w:rPr>
        <w:t xml:space="preserve">11 · For organisations</w:t>
      </w:r>
    </w:p>
    <w:p>
      <w:pPr>
        <w:pStyle w:val="Heading3"/>
        <w:spacing w:after="50" w:before="220"/>
      </w:pPr>
      <w:r>
        <w:rPr>
          <w:rFonts w:ascii="Calibri" w:cs="Calibri" w:eastAsia="Calibri" w:hAnsi="Calibri"/>
          <w:b/>
          <w:bCs/>
          <w:color w:val="00A99D"/>
          <w:sz w:val="22"/>
          <w:szCs w:val="22"/>
        </w:rPr>
        <w:t xml:space="preserve">A wellbeing command centre that cannot see a person</w:t>
      </w:r>
    </w:p>
    <w:p>
      <w:pPr>
        <w:spacing w:after="120" w:line="276"/>
      </w:pPr>
      <w:r>
        <w:rPr>
          <w:rFonts w:ascii="Calibri" w:cs="Calibri" w:eastAsia="Calibri" w:hAnsi="Calibri"/>
          <w:color w:val="1A1A1A"/>
          <w:sz w:val="21"/>
          <w:szCs w:val="21"/>
        </w:rPr>
        <w:t xml:space="preserve">SSO, department structure, employee invitation, a challenge builder, a campaign calendar, reward management and aggregate participation analytics — office versus remote, engagement by period, campaign performance. Employers never see health conditions, movement history, heart rate, sleep, disability, declined activities, calendar content or an individual risk score.</w:t>
      </w:r>
    </w:p>
    <w:p>
      <w:pPr>
        <w:pStyle w:val="Heading3"/>
        <w:spacing w:after="50" w:before="220"/>
      </w:pPr>
      <w:r>
        <w:rPr>
          <w:rFonts w:ascii="Calibri" w:cs="Calibri" w:eastAsia="Calibri" w:hAnsi="Calibri"/>
          <w:b/>
          <w:bCs/>
          <w:color w:val="00A99D"/>
          <w:sz w:val="22"/>
          <w:szCs w:val="22"/>
        </w:rPr>
        <w:t xml:space="preserve">Meeting-culture insight</w:t>
      </w:r>
    </w:p>
    <w:p>
      <w:pPr>
        <w:spacing w:after="120" w:line="276"/>
      </w:pPr>
      <w:r>
        <w:rPr>
          <w:rFonts w:ascii="Calibri" w:cs="Calibri" w:eastAsia="Calibri" w:hAnsi="Calibri"/>
          <w:color w:val="1A1A1A"/>
          <w:sz w:val="21"/>
          <w:szCs w:val="21"/>
        </w:rPr>
        <w:t xml:space="preserve">Which meeting structures never leave a gap. It’s the most actionable thing an employer can learn from this data, and it’s about the calendar rather than about any person.</w:t>
      </w:r>
    </w:p>
    <w:p>
      <w:pPr>
        <w:pStyle w:val="Heading3"/>
        <w:spacing w:after="50" w:before="220"/>
      </w:pPr>
      <w:r>
        <w:rPr>
          <w:rFonts w:ascii="Calibri" w:cs="Calibri" w:eastAsia="Calibri" w:hAnsi="Calibri"/>
          <w:b/>
          <w:bCs/>
          <w:color w:val="00A99D"/>
          <w:sz w:val="22"/>
          <w:szCs w:val="22"/>
        </w:rPr>
        <w:t xml:space="preserve">Schools</w:t>
      </w:r>
    </w:p>
    <w:p>
      <w:pPr>
        <w:spacing w:after="120" w:line="276"/>
      </w:pPr>
      <w:r>
        <w:rPr>
          <w:rFonts w:ascii="Calibri" w:cs="Calibri" w:eastAsia="Calibri" w:hAnsi="Calibri"/>
          <w:color w:val="1A1A1A"/>
          <w:sz w:val="21"/>
          <w:szCs w:val="21"/>
        </w:rPr>
        <w:t xml:space="preserve">Teacher-triggered classroom breaks that fit inside a lesson, timetable integration, class and house challenges, revision-reset mode, parental consent workflows, and accessibility adaptations on every routine. Aggregate school reporting only — no public child profiles, and no pupil ever named in a ranking.</w:t>
      </w:r>
    </w:p>
    <w:p>
      <w:pPr>
        <w:pStyle w:val="Heading3"/>
        <w:spacing w:after="50" w:before="220"/>
      </w:pPr>
      <w:r>
        <w:rPr>
          <w:rFonts w:ascii="Calibri" w:cs="Calibri" w:eastAsia="Calibri" w:hAnsi="Calibri"/>
          <w:b/>
          <w:bCs/>
          <w:color w:val="00A99D"/>
          <w:sz w:val="22"/>
          <w:szCs w:val="22"/>
        </w:rPr>
        <w:t xml:space="preserve">Care and later life</w:t>
      </w:r>
    </w:p>
    <w:p>
      <w:pPr>
        <w:spacing w:after="120" w:line="276"/>
      </w:pPr>
      <w:r>
        <w:rPr>
          <w:rFonts w:ascii="Calibri" w:cs="Calibri" w:eastAsia="Calibri" w:hAnsi="Calibri"/>
          <w:color w:val="1A1A1A"/>
          <w:sz w:val="21"/>
          <w:szCs w:val="21"/>
        </w:rPr>
        <w:t xml:space="preserve">Resident profiles with representative and consent controls, group sessions, a seated movement library, smart-TV mode, voice-guided sessions, family participation, and participation records suitable as inspection evidence. Stable-support reminders, seated defaults, slow transitions, and pain and dizziness stop prompts throughout.</w:t>
      </w:r>
    </w:p>
    <w:p>
      <w:pPr>
        <w:pStyle w:val="Heading3"/>
        <w:spacing w:after="50" w:before="220"/>
      </w:pPr>
      <w:r>
        <w:rPr>
          <w:rFonts w:ascii="Calibri" w:cs="Calibri" w:eastAsia="Calibri" w:hAnsi="Calibri"/>
          <w:b/>
          <w:bCs/>
          <w:color w:val="00A99D"/>
          <w:sz w:val="22"/>
          <w:szCs w:val="22"/>
        </w:rPr>
        <w:t xml:space="preserve">Councils and public health</w:t>
      </w:r>
    </w:p>
    <w:p>
      <w:pPr>
        <w:spacing w:after="120" w:line="276"/>
      </w:pPr>
      <w:r>
        <w:rPr>
          <w:rFonts w:ascii="Calibri" w:cs="Calibri" w:eastAsia="Calibri" w:hAnsi="Calibri"/>
          <w:color w:val="1A1A1A"/>
          <w:sz w:val="21"/>
          <w:szCs w:val="21"/>
        </w:rPr>
        <w:t xml:space="preserve">Regional and multi-site licensing, sponsored programmes, delivery to any phone that receives a message, privacy-protected outcome reporting at cohort level, and multilingual UK support. This is how you reach the people every other product designs out.</w:t>
      </w:r>
    </w:p>
    <w:p>
      <w:pPr>
        <w:pStyle w:val="Heading1"/>
        <w:pageBreakBefore/>
        <w:spacing w:after="60" w:before="420"/>
      </w:pPr>
      <w:r>
        <w:rPr>
          <w:rFonts w:ascii="Calibri" w:cs="Calibri" w:eastAsia="Calibri" w:hAnsi="Calibri"/>
          <w:b/>
          <w:bCs/>
          <w:color w:val="102A43"/>
          <w:sz w:val="34"/>
          <w:szCs w:val="34"/>
        </w:rPr>
        <w:t xml:space="preserve">12 · Platform and technical credibility</w:t>
      </w:r>
    </w:p>
    <w:p>
      <w:pPr>
        <w:pStyle w:val="Heading3"/>
        <w:spacing w:after="50" w:before="220"/>
      </w:pPr>
      <w:r>
        <w:rPr>
          <w:rFonts w:ascii="Calibri" w:cs="Calibri" w:eastAsia="Calibri" w:hAnsi="Calibri"/>
          <w:b/>
          <w:bCs/>
          <w:color w:val="3487F7"/>
          <w:sz w:val="22"/>
          <w:szCs w:val="22"/>
        </w:rPr>
        <w:t xml:space="preserve">Three AI providers behind one gateway</w:t>
      </w:r>
    </w:p>
    <w:p>
      <w:pPr>
        <w:spacing w:after="120" w:line="276"/>
      </w:pPr>
      <w:r>
        <w:rPr>
          <w:rFonts w:ascii="Calibri" w:cs="Calibri" w:eastAsia="Calibri" w:hAnsi="Calibri"/>
          <w:color w:val="1A1A1A"/>
          <w:sz w:val="21"/>
          <w:szCs w:val="21"/>
        </w:rPr>
        <w:t xml:space="preserve">Anthropic, OpenAI and Google Gemini. Agents never touch a vendor SDK — the gateway owns provider selection, the fallback chain, prompt redaction, per-agent cost ceilings, timeouts and the decision log. If a provider refuses or fails, it walks to the next. If all of them fail, the app serves your cached plan. A slow model must never produce a broken app.</w:t>
      </w:r>
    </w:p>
    <w:p>
      <w:pPr>
        <w:pStyle w:val="Heading3"/>
        <w:spacing w:after="50" w:before="220"/>
      </w:pPr>
      <w:r>
        <w:rPr>
          <w:rFonts w:ascii="Calibri" w:cs="Calibri" w:eastAsia="Calibri" w:hAnsi="Calibri"/>
          <w:b/>
          <w:bCs/>
          <w:color w:val="3487F7"/>
          <w:sz w:val="22"/>
          <w:szCs w:val="22"/>
        </w:rPr>
        <w:t xml:space="preserve">Twelve agents, twenty-six deployable services</w:t>
      </w:r>
    </w:p>
    <w:p>
      <w:pPr>
        <w:spacing w:after="120" w:line="276"/>
      </w:pPr>
      <w:r>
        <w:rPr>
          <w:rFonts w:ascii="Calibri" w:cs="Calibri" w:eastAsia="Calibri" w:hAnsi="Calibri"/>
          <w:color w:val="1A1A1A"/>
          <w:sz w:val="21"/>
          <w:szCs w:val="21"/>
        </w:rPr>
        <w:t xml:space="preserve">Each owns exactly one decision. Safety can only narrow. Recovery &amp; Fatigue can veto the whole day. Engagement Rescue exists because the second-hardest problem in this category is the week after the novelty wears off — so it’s an agent, not a feature.</w:t>
      </w:r>
    </w:p>
    <w:p>
      <w:pPr>
        <w:pStyle w:val="Heading3"/>
        <w:spacing w:after="50" w:before="220"/>
      </w:pPr>
      <w:r>
        <w:rPr>
          <w:rFonts w:ascii="Calibri" w:cs="Calibri" w:eastAsia="Calibri" w:hAnsi="Calibri"/>
          <w:b/>
          <w:bCs/>
          <w:color w:val="3487F7"/>
          <w:sz w:val="22"/>
          <w:szCs w:val="22"/>
        </w:rPr>
        <w:t xml:space="preserve">The rules live in the database</w:t>
      </w:r>
    </w:p>
    <w:p>
      <w:pPr>
        <w:spacing w:after="120" w:line="276"/>
      </w:pPr>
      <w:r>
        <w:rPr>
          <w:rFonts w:ascii="Calibri" w:cs="Calibri" w:eastAsia="Calibri" w:hAnsi="Calibri"/>
          <w:color w:val="1A1A1A"/>
          <w:sz w:val="21"/>
          <w:szCs w:val="21"/>
        </w:rPr>
        <w:t xml:space="preserve">A movement outside 90–300 seconds, a prescription without a context decision, a minor without a guardian, a minor in an adult mode, an unreviewed publication, a cohort report below the privacy floor — all rejected by PostgreSQL itself, with a test for each that attempts the violating write and asserts the rejection. Application code is where invariants go to be forgotten.</w:t>
      </w:r>
    </w:p>
    <w:p>
      <w:pPr>
        <w:pStyle w:val="Heading3"/>
        <w:spacing w:after="50" w:before="220"/>
      </w:pPr>
      <w:r>
        <w:rPr>
          <w:rFonts w:ascii="Calibri" w:cs="Calibri" w:eastAsia="Calibri" w:hAnsi="Calibri"/>
          <w:b/>
          <w:bCs/>
          <w:color w:val="3487F7"/>
          <w:sz w:val="22"/>
          <w:szCs w:val="22"/>
        </w:rPr>
        <w:t xml:space="preserve">Transparent compute costs</w:t>
      </w:r>
    </w:p>
    <w:p>
      <w:pPr>
        <w:spacing w:after="120" w:line="276"/>
      </w:pPr>
      <w:r>
        <w:rPr>
          <w:rFonts w:ascii="Calibri" w:cs="Calibri" w:eastAsia="Calibri" w:hAnsi="Calibri"/>
          <w:color w:val="1A1A1A"/>
          <w:sz w:val="21"/>
          <w:szCs w:val="21"/>
        </w:rPr>
        <w:t xml:space="preserve">Every expensive AI action is priced before it runs — you approve the cost, then it happens. Balances, allowances and spend controls are visible, with a hard stop at zero that names what still works. No surprise bills, no hidden throttling.</w:t>
      </w:r>
    </w:p>
    <w:p>
      <w:pPr>
        <w:pStyle w:val="Heading3"/>
        <w:spacing w:after="50" w:before="220"/>
      </w:pPr>
      <w:r>
        <w:rPr>
          <w:rFonts w:ascii="Calibri" w:cs="Calibri" w:eastAsia="Calibri" w:hAnsi="Calibri"/>
          <w:b/>
          <w:bCs/>
          <w:color w:val="3487F7"/>
          <w:sz w:val="22"/>
          <w:szCs w:val="22"/>
        </w:rPr>
        <w:t xml:space="preserve">Accessibility as an engineering constraint</w:t>
      </w:r>
    </w:p>
    <w:p>
      <w:pPr>
        <w:spacing w:after="120" w:line="276"/>
      </w:pPr>
      <w:r>
        <w:rPr>
          <w:rFonts w:ascii="Calibri" w:cs="Calibri" w:eastAsia="Calibri" w:hAnsi="Calibri"/>
          <w:color w:val="1A1A1A"/>
          <w:sz w:val="21"/>
          <w:szCs w:val="21"/>
        </w:rPr>
        <w:t xml:space="preserve">WCAG 2.2 AA as the floor and AAA in Explorer, Independence and Vitality. Pointer targets at 48px standard and 56px in later-life modes — double the WCAG minimum. Reduced-motion respected throughout, nothing flashes above 3Hz, and colour is never the only way information is communicated.</w:t>
      </w:r>
    </w:p>
    <w:p>
      <w:pPr>
        <w:pStyle w:val="Heading3"/>
        <w:spacing w:after="50" w:before="220"/>
      </w:pPr>
      <w:r>
        <w:rPr>
          <w:rFonts w:ascii="Calibri" w:cs="Calibri" w:eastAsia="Calibri" w:hAnsi="Calibri"/>
          <w:b/>
          <w:bCs/>
          <w:color w:val="3487F7"/>
          <w:sz w:val="22"/>
          <w:szCs w:val="22"/>
        </w:rPr>
        <w:t xml:space="preserve">A public status page</w:t>
      </w:r>
    </w:p>
    <w:p>
      <w:pPr>
        <w:spacing w:after="120" w:line="276"/>
      </w:pPr>
      <w:r>
        <w:rPr>
          <w:rFonts w:ascii="Calibri" w:cs="Calibri" w:eastAsia="Calibri" w:hAnsi="Calibri"/>
          <w:color w:val="1A1A1A"/>
          <w:sz w:val="21"/>
          <w:szCs w:val="21"/>
        </w:rPr>
        <w:t xml:space="preserve">Every service, thirty days of history, and — more usefully — what actually happens to your day when a component fails. Safety screening, the five-variant requirement, the under-18 prohibition and the privacy floor never degrade: they fail closed.</w:t>
      </w:r>
    </w:p>
    <w:p>
      <w:pPr>
        <w:pStyle w:val="Heading1"/>
        <w:pageBreakBefore/>
        <w:spacing w:after="60" w:before="420"/>
      </w:pPr>
      <w:r>
        <w:rPr>
          <w:rFonts w:ascii="Calibri" w:cs="Calibri" w:eastAsia="Calibri" w:hAnsi="Calibri"/>
          <w:b/>
          <w:bCs/>
          <w:color w:val="102A43"/>
          <w:sz w:val="34"/>
          <w:szCs w:val="34"/>
        </w:rPr>
        <w:t xml:space="preserve">13 · Plans</w:t>
      </w:r>
    </w:p>
    <w:tbl>
      <w:tblPr>
        <w:tblW w:type="dxa" w:w="9360"/>
        <w:tblBorders>
          <w:top w:val="single" w:color="DCE6E4" w:sz="2"/>
          <w:left w:val="none" w:color="auto" w:sz="0"/>
          <w:bottom w:val="single" w:color="DCE6E4" w:sz="2"/>
          <w:right w:val="none" w:color="auto" w:sz="0"/>
          <w:insideH w:val="single" w:color="DCE6E4" w:sz="2"/>
          <w:insideV w:val="none" w:color="auto" w:sz="0"/>
        </w:tblBorders>
      </w:tblPr>
      <w:tblGrid>
        <w:gridCol w:w="1700"/>
        <w:gridCol w:w="2200"/>
        <w:gridCol w:w="5460"/>
      </w:tblGrid>
      <w:tr>
        <w:trPr>
          <w:tblHeader/>
        </w:trPr>
        <w:tc>
          <w:tcPr>
            <w:tcW w:type="dxa" w:w="1700"/>
            <w:shd w:fill="102A43" w:color="auto" w:val="clear"/>
            <w:tcMar>
              <w:top w:type="dxa" w:w="90"/>
              <w:left w:type="dxa" w:w="130"/>
              <w:bottom w:type="dxa" w:w="90"/>
              <w:right w:type="dxa" w:w="130"/>
            </w:tcMar>
          </w:tcPr>
          <w:p>
            <w:pPr>
              <w:spacing w:after="0" w:line="260"/>
            </w:pPr>
            <w:r>
              <w:rPr>
                <w:rFonts w:ascii="Calibri" w:cs="Calibri" w:eastAsia="Calibri" w:hAnsi="Calibri"/>
                <w:b/>
                <w:bCs/>
                <w:caps/>
                <w:color w:val="FFFFFF"/>
                <w:spacing w:val="20"/>
                <w:sz w:val="17"/>
                <w:szCs w:val="17"/>
              </w:rPr>
              <w:t xml:space="preserve">Plan</w:t>
            </w:r>
          </w:p>
        </w:tc>
        <w:tc>
          <w:tcPr>
            <w:tcW w:type="dxa" w:w="2200"/>
            <w:shd w:fill="102A43" w:color="auto" w:val="clear"/>
            <w:tcMar>
              <w:top w:type="dxa" w:w="90"/>
              <w:left w:type="dxa" w:w="130"/>
              <w:bottom w:type="dxa" w:w="90"/>
              <w:right w:type="dxa" w:w="130"/>
            </w:tcMar>
          </w:tcPr>
          <w:p>
            <w:pPr>
              <w:spacing w:after="0" w:line="260"/>
            </w:pPr>
            <w:r>
              <w:rPr>
                <w:rFonts w:ascii="Calibri" w:cs="Calibri" w:eastAsia="Calibri" w:hAnsi="Calibri"/>
                <w:b/>
                <w:bCs/>
                <w:caps/>
                <w:color w:val="FFFFFF"/>
                <w:spacing w:val="20"/>
                <w:sz w:val="17"/>
                <w:szCs w:val="17"/>
              </w:rPr>
              <w:t xml:space="preserve">Price</w:t>
            </w:r>
          </w:p>
        </w:tc>
        <w:tc>
          <w:tcPr>
            <w:tcW w:type="dxa" w:w="5460"/>
            <w:shd w:fill="102A43" w:color="auto" w:val="clear"/>
            <w:tcMar>
              <w:top w:type="dxa" w:w="90"/>
              <w:left w:type="dxa" w:w="130"/>
              <w:bottom w:type="dxa" w:w="90"/>
              <w:right w:type="dxa" w:w="130"/>
            </w:tcMar>
          </w:tcPr>
          <w:p>
            <w:pPr>
              <w:spacing w:after="0" w:line="260"/>
            </w:pPr>
            <w:r>
              <w:rPr>
                <w:rFonts w:ascii="Calibri" w:cs="Calibri" w:eastAsia="Calibri" w:hAnsi="Calibri"/>
                <w:b/>
                <w:bCs/>
                <w:caps/>
                <w:color w:val="FFFFFF"/>
                <w:spacing w:val="20"/>
                <w:sz w:val="17"/>
                <w:szCs w:val="17"/>
              </w:rPr>
              <w:t xml:space="preserve">For</w:t>
            </w:r>
          </w:p>
        </w:tc>
      </w:tr>
      <w:tr>
        <w:tc>
          <w:tcPr>
            <w:tcW w:type="dxa" w:w="1700"/>
            <w:tcMar>
              <w:top w:type="dxa" w:w="90"/>
              <w:left w:type="dxa" w:w="130"/>
              <w:bottom w:type="dxa" w:w="90"/>
              <w:right w:type="dxa" w:w="130"/>
            </w:tcMar>
          </w:tcPr>
          <w:p>
            <w:pPr>
              <w:spacing w:after="0" w:line="260"/>
            </w:pPr>
            <w:r>
              <w:rPr>
                <w:rFonts w:ascii="Calibri" w:cs="Calibri" w:eastAsia="Calibri" w:hAnsi="Calibri"/>
                <w:b/>
                <w:bCs/>
                <w:color w:val="1A1A1A"/>
                <w:sz w:val="20"/>
                <w:szCs w:val="20"/>
              </w:rPr>
              <w:t xml:space="preserve">Free</w:t>
            </w:r>
          </w:p>
        </w:tc>
        <w:tc>
          <w:tcPr>
            <w:tcW w:type="dxa" w:w="2200"/>
            <w:tcMar>
              <w:top w:type="dxa" w:w="90"/>
              <w:left w:type="dxa" w:w="130"/>
              <w:bottom w:type="dxa" w:w="90"/>
              <w:right w:type="dxa" w:w="130"/>
            </w:tcMar>
          </w:tcPr>
          <w:p>
            <w:pPr>
              <w:spacing w:after="0" w:line="260"/>
            </w:pPr>
            <w:r>
              <w:rPr>
                <w:rFonts w:ascii="Calibri" w:cs="Calibri" w:eastAsia="Calibri" w:hAnsi="Calibri"/>
                <w:b w:val="false"/>
                <w:bCs w:val="false"/>
                <w:color w:val="1A1A1A"/>
                <w:sz w:val="20"/>
                <w:szCs w:val="20"/>
              </w:rPr>
              <w:t xml:space="preserve">£0</w:t>
            </w:r>
          </w:p>
        </w:tc>
        <w:tc>
          <w:tcPr>
            <w:tcW w:type="dxa" w:w="5460"/>
            <w:tcMar>
              <w:top w:type="dxa" w:w="90"/>
              <w:left w:type="dxa" w:w="130"/>
              <w:bottom w:type="dxa" w:w="90"/>
              <w:right w:type="dxa" w:w="130"/>
            </w:tcMar>
          </w:tcPr>
          <w:p>
            <w:pPr>
              <w:spacing w:after="0" w:line="260"/>
            </w:pPr>
            <w:r>
              <w:rPr>
                <w:rFonts w:ascii="Calibri" w:cs="Calibri" w:eastAsia="Calibri" w:hAnsi="Calibri"/>
                <w:b w:val="false"/>
                <w:bCs w:val="false"/>
                <w:color w:val="1A1A1A"/>
                <w:sz w:val="20"/>
                <w:szCs w:val="20"/>
              </w:rPr>
              <w:t xml:space="preserve">Anyone who wants to see whether their day really does have room. No card required.</w:t>
            </w:r>
          </w:p>
        </w:tc>
      </w:tr>
      <w:tr>
        <w:tc>
          <w:tcPr>
            <w:tcW w:type="dxa" w:w="1700"/>
            <w:shd w:fill="F7FAF9" w:color="auto" w:val="clear"/>
            <w:tcMar>
              <w:top w:type="dxa" w:w="90"/>
              <w:left w:type="dxa" w:w="130"/>
              <w:bottom w:type="dxa" w:w="90"/>
              <w:right w:type="dxa" w:w="130"/>
            </w:tcMar>
          </w:tcPr>
          <w:p>
            <w:pPr>
              <w:spacing w:after="0" w:line="260"/>
            </w:pPr>
            <w:r>
              <w:rPr>
                <w:rFonts w:ascii="Calibri" w:cs="Calibri" w:eastAsia="Calibri" w:hAnsi="Calibri"/>
                <w:b/>
                <w:bCs/>
                <w:color w:val="1A1A1A"/>
                <w:sz w:val="20"/>
                <w:szCs w:val="20"/>
              </w:rPr>
              <w:t xml:space="preserve">Premium</w:t>
            </w:r>
          </w:p>
        </w:tc>
        <w:tc>
          <w:tcPr>
            <w:tcW w:type="dxa" w:w="2200"/>
            <w:shd w:fill="F7FAF9" w:color="auto" w:val="clear"/>
            <w:tcMar>
              <w:top w:type="dxa" w:w="90"/>
              <w:left w:type="dxa" w:w="130"/>
              <w:bottom w:type="dxa" w:w="90"/>
              <w:right w:type="dxa" w:w="130"/>
            </w:tcMar>
          </w:tcPr>
          <w:p>
            <w:pPr>
              <w:spacing w:after="0" w:line="260"/>
            </w:pPr>
            <w:r>
              <w:rPr>
                <w:rFonts w:ascii="Calibri" w:cs="Calibri" w:eastAsia="Calibri" w:hAnsi="Calibri"/>
                <w:b w:val="false"/>
                <w:bCs w:val="false"/>
                <w:color w:val="1A1A1A"/>
                <w:sz w:val="20"/>
                <w:szCs w:val="20"/>
              </w:rPr>
              <w:t xml:space="preserve">£5.99–£8.99 / month</w:t>
            </w:r>
          </w:p>
        </w:tc>
        <w:tc>
          <w:tcPr>
            <w:tcW w:type="dxa" w:w="5460"/>
            <w:shd w:fill="F7FAF9" w:color="auto" w:val="clear"/>
            <w:tcMar>
              <w:top w:type="dxa" w:w="90"/>
              <w:left w:type="dxa" w:w="130"/>
              <w:bottom w:type="dxa" w:w="90"/>
              <w:right w:type="dxa" w:w="130"/>
            </w:tcMar>
          </w:tcPr>
          <w:p>
            <w:pPr>
              <w:spacing w:after="0" w:line="260"/>
            </w:pPr>
            <w:r>
              <w:rPr>
                <w:rFonts w:ascii="Calibri" w:cs="Calibri" w:eastAsia="Calibri" w:hAnsi="Calibri"/>
                <w:b w:val="false"/>
                <w:bCs w:val="false"/>
                <w:color w:val="1A1A1A"/>
                <w:sz w:val="20"/>
                <w:szCs w:val="20"/>
              </w:rPr>
              <w:t xml:space="preserve">One person who wants the full engine pointed at their actual calendar.</w:t>
            </w:r>
          </w:p>
        </w:tc>
      </w:tr>
      <w:tr>
        <w:tc>
          <w:tcPr>
            <w:tcW w:type="dxa" w:w="1700"/>
            <w:tcMar>
              <w:top w:type="dxa" w:w="90"/>
              <w:left w:type="dxa" w:w="130"/>
              <w:bottom w:type="dxa" w:w="90"/>
              <w:right w:type="dxa" w:w="130"/>
            </w:tcMar>
          </w:tcPr>
          <w:p>
            <w:pPr>
              <w:spacing w:after="0" w:line="260"/>
            </w:pPr>
            <w:r>
              <w:rPr>
                <w:rFonts w:ascii="Calibri" w:cs="Calibri" w:eastAsia="Calibri" w:hAnsi="Calibri"/>
                <w:b/>
                <w:bCs/>
                <w:color w:val="1A1A1A"/>
                <w:sz w:val="20"/>
                <w:szCs w:val="20"/>
              </w:rPr>
              <w:t xml:space="preserve">Family</w:t>
            </w:r>
          </w:p>
        </w:tc>
        <w:tc>
          <w:tcPr>
            <w:tcW w:type="dxa" w:w="2200"/>
            <w:tcMar>
              <w:top w:type="dxa" w:w="90"/>
              <w:left w:type="dxa" w:w="130"/>
              <w:bottom w:type="dxa" w:w="90"/>
              <w:right w:type="dxa" w:w="130"/>
            </w:tcMar>
          </w:tcPr>
          <w:p>
            <w:pPr>
              <w:spacing w:after="0" w:line="260"/>
            </w:pPr>
            <w:r>
              <w:rPr>
                <w:rFonts w:ascii="Calibri" w:cs="Calibri" w:eastAsia="Calibri" w:hAnsi="Calibri"/>
                <w:b w:val="false"/>
                <w:bCs w:val="false"/>
                <w:color w:val="1A1A1A"/>
                <w:sz w:val="20"/>
                <w:szCs w:val="20"/>
              </w:rPr>
              <w:t xml:space="preserve">£12.99–£17.99 / month</w:t>
            </w:r>
          </w:p>
        </w:tc>
        <w:tc>
          <w:tcPr>
            <w:tcW w:type="dxa" w:w="5460"/>
            <w:tcMar>
              <w:top w:type="dxa" w:w="90"/>
              <w:left w:type="dxa" w:w="130"/>
              <w:bottom w:type="dxa" w:w="90"/>
              <w:right w:type="dxa" w:w="130"/>
            </w:tcMar>
          </w:tcPr>
          <w:p>
            <w:pPr>
              <w:spacing w:after="0" w:line="260"/>
            </w:pPr>
            <w:r>
              <w:rPr>
                <w:rFonts w:ascii="Calibri" w:cs="Calibri" w:eastAsia="Calibri" w:hAnsi="Calibri"/>
                <w:b w:val="false"/>
                <w:bCs w:val="false"/>
                <w:color w:val="1A1A1A"/>
                <w:sz w:val="20"/>
                <w:szCs w:val="20"/>
              </w:rPr>
              <w:t xml:space="preserve">Up to six people, ten years old to a hundred, in one household.</w:t>
            </w:r>
          </w:p>
        </w:tc>
      </w:tr>
      <w:tr>
        <w:tc>
          <w:tcPr>
            <w:tcW w:type="dxa" w:w="1700"/>
            <w:shd w:fill="F7FAF9" w:color="auto" w:val="clear"/>
            <w:tcMar>
              <w:top w:type="dxa" w:w="90"/>
              <w:left w:type="dxa" w:w="130"/>
              <w:bottom w:type="dxa" w:w="90"/>
              <w:right w:type="dxa" w:w="130"/>
            </w:tcMar>
          </w:tcPr>
          <w:p>
            <w:pPr>
              <w:spacing w:after="0" w:line="260"/>
            </w:pPr>
            <w:r>
              <w:rPr>
                <w:rFonts w:ascii="Calibri" w:cs="Calibri" w:eastAsia="Calibri" w:hAnsi="Calibri"/>
                <w:b/>
                <w:bCs/>
                <w:color w:val="1A1A1A"/>
                <w:sz w:val="20"/>
                <w:szCs w:val="20"/>
              </w:rPr>
              <w:t xml:space="preserve">Organisation</w:t>
            </w:r>
          </w:p>
        </w:tc>
        <w:tc>
          <w:tcPr>
            <w:tcW w:type="dxa" w:w="2200"/>
            <w:shd w:fill="F7FAF9" w:color="auto" w:val="clear"/>
            <w:tcMar>
              <w:top w:type="dxa" w:w="90"/>
              <w:left w:type="dxa" w:w="130"/>
              <w:bottom w:type="dxa" w:w="90"/>
              <w:right w:type="dxa" w:w="130"/>
            </w:tcMar>
          </w:tcPr>
          <w:p>
            <w:pPr>
              <w:spacing w:after="0" w:line="260"/>
            </w:pPr>
            <w:r>
              <w:rPr>
                <w:rFonts w:ascii="Calibri" w:cs="Calibri" w:eastAsia="Calibri" w:hAnsi="Calibri"/>
                <w:b w:val="false"/>
                <w:bCs w:val="false"/>
                <w:color w:val="1A1A1A"/>
                <w:sz w:val="20"/>
                <w:szCs w:val="20"/>
              </w:rPr>
              <w:t xml:space="preserve">£2–£5 per person / month</w:t>
            </w:r>
          </w:p>
        </w:tc>
        <w:tc>
          <w:tcPr>
            <w:tcW w:type="dxa" w:w="5460"/>
            <w:shd w:fill="F7FAF9" w:color="auto" w:val="clear"/>
            <w:tcMar>
              <w:top w:type="dxa" w:w="90"/>
              <w:left w:type="dxa" w:w="130"/>
              <w:bottom w:type="dxa" w:w="90"/>
              <w:right w:type="dxa" w:w="130"/>
            </w:tcMar>
          </w:tcPr>
          <w:p>
            <w:pPr>
              <w:spacing w:after="0" w:line="260"/>
            </w:pPr>
            <w:r>
              <w:rPr>
                <w:rFonts w:ascii="Calibri" w:cs="Calibri" w:eastAsia="Calibri" w:hAnsi="Calibri"/>
                <w:b w:val="false"/>
                <w:bCs w:val="false"/>
                <w:color w:val="1A1A1A"/>
                <w:sz w:val="20"/>
                <w:szCs w:val="20"/>
              </w:rPr>
              <w:t xml:space="preserve">Employers, schools, care providers and councils. Minimum 10 seats, annual contract.</w:t>
            </w:r>
          </w:p>
        </w:tc>
      </w:tr>
    </w:tbl>
    <w:p>
      <w:pPr>
        <w:spacing w:after="220" w:line="276"/>
      </w:pPr>
      <w:r>
        <w:rPr>
          <w:rFonts w:ascii="Calibri" w:cs="Calibri" w:eastAsia="Calibri" w:hAnsi="Calibri"/>
          <w:color w:val="1A1A1A"/>
          <w:sz w:val="21"/>
          <w:szCs w:val="21"/>
        </w:rPr>
        <w:t xml:space="preserve">Nothing is ever charged below £5. No hidden usage limits. Cancelling is one tap.</w:t>
      </w:r>
    </w:p>
    <w:p>
      <w:pPr>
        <w:pStyle w:val="Heading2"/>
        <w:spacing w:after="100" w:before="300"/>
      </w:pPr>
      <w:r>
        <w:rPr>
          <w:rFonts w:ascii="Calibri" w:cs="Calibri" w:eastAsia="Calibri" w:hAnsi="Calibri"/>
          <w:b/>
          <w:bCs/>
          <w:color w:val="00A99D"/>
          <w:sz w:val="26"/>
          <w:szCs w:val="26"/>
        </w:rPr>
        <w:t xml:space="preserve">The five things that make this defensible</w:t>
      </w:r>
    </w:p>
    <w:p>
      <w:pPr>
        <w:pStyle w:val="ListParagraph"/>
        <w:numPr>
          <w:ilvl w:val="0"/>
          <w:numId w:val="2"/>
        </w:numPr>
        <w:spacing w:after="70" w:line="276"/>
      </w:pPr>
      <w:r>
        <w:rPr>
          <w:rFonts w:ascii="Calibri" w:cs="Calibri" w:eastAsia="Calibri" w:hAnsi="Calibri"/>
          <w:color w:val="1A1A1A"/>
          <w:sz w:val="21"/>
          <w:szCs w:val="21"/>
        </w:rPr>
        <w:t xml:space="preserve">The five-variant publishing gate. A competitor with a standing-first video library cannot retrofit five independently authored variants across six age modes and six cue channels. It is 180 authored cue sets per movement, and it is a gate rather than a goal.</w:t>
      </w:r>
    </w:p>
    <w:p>
      <w:pPr>
        <w:pStyle w:val="ListParagraph"/>
        <w:numPr>
          <w:ilvl w:val="0"/>
          <w:numId w:val="2"/>
        </w:numPr>
        <w:spacing w:after="70" w:line="276"/>
      </w:pPr>
      <w:r>
        <w:rPr>
          <w:rFonts w:ascii="Calibri" w:cs="Calibri" w:eastAsia="Calibri" w:hAnsi="Calibri"/>
          <w:color w:val="1A1A1A"/>
          <w:sz w:val="21"/>
          <w:szCs w:val="21"/>
        </w:rPr>
        <w:t xml:space="preserve">The Movement Opportunity Graph. A continuously improving model linking context, available time, sedentary duration, movement type, motivation, environment, age, capability and outcome. Anyone can film exercises. Nobody else will know which prompt works, for whom, in which room, after how long sitting, in which tone.</w:t>
      </w:r>
    </w:p>
    <w:p>
      <w:pPr>
        <w:pStyle w:val="ListParagraph"/>
        <w:numPr>
          <w:ilvl w:val="0"/>
          <w:numId w:val="2"/>
        </w:numPr>
        <w:spacing w:after="70" w:line="276"/>
      </w:pPr>
      <w:r>
        <w:rPr>
          <w:rFonts w:ascii="Calibri" w:cs="Calibri" w:eastAsia="Calibri" w:hAnsi="Calibri"/>
          <w:color w:val="1A1A1A"/>
          <w:sz w:val="21"/>
          <w:szCs w:val="21"/>
        </w:rPr>
        <w:t xml:space="preserve">The Completion Probability Model. It predicts what this person will actually finish at this moment — not what is theoretically best. Optimising for completion instead of intensity is the whole thesis.</w:t>
      </w:r>
    </w:p>
    <w:p>
      <w:pPr>
        <w:pStyle w:val="ListParagraph"/>
        <w:numPr>
          <w:ilvl w:val="0"/>
          <w:numId w:val="2"/>
        </w:numPr>
        <w:spacing w:after="70" w:line="276"/>
      </w:pPr>
      <w:r>
        <w:rPr>
          <w:rFonts w:ascii="Calibri" w:cs="Calibri" w:eastAsia="Calibri" w:hAnsi="Calibri"/>
          <w:color w:val="1A1A1A"/>
          <w:sz w:val="21"/>
          <w:szCs w:val="21"/>
        </w:rPr>
        <w:t xml:space="preserve">The Inclusive Gamification Engine. A scoring system where a child, a wheelchair user and an octogenarian compete fairly in the same challenge. This unlocks families, schools, care homes and whole workforces rather than only the already-fit.</w:t>
      </w:r>
    </w:p>
    <w:p>
      <w:pPr>
        <w:pStyle w:val="ListParagraph"/>
        <w:numPr>
          <w:ilvl w:val="0"/>
          <w:numId w:val="2"/>
        </w:numPr>
        <w:spacing w:after="70" w:line="276"/>
      </w:pPr>
      <w:r>
        <w:rPr>
          <w:rFonts w:ascii="Calibri" w:cs="Calibri" w:eastAsia="Calibri" w:hAnsi="Calibri"/>
          <w:color w:val="1A1A1A"/>
          <w:sz w:val="21"/>
          <w:szCs w:val="21"/>
        </w:rPr>
        <w:t xml:space="preserve">Trust as architecture. Privacy that is structural rather than promised, ethics enforced as a failing build, and an AI coach that has to justify itself. In a category built on shame and dark patterns, being the product that can be handed to a ten-year-old, an HR director and a care inspector without changing the story is the position.</w:t>
      </w:r>
    </w:p>
    <w:p>
      <w:pPr>
        <w:pStyle w:val="Heading1"/>
        <w:pageBreakBefore/>
        <w:spacing w:after="60" w:before="420"/>
      </w:pPr>
      <w:r>
        <w:rPr>
          <w:rFonts w:ascii="Calibri" w:cs="Calibri" w:eastAsia="Calibri" w:hAnsi="Calibri"/>
          <w:b/>
          <w:bCs/>
          <w:color w:val="102A43"/>
          <w:sz w:val="34"/>
          <w:szCs w:val="34"/>
        </w:rPr>
        <w:t xml:space="preserve">14 · Ready-to-use short copy</w:t>
      </w:r>
    </w:p>
    <w:p>
      <w:pPr>
        <w:spacing w:after="60" w:before="200"/>
      </w:pPr>
      <w:r>
        <w:rPr>
          <w:rFonts w:ascii="Calibri" w:cs="Calibri" w:eastAsia="Calibri" w:hAnsi="Calibri"/>
          <w:b/>
          <w:bCs/>
          <w:caps/>
          <w:color w:val="00A99D"/>
          <w:spacing w:val="40"/>
          <w:sz w:val="16"/>
          <w:szCs w:val="16"/>
        </w:rPr>
        <w:t xml:space="preserve">One-liner</w:t>
      </w:r>
    </w:p>
    <w:p>
      <w:pPr>
        <w:pBdr>
          <w:left w:val="single" w:color="00A99D" w:sz="18"/>
        </w:pBdr>
        <w:shd w:fill="EAF2F1" w:color="auto" w:val="clear"/>
        <w:spacing w:after="180" w:before="160"/>
        <w:ind w:left="200" w:right="200"/>
      </w:pPr>
      <w:r>
        <w:rPr>
          <w:rFonts w:ascii="Calibri" w:cs="Calibri" w:eastAsia="Calibri" w:hAnsi="Calibri"/>
          <w:i/>
          <w:iCs/>
          <w:color w:val="102A43"/>
          <w:sz w:val="21"/>
          <w:szCs w:val="21"/>
        </w:rPr>
        <w:t xml:space="preserve">Small Moves. Powerful Change. The AI movement coach that finds the two minutes you already have.</w:t>
      </w:r>
    </w:p>
    <w:p>
      <w:pPr>
        <w:spacing w:after="60" w:before="200"/>
      </w:pPr>
      <w:r>
        <w:rPr>
          <w:rFonts w:ascii="Calibri" w:cs="Calibri" w:eastAsia="Calibri" w:hAnsi="Calibri"/>
          <w:b/>
          <w:bCs/>
          <w:caps/>
          <w:color w:val="00A99D"/>
          <w:spacing w:val="40"/>
          <w:sz w:val="16"/>
          <w:szCs w:val="16"/>
        </w:rPr>
        <w:t xml:space="preserve">Social / organic — under 280 characters</w:t>
      </w:r>
    </w:p>
    <w:p>
      <w:pPr>
        <w:pBdr>
          <w:left w:val="single" w:color="00A99D" w:sz="18"/>
        </w:pBdr>
        <w:shd w:fill="EAF2F1" w:color="auto" w:val="clear"/>
        <w:spacing w:after="180" w:before="160"/>
        <w:ind w:left="200" w:right="200"/>
      </w:pPr>
      <w:r>
        <w:rPr>
          <w:rFonts w:ascii="Calibri" w:cs="Calibri" w:eastAsia="Calibri" w:hAnsi="Calibri"/>
          <w:i/>
          <w:iCs/>
          <w:color w:val="102A43"/>
          <w:sz w:val="21"/>
          <w:szCs w:val="21"/>
        </w:rPr>
        <w:t xml:space="preserve">Most fitness apps ask for an hour you don’t have. Jess Move reads your actual day — work, commute, home — finds the two-minute gaps that are genuinely free, and puts one movement in them. Ages 10 to 100. Seated, standing, wheelchair, bed. Every body qualifies.</w:t>
      </w:r>
    </w:p>
    <w:p>
      <w:pPr>
        <w:spacing w:after="60" w:before="200"/>
      </w:pPr>
      <w:r>
        <w:rPr>
          <w:rFonts w:ascii="Calibri" w:cs="Calibri" w:eastAsia="Calibri" w:hAnsi="Calibri"/>
          <w:b/>
          <w:bCs/>
          <w:caps/>
          <w:color w:val="102A43"/>
          <w:spacing w:val="40"/>
          <w:sz w:val="16"/>
          <w:szCs w:val="16"/>
        </w:rPr>
        <w:t xml:space="preserve">Employer outreach opener</w:t>
      </w:r>
    </w:p>
    <w:p>
      <w:pPr>
        <w:pBdr>
          <w:left w:val="single" w:color="102A43" w:sz="18"/>
        </w:pBdr>
        <w:shd w:fill="EAF2F1" w:color="auto" w:val="clear"/>
        <w:spacing w:after="180" w:before="160"/>
        <w:ind w:left="200" w:right="200"/>
      </w:pPr>
      <w:r>
        <w:rPr>
          <w:rFonts w:ascii="Calibri" w:cs="Calibri" w:eastAsia="Calibri" w:hAnsi="Calibri"/>
          <w:i/>
          <w:iCs/>
          <w:color w:val="102A43"/>
          <w:sz w:val="21"/>
          <w:szCs w:val="21"/>
        </w:rPr>
        <w:t xml:space="preserve">Your team isn’t refusing to be healthier — they’re in back-to-back meetings. Jess Move finds the gaps their calendar actually has and puts two minutes of movement in them. You get privacy-protected participation reporting. Nobody gets an individual dashboard about anybody.</w:t>
      </w:r>
    </w:p>
    <w:p>
      <w:pPr>
        <w:spacing w:after="60" w:before="200"/>
      </w:pPr>
      <w:r>
        <w:rPr>
          <w:rFonts w:ascii="Calibri" w:cs="Calibri" w:eastAsia="Calibri" w:hAnsi="Calibri"/>
          <w:b/>
          <w:bCs/>
          <w:caps/>
          <w:color w:val="C97A1E"/>
          <w:spacing w:val="40"/>
          <w:sz w:val="16"/>
          <w:szCs w:val="16"/>
        </w:rPr>
        <w:t xml:space="preserve">School / care opener</w:t>
      </w:r>
    </w:p>
    <w:p>
      <w:pPr>
        <w:pBdr>
          <w:left w:val="single" w:color="C97A1E" w:sz="18"/>
        </w:pBdr>
        <w:shd w:fill="EAF2F1" w:color="auto" w:val="clear"/>
        <w:spacing w:after="180" w:before="160"/>
        <w:ind w:left="200" w:right="200"/>
      </w:pPr>
      <w:r>
        <w:rPr>
          <w:rFonts w:ascii="Calibri" w:cs="Calibri" w:eastAsia="Calibri" w:hAnsi="Calibri"/>
          <w:i/>
          <w:iCs/>
          <w:color w:val="102A43"/>
          <w:sz w:val="21"/>
          <w:szCs w:val="21"/>
        </w:rPr>
        <w:t xml:space="preserve">One platform, ten years old to a hundred. Teacher-triggered classroom breaks, seated and bed-compatible routines, carer-assisted sessions, and participation records you can show an inspector. Every movement ships in five variants, so no child and no resident is ever left out of the activity.</w:t>
      </w:r>
    </w:p>
    <w:p>
      <w:pPr>
        <w:spacing w:after="60" w:before="200"/>
      </w:pPr>
      <w:r>
        <w:rPr>
          <w:rFonts w:ascii="Calibri" w:cs="Calibri" w:eastAsia="Calibri" w:hAnsi="Calibri"/>
          <w:b/>
          <w:bCs/>
          <w:caps/>
          <w:color w:val="7656E8"/>
          <w:spacing w:val="40"/>
          <w:sz w:val="16"/>
          <w:szCs w:val="16"/>
        </w:rPr>
        <w:t xml:space="preserve">The differentiator line, for any audience</w:t>
      </w:r>
    </w:p>
    <w:p>
      <w:pPr>
        <w:pBdr>
          <w:left w:val="single" w:color="7656E8" w:sz="18"/>
        </w:pBdr>
        <w:shd w:fill="EAF2F1" w:color="auto" w:val="clear"/>
        <w:spacing w:after="180" w:before="160"/>
        <w:ind w:left="200" w:right="200"/>
      </w:pPr>
      <w:r>
        <w:rPr>
          <w:rFonts w:ascii="Calibri" w:cs="Calibri" w:eastAsia="Calibri" w:hAnsi="Calibri"/>
          <w:i/>
          <w:iCs/>
          <w:color w:val="102A43"/>
          <w:sz w:val="21"/>
          <w:szCs w:val="21"/>
        </w:rPr>
        <w:t xml:space="preserve">Every movement exists in five versions — standing, seated, chair-supported, reclined and single-limb — or it doesn’t ship at all. That’s not an accessibility feature. It’s a publishing gate.</w:t>
      </w:r>
    </w:p>
    <w:p>
      <w:pPr>
        <w:pStyle w:val="Heading1"/>
        <w:pageBreakBefore/>
        <w:spacing w:after="60" w:before="420"/>
      </w:pPr>
      <w:r>
        <w:rPr>
          <w:rFonts w:ascii="Calibri" w:cs="Calibri" w:eastAsia="Calibri" w:hAnsi="Calibri"/>
          <w:b/>
          <w:bCs/>
          <w:color w:val="102A43"/>
          <w:sz w:val="34"/>
          <w:szCs w:val="34"/>
        </w:rPr>
        <w:t xml:space="preserve">15 · What we never claim</w:t>
      </w:r>
    </w:p>
    <w:p>
      <w:pPr>
        <w:spacing w:after="140" w:line="276"/>
      </w:pPr>
      <w:r>
        <w:rPr>
          <w:rFonts w:ascii="Calibri" w:cs="Calibri" w:eastAsia="Calibri" w:hAnsi="Calibri"/>
          <w:color w:val="1A1A1A"/>
          <w:sz w:val="22"/>
          <w:szCs w:val="22"/>
        </w:rPr>
        <w:t xml:space="preserve">Read this before writing any advertisement, post or outreach message. These are not suggestions. Breaching them creates regulatory exposure under UK advertising and medical-device rules, and one false health claim in this category costs somebody money and hope they didn’t have to spare.</w:t>
      </w:r>
    </w:p>
    <w:p>
      <w:pPr>
        <w:pStyle w:val="Heading2"/>
        <w:spacing w:after="100" w:before="300"/>
      </w:pPr>
      <w:r>
        <w:rPr>
          <w:rFonts w:ascii="Calibri" w:cs="Calibri" w:eastAsia="Calibri" w:hAnsi="Calibri"/>
          <w:b/>
          <w:bCs/>
          <w:color w:val="C83B46"/>
          <w:sz w:val="26"/>
          <w:szCs w:val="26"/>
        </w:rPr>
        <w:t xml:space="preserve">Never say</w:t>
      </w:r>
    </w:p>
    <w:p>
      <w:pPr>
        <w:pStyle w:val="ListParagraph"/>
        <w:numPr>
          <w:ilvl w:val="0"/>
          <w:numId w:val="2"/>
        </w:numPr>
        <w:spacing w:after="70" w:line="276"/>
      </w:pPr>
      <w:r>
        <w:rPr>
          <w:rFonts w:ascii="Calibri" w:cs="Calibri" w:eastAsia="Calibri" w:hAnsi="Calibri"/>
          <w:color w:val="1A1A1A"/>
          <w:sz w:val="21"/>
          <w:szCs w:val="21"/>
        </w:rPr>
        <w:t xml:space="preserve">That it treats, cures, prevents or diagnoses any condition.</w:t>
      </w:r>
    </w:p>
    <w:p>
      <w:pPr>
        <w:pStyle w:val="ListParagraph"/>
        <w:numPr>
          <w:ilvl w:val="0"/>
          <w:numId w:val="2"/>
        </w:numPr>
        <w:spacing w:after="70" w:line="276"/>
      </w:pPr>
      <w:r>
        <w:rPr>
          <w:rFonts w:ascii="Calibri" w:cs="Calibri" w:eastAsia="Calibri" w:hAnsi="Calibri"/>
          <w:color w:val="1A1A1A"/>
          <w:sz w:val="21"/>
          <w:szCs w:val="21"/>
        </w:rPr>
        <w:t xml:space="preserve">That it replaces a doctor, physiotherapist or any professional.</w:t>
      </w:r>
    </w:p>
    <w:p>
      <w:pPr>
        <w:pStyle w:val="ListParagraph"/>
        <w:numPr>
          <w:ilvl w:val="0"/>
          <w:numId w:val="2"/>
        </w:numPr>
        <w:spacing w:after="70" w:line="276"/>
      </w:pPr>
      <w:r>
        <w:rPr>
          <w:rFonts w:ascii="Calibri" w:cs="Calibri" w:eastAsia="Calibri" w:hAnsi="Calibri"/>
          <w:color w:val="1A1A1A"/>
          <w:sz w:val="21"/>
          <w:szCs w:val="21"/>
        </w:rPr>
        <w:t xml:space="preserve">That it guarantees weight loss, or any weight loss in a stated timeframe.</w:t>
      </w:r>
    </w:p>
    <w:p>
      <w:pPr>
        <w:pStyle w:val="ListParagraph"/>
        <w:numPr>
          <w:ilvl w:val="0"/>
          <w:numId w:val="2"/>
        </w:numPr>
        <w:spacing w:after="70" w:line="276"/>
      </w:pPr>
      <w:r>
        <w:rPr>
          <w:rFonts w:ascii="Calibri" w:cs="Calibri" w:eastAsia="Calibri" w:hAnsi="Calibri"/>
          <w:color w:val="1A1A1A"/>
          <w:sz w:val="21"/>
          <w:szCs w:val="21"/>
        </w:rPr>
        <w:t xml:space="preserve">That it reduces absenteeism or increases productivity — that needs validated evidence we do not yet have.</w:t>
      </w:r>
    </w:p>
    <w:p>
      <w:pPr>
        <w:pStyle w:val="ListParagraph"/>
        <w:numPr>
          <w:ilvl w:val="0"/>
          <w:numId w:val="2"/>
        </w:numPr>
        <w:spacing w:after="70" w:line="276"/>
      </w:pPr>
      <w:r>
        <w:rPr>
          <w:rFonts w:ascii="Calibri" w:cs="Calibri" w:eastAsia="Calibri" w:hAnsi="Calibri"/>
          <w:color w:val="1A1A1A"/>
          <w:sz w:val="21"/>
          <w:szCs w:val="21"/>
        </w:rPr>
        <w:t xml:space="preserve">Anything about calories, BMI, body shape or appearance to an audience that includes under-18s.</w:t>
      </w:r>
    </w:p>
    <w:p>
      <w:pPr>
        <w:pStyle w:val="ListParagraph"/>
        <w:numPr>
          <w:ilvl w:val="0"/>
          <w:numId w:val="2"/>
        </w:numPr>
        <w:spacing w:after="70" w:line="276"/>
      </w:pPr>
      <w:r>
        <w:rPr>
          <w:rFonts w:ascii="Calibri" w:cs="Calibri" w:eastAsia="Calibri" w:hAnsi="Calibri"/>
          <w:color w:val="1A1A1A"/>
          <w:sz w:val="21"/>
          <w:szCs w:val="21"/>
        </w:rPr>
        <w:t xml:space="preserve">Before-and-after body imagery, in any campaign, for any age group.</w:t>
      </w:r>
    </w:p>
    <w:p>
      <w:pPr>
        <w:pStyle w:val="Heading2"/>
        <w:spacing w:after="100" w:before="300"/>
      </w:pPr>
      <w:r>
        <w:rPr>
          <w:rFonts w:ascii="Calibri" w:cs="Calibri" w:eastAsia="Calibri" w:hAnsi="Calibri"/>
          <w:b/>
          <w:bCs/>
          <w:color w:val="00A99D"/>
          <w:sz w:val="26"/>
          <w:szCs w:val="26"/>
        </w:rPr>
        <w:t xml:space="preserve">Always say</w:t>
      </w:r>
    </w:p>
    <w:p>
      <w:pPr>
        <w:pStyle w:val="ListParagraph"/>
        <w:numPr>
          <w:ilvl w:val="0"/>
          <w:numId w:val="2"/>
        </w:numPr>
        <w:spacing w:after="70" w:line="276"/>
      </w:pPr>
      <w:r>
        <w:rPr>
          <w:rFonts w:ascii="Calibri" w:cs="Calibri" w:eastAsia="Calibri" w:hAnsi="Calibri"/>
          <w:color w:val="1A1A1A"/>
          <w:sz w:val="21"/>
          <w:szCs w:val="21"/>
        </w:rPr>
        <w:t xml:space="preserve">Jess Move is a general wellness product, not a medical device.</w:t>
      </w:r>
    </w:p>
    <w:p>
      <w:pPr>
        <w:pStyle w:val="ListParagraph"/>
        <w:numPr>
          <w:ilvl w:val="0"/>
          <w:numId w:val="2"/>
        </w:numPr>
        <w:spacing w:after="70" w:line="276"/>
      </w:pPr>
      <w:r>
        <w:rPr>
          <w:rFonts w:ascii="Calibri" w:cs="Calibri" w:eastAsia="Calibri" w:hAnsi="Calibri"/>
          <w:color w:val="1A1A1A"/>
          <w:sz w:val="21"/>
          <w:szCs w:val="21"/>
        </w:rPr>
        <w:t xml:space="preserve">It does not diagnose or treat, and never contacts emergency services.</w:t>
      </w:r>
    </w:p>
    <w:p>
      <w:pPr>
        <w:pStyle w:val="ListParagraph"/>
        <w:numPr>
          <w:ilvl w:val="0"/>
          <w:numId w:val="2"/>
        </w:numPr>
        <w:spacing w:after="70" w:line="276"/>
      </w:pPr>
      <w:r>
        <w:rPr>
          <w:rFonts w:ascii="Calibri" w:cs="Calibri" w:eastAsia="Calibri" w:hAnsi="Calibri"/>
          <w:color w:val="1A1A1A"/>
          <w:sz w:val="21"/>
          <w:szCs w:val="21"/>
        </w:rPr>
        <w:t xml:space="preserve">Stop and seek advice if you feel pain, dizziness or any unusual symptom.</w:t>
      </w:r>
    </w:p>
    <w:p>
      <w:pPr>
        <w:pStyle w:val="Heading2"/>
        <w:spacing w:after="100" w:before="300"/>
      </w:pPr>
      <w:r>
        <w:rPr>
          <w:rFonts w:ascii="Calibri" w:cs="Calibri" w:eastAsia="Calibri" w:hAnsi="Calibri"/>
          <w:b/>
          <w:bCs/>
          <w:color w:val="102A43"/>
          <w:sz w:val="26"/>
          <w:szCs w:val="26"/>
        </w:rPr>
        <w:t xml:space="preserve">Disclosure</w:t>
      </w:r>
    </w:p>
    <w:p>
      <w:pPr>
        <w:spacing w:after="140" w:line="276"/>
      </w:pPr>
      <w:r>
        <w:rPr>
          <w:rFonts w:ascii="Calibri" w:cs="Calibri" w:eastAsia="Calibri" w:hAnsi="Calibri"/>
          <w:color w:val="1A1A1A"/>
          <w:sz w:val="21"/>
          <w:szCs w:val="21"/>
        </w:rPr>
        <w:t xml:space="preserve">Label paid content clearly and up front — “#ad” or “Advertisement”, visible before a viewer engages, not buried in a caption. Disclose a commercial relationship even where no money changed hands, including gifted subscriptions and free seats. Do not target this product’s advertising at under-18s. Never present a personal result as a typical result.</w:t>
      </w:r>
    </w:p>
    <w:p>
      <w:pPr>
        <w:spacing w:after="140" w:line="276"/>
      </w:pPr>
      <w:r>
        <w:rPr>
          <w:rFonts w:ascii="Calibri" w:cs="Calibri" w:eastAsia="Calibri" w:hAnsi="Calibri"/>
          <w:color w:val="1A1A1A"/>
          <w:sz w:val="21"/>
          <w:szCs w:val="21"/>
        </w:rPr>
        <w:t xml:space="preserve">Any population-health or clinical claim must be sourced, dated and signed off by the Clinical Safety Officer against current UK guidance before publication. If a claim is not on the permitted list, ask before publishing it.</w:t>
      </w:r>
    </w:p>
    <w:p>
      <w:pPr>
        <w:pBdr>
          <w:bottom w:val="single" w:color="DCE6E4" w:sz="6"/>
        </w:pBdr>
        <w:spacing w:after="160" w:before="160"/>
      </w:pPr>
      <w:r>
        <w:rPr>
          <w:sz w:val="2"/>
          <w:szCs w:val="2"/>
        </w:rPr>
        <w:t xml:space="preserve"/>
      </w:r>
    </w:p>
    <w:p>
      <w:pPr>
        <w:spacing w:after="0" w:line="276"/>
      </w:pPr>
      <w:r>
        <w:rPr>
          <w:rFonts w:ascii="Calibri" w:cs="Calibri" w:eastAsia="Calibri" w:hAnsi="Calibri"/>
          <w:i/>
          <w:iCs/>
          <w:color w:val="536575"/>
          <w:sz w:val="17"/>
          <w:szCs w:val="17"/>
        </w:rPr>
        <w:t xml:space="preserve">JESS MOVE — Jess Move AI, your daily movement and body-balance operating system. A general wellness product. It does not diagnose or treat any condition.</w:t>
      </w:r>
    </w:p>
    <w:sectPr>
      <w:headerReference w:type="default" r:id="rId7"/>
      <w:footerReference w:type="default" r:id="rId8"/>
      <w:pgSz w:w="11906" w:h="16838" w:orient="portrait"/>
      <w:pgMar w:top="12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60"/>
      <w:jc w:val="right"/>
    </w:pPr>
    <w:r>
      <w:rPr>
        <w:rFonts w:ascii="Calibri" w:cs="Calibri" w:eastAsia="Calibri" w:hAnsi="Calibri"/>
        <w:i/>
        <w:iCs/>
        <w:color w:val="536575"/>
        <w:sz w:val="15"/>
        <w:szCs w:val="15"/>
      </w:rPr>
      <w:t xml:space="preserve">Small Moves. Powerful Change.   </w:t>
    </w:r>
    <w:r>
      <w:rPr>
        <w:rFonts w:ascii="Calibri" w:cs="Calibri" w:eastAsia="Calibri" w:hAnsi="Calibri"/>
        <w:color w:val="536575"/>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Calibri" w:cs="Calibri" w:eastAsia="Calibri" w:hAnsi="Calibri"/>
        <w:color w:val="536575"/>
        <w:spacing w:val="20"/>
        <w:sz w:val="15"/>
        <w:szCs w:val="15"/>
      </w:rPr>
      <w:t xml:space="preserve">JESS MOVE · Feature list for sales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JESS MOVE — Feature List for Sales</dc:title>
  <dc:creator>Jess Move</dc:creator>
  <dc:description>Feature list with a selling paragraph per feature, ready-to-use short copy, and the claims that must never be made.</dc:description>
  <cp:lastModifiedBy>Un-named</cp:lastModifiedBy>
  <cp:revision>1</cp:revision>
  <dcterms:created xsi:type="dcterms:W3CDTF">2026-07-29T16:51:33.147Z</dcterms:created>
  <dcterms:modified xsi:type="dcterms:W3CDTF">2026-07-29T16:51:33.147Z</dcterms:modified>
</cp:coreProperties>
</file>

<file path=docProps/custom.xml><?xml version="1.0" encoding="utf-8"?>
<Properties xmlns="http://schemas.openxmlformats.org/officeDocument/2006/custom-properties" xmlns:vt="http://schemas.openxmlformats.org/officeDocument/2006/docPropsVTypes"/>
</file>