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6600"/>
        <w:gridCol w:w="3866"/>
      </w:tblGrid>
      <w:tr>
        <w:tc>
          <w:tcPr>
            <w:tcW w:type="dxa" w:w="6600"/>
            <w:tcBorders>
              <w:top w:val="none" w:color="FFFFFF" w:sz="0"/>
              <w:left w:val="none" w:color="FFFFFF" w:sz="0"/>
              <w:bottom w:val="none" w:color="FFFFFF" w:sz="0"/>
              <w:right w:val="none" w:color="FFFFFF" w:sz="0"/>
            </w:tcBorders>
            <w:shd w:fill="0A1026" w:color="auto" w:val="clear"/>
            <w:tcMar>
              <w:top w:type="dxa" w:w="150"/>
              <w:left w:type="dxa" w:w="170"/>
              <w:bottom w:type="dxa" w:w="150"/>
              <w:right w:type="dxa" w:w="170"/>
            </w:tcMar>
            <w:vAlign w:val="center"/>
          </w:tcPr>
          <w:p>
            <w:pPr>
              <w:spacing w:after="0" w:line="250"/>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 cy="381000"/>
                          </a:xfrm>
                          <a:prstGeom prst="rect">
                            <a:avLst/>
                          </a:prstGeom>
                        </pic:spPr>
                      </pic:pic>
                    </a:graphicData>
                  </a:graphic>
                </wp:inline>
              </w:drawing>
            </w:r>
            <w:r>
              <w:rPr>
                <w:rFonts w:ascii="Calibri" w:cs="Calibri" w:eastAsia="Calibri" w:hAnsi="Calibri"/>
                <w:b/>
                <w:bCs/>
                <w:color w:val="FFFFFF"/>
                <w:sz w:val="46"/>
                <w:szCs w:val="46"/>
              </w:rPr>
              <w:t xml:space="preserve">  StudYear</w:t>
            </w:r>
          </w:p>
          <w:p>
            <w:pPr>
              <w:spacing w:after="0" w:before="40" w:line="220"/>
            </w:pPr>
            <w:r>
              <w:rPr>
                <w:rFonts w:ascii="Calibri" w:cs="Calibri" w:eastAsia="Calibri" w:hAnsi="Calibri"/>
                <w:i/>
                <w:iCs/>
                <w:color w:val="C9D4EC"/>
                <w:sz w:val="18"/>
                <w:szCs w:val="18"/>
              </w:rPr>
              <w:t xml:space="preserve">The AI operating system for UK education</w:t>
            </w:r>
          </w:p>
        </w:tc>
        <w:tc>
          <w:tcPr>
            <w:tcW w:type="dxa" w:w="3866"/>
            <w:tcBorders>
              <w:top w:val="none" w:color="FFFFFF" w:sz="0"/>
              <w:left w:val="none" w:color="FFFFFF" w:sz="0"/>
              <w:bottom w:val="none" w:color="FFFFFF" w:sz="0"/>
              <w:right w:val="none" w:color="FFFFFF" w:sz="0"/>
            </w:tcBorders>
            <w:shd w:fill="0A1026" w:color="auto" w:val="clear"/>
            <w:tcMar>
              <w:top w:type="dxa" w:w="150"/>
              <w:left w:type="dxa" w:w="170"/>
              <w:bottom w:type="dxa" w:w="150"/>
              <w:right w:type="dxa" w:w="170"/>
            </w:tcMar>
            <w:vAlign w:val="center"/>
          </w:tcPr>
          <w:p>
            <w:pPr>
              <w:spacing w:after="0"/>
              <w:jc w:val="right"/>
            </w:pPr>
            <w:r>
              <w:rPr>
                <w:rFonts w:ascii="Calibri" w:cs="Calibri" w:eastAsia="Calibri" w:hAnsi="Calibri"/>
                <w:b/>
                <w:bCs/>
                <w:color w:val="E7C67A"/>
                <w:spacing w:val="24"/>
                <w:sz w:val="21"/>
                <w:szCs w:val="21"/>
              </w:rPr>
              <w:t xml:space="preserve">DETAILED BRIEFING</w:t>
            </w:r>
          </w:p>
          <w:p>
            <w:pPr>
              <w:spacing w:after="0" w:before="34" w:line="210"/>
              <w:jc w:val="right"/>
            </w:pPr>
            <w:r>
              <w:rPr>
                <w:rFonts w:ascii="Calibri" w:cs="Calibri" w:eastAsia="Calibri" w:hAnsi="Calibri"/>
                <w:color w:val="C9D4EC"/>
                <w:sz w:val="16"/>
                <w:szCs w:val="16"/>
              </w:rPr>
              <w:t xml:space="preserve">Prepared for Birmingham City Council</w:t>
            </w:r>
          </w:p>
          <w:p>
            <w:pPr>
              <w:spacing w:after="0" w:before="6" w:line="210"/>
              <w:jc w:val="right"/>
            </w:pPr>
            <w:r>
              <w:rPr>
                <w:rFonts w:ascii="Calibri" w:cs="Calibri" w:eastAsia="Calibri" w:hAnsi="Calibri"/>
                <w:color w:val="C9D4EC"/>
                <w:sz w:val="16"/>
                <w:szCs w:val="16"/>
              </w:rPr>
              <w:t xml:space="preserve">Migrant, Low-Income &amp; Disadvantaged Families</w:t>
            </w:r>
          </w:p>
          <w:p>
            <w:pPr>
              <w:spacing w:after="0" w:before="5" w:line="200"/>
              <w:jc w:val="right"/>
            </w:pPr>
            <w:r>
              <w:rPr>
                <w:rFonts w:ascii="Calibri" w:cs="Calibri" w:eastAsia="Calibri" w:hAnsi="Calibri"/>
                <w:i/>
                <w:iCs/>
                <w:color w:val="9FB0D0"/>
                <w:sz w:val="14"/>
                <w:szCs w:val="14"/>
              </w:rPr>
              <w:t xml:space="preserve">incl. UK-born children of migrant parents</w:t>
            </w:r>
          </w:p>
        </w:tc>
      </w:tr>
    </w:tbl>
    <w:p>
      <w:pPr>
        <w:pBdr>
          <w:bottom w:val="single" w:color="E7C67A" w:sz="14"/>
        </w:pBdr>
        <w:spacing w:after="150" w:before="0"/>
      </w:pPr>
      <w:r>
        <w:rPr>
          <w:sz w:val="2"/>
          <w:szCs w:val="2"/>
        </w:rPr>
        <w:t xml:space="preserve"/>
      </w:r>
    </w:p>
    <w:p>
      <w:pPr>
        <w:spacing w:after="120" w:before="0" w:line="300"/>
      </w:pPr>
      <w:r>
        <w:rPr>
          <w:rFonts w:ascii="Calibri" w:cs="Calibri" w:eastAsia="Calibri" w:hAnsi="Calibri"/>
          <w:b/>
          <w:bCs/>
          <w:i w:val="false"/>
          <w:iCs w:val="false"/>
          <w:color w:val="0A1026"/>
          <w:sz w:val="28"/>
          <w:szCs w:val="28"/>
        </w:rPr>
        <w:t xml:space="preserve">Closing the opportunity gap for Birmingham’s most disadvantaged learners — and keeping it closed.</w:t>
      </w:r>
    </w:p>
    <w:p>
      <w:pPr>
        <w:spacing w:after="60" w:before="0" w:line="264"/>
      </w:pPr>
      <w:r>
        <w:rPr>
          <w:rFonts w:ascii="Calibri" w:cs="Calibri" w:eastAsia="Calibri" w:hAnsi="Calibri"/>
          <w:b w:val="false"/>
          <w:bCs w:val="false"/>
          <w:i/>
          <w:iCs/>
          <w:color w:val="5A6480"/>
          <w:sz w:val="21"/>
          <w:szCs w:val="21"/>
        </w:rPr>
        <w:t xml:space="preserve">This briefing explains what StudYear is, how it works, and the specific value it offers children from migrant, low-income and disadvantaged backgrounds — whether newly arrived or born here to migrant parents — together with their schools and the Council, both immediately and over the years that follow.</w:t>
      </w:r>
    </w:p>
    <w:p>
      <w:pPr>
        <w:spacing w:after="90" w:before="80"/>
      </w:pPr>
      <w:r>
        <w:rPr>
          <w:rFonts w:ascii="Calibri" w:cs="Calibri" w:eastAsia="Calibri" w:hAnsi="Calibri"/>
          <w:b/>
          <w:bCs/>
          <w:caps/>
          <w:color w:val="2E6BC4"/>
          <w:spacing w:val="16"/>
          <w:sz w:val="23"/>
          <w:szCs w:val="23"/>
        </w:rPr>
        <w:t xml:space="preserve">1 · The opportunity</w:t>
      </w:r>
    </w:p>
    <w:p>
      <w:pPr>
        <w:spacing w:after="120" w:before="0" w:line="264"/>
      </w:pPr>
      <w:r>
        <w:rPr>
          <w:rFonts w:ascii="Calibri" w:cs="Calibri" w:eastAsia="Calibri" w:hAnsi="Calibri"/>
          <w:b w:val="false"/>
          <w:bCs w:val="false"/>
          <w:i w:val="false"/>
          <w:iCs w:val="false"/>
          <w:color w:val="20283F"/>
          <w:sz w:val="21"/>
          <w:szCs w:val="21"/>
        </w:rPr>
        <w:t xml:space="preserve">Disadvantaged children in Birmingham start behind and, without intervention, fall further behind each year. The children of migrant and low-income families face this most sharply. For some, that means arriving mid-year, at different stages, moving between education systems. For many others — born here to migrant parents — it means growing up with English as an additional language at home, being the first in the family to move through the UK system, and parents who want to help but do not know how it works. Both groups share the same missing ingredient: access to the one thing that reliably closes the gap — high-quality, personalised tuition. That tuition is expensive and unevenly distributed, which is precisely why the gap persists.</w:t>
      </w:r>
    </w:p>
    <w:p>
      <w:pPr>
        <w:spacing w:after="120" w:before="0" w:line="264"/>
      </w:pPr>
      <w:r>
        <w:rPr>
          <w:rFonts w:ascii="Calibri" w:cs="Calibri" w:eastAsia="Calibri" w:hAnsi="Calibri"/>
          <w:b w:val="false"/>
          <w:bCs w:val="false"/>
          <w:i w:val="false"/>
          <w:iCs w:val="false"/>
          <w:color w:val="20283F"/>
          <w:sz w:val="21"/>
          <w:szCs w:val="21"/>
        </w:rPr>
        <w:t xml:space="preserve">StudYear removes that barrier. It gives every learner a personal AI examiner, tutor and revision strategist on any phone or laptop, free to start — and gives schools and the Council a live, safeguarding-aware view of how whole cohorts are progressing, so support reaches the children who need it most.</w:t>
      </w:r>
    </w:p>
    <w:p>
      <w:pPr>
        <w:spacing w:after="90" w:before="220"/>
      </w:pPr>
      <w:r>
        <w:rPr>
          <w:rFonts w:ascii="Calibri" w:cs="Calibri" w:eastAsia="Calibri" w:hAnsi="Calibri"/>
          <w:b/>
          <w:bCs/>
          <w:caps/>
          <w:color w:val="2E6BC4"/>
          <w:spacing w:val="16"/>
          <w:sz w:val="23"/>
          <w:szCs w:val="23"/>
        </w:rPr>
        <w:t xml:space="preserve">2 · The challenge these families face</w:t>
      </w:r>
    </w:p>
    <w:p>
      <w:pPr>
        <w:pStyle w:val="ListParagraph"/>
        <w:numPr>
          <w:ilvl w:val="0"/>
          <w:numId w:val="2"/>
        </w:numPr>
        <w:spacing w:after="60" w:before="16" w:line="258"/>
      </w:pPr>
      <w:r>
        <w:rPr>
          <w:rFonts w:ascii="Calibri" w:cs="Calibri" w:eastAsia="Calibri" w:hAnsi="Calibri"/>
          <w:b/>
          <w:bCs/>
          <w:color w:val="2E6BC4"/>
          <w:sz w:val="21"/>
          <w:szCs w:val="21"/>
        </w:rPr>
        <w:t xml:space="preserve">Entering at different points — </w:t>
      </w:r>
      <w:r>
        <w:rPr>
          <w:rFonts w:ascii="Calibri" w:cs="Calibri" w:eastAsia="Calibri" w:hAnsi="Calibri"/>
          <w:color w:val="20283F"/>
          <w:sz w:val="21"/>
          <w:szCs w:val="21"/>
        </w:rPr>
        <w:t xml:space="preserve">a young person arriving from another country is not a “Year 11” in any simple sense. Standard provision forces one-size-fits-all; these learners need to be met exactly where they are.</w:t>
      </w:r>
    </w:p>
    <w:p>
      <w:pPr>
        <w:pStyle w:val="ListParagraph"/>
        <w:numPr>
          <w:ilvl w:val="0"/>
          <w:numId w:val="2"/>
        </w:numPr>
        <w:spacing w:after="60" w:before="16" w:line="258"/>
      </w:pPr>
      <w:r>
        <w:rPr>
          <w:rFonts w:ascii="Calibri" w:cs="Calibri" w:eastAsia="Calibri" w:hAnsi="Calibri"/>
          <w:b/>
          <w:bCs/>
          <w:color w:val="2E6BC4"/>
          <w:sz w:val="21"/>
          <w:szCs w:val="21"/>
        </w:rPr>
        <w:t xml:space="preserve">UK-born, but still navigating two worlds — </w:t>
      </w:r>
      <w:r>
        <w:rPr>
          <w:rFonts w:ascii="Calibri" w:cs="Calibri" w:eastAsia="Calibri" w:hAnsi="Calibri"/>
          <w:color w:val="20283F"/>
          <w:sz w:val="21"/>
          <w:szCs w:val="21"/>
        </w:rPr>
        <w:t xml:space="preserve">many of these children are British, born here to migrant parents. They often grow up with English as an additional language at home, are the first in their family to move through the UK system, and cannot draw on a parent who sat these exams. The disadvantage is real even when the accent is local.</w:t>
      </w:r>
    </w:p>
    <w:p>
      <w:pPr>
        <w:pStyle w:val="ListParagraph"/>
        <w:numPr>
          <w:ilvl w:val="0"/>
          <w:numId w:val="2"/>
        </w:numPr>
        <w:spacing w:after="60" w:before="16" w:line="258"/>
      </w:pPr>
      <w:r>
        <w:rPr>
          <w:rFonts w:ascii="Calibri" w:cs="Calibri" w:eastAsia="Calibri" w:hAnsi="Calibri"/>
          <w:b/>
          <w:bCs/>
          <w:color w:val="2E6BC4"/>
          <w:sz w:val="21"/>
          <w:szCs w:val="21"/>
        </w:rPr>
        <w:t xml:space="preserve">The cost barrier to tuition — </w:t>
      </w:r>
      <w:r>
        <w:rPr>
          <w:rFonts w:ascii="Calibri" w:cs="Calibri" w:eastAsia="Calibri" w:hAnsi="Calibri"/>
          <w:color w:val="20283F"/>
          <w:sz w:val="21"/>
          <w:szCs w:val="21"/>
        </w:rPr>
        <w:t xml:space="preserve">private tutoring typically costs £30–£50 an hour. For a low-income family that is simply out of reach, so the most effective form of support is the least equally distributed.</w:t>
      </w:r>
    </w:p>
    <w:p>
      <w:pPr>
        <w:pStyle w:val="ListParagraph"/>
        <w:numPr>
          <w:ilvl w:val="0"/>
          <w:numId w:val="2"/>
        </w:numPr>
        <w:spacing w:after="60" w:before="16" w:line="258"/>
      </w:pPr>
      <w:r>
        <w:rPr>
          <w:rFonts w:ascii="Calibri" w:cs="Calibri" w:eastAsia="Calibri" w:hAnsi="Calibri"/>
          <w:b/>
          <w:bCs/>
          <w:color w:val="2E6BC4"/>
          <w:sz w:val="21"/>
          <w:szCs w:val="21"/>
        </w:rPr>
        <w:t xml:space="preserve">No quiet space, no study routine, limited devices — </w:t>
      </w:r>
      <w:r>
        <w:rPr>
          <w:rFonts w:ascii="Calibri" w:cs="Calibri" w:eastAsia="Calibri" w:hAnsi="Calibri"/>
          <w:color w:val="20283F"/>
          <w:sz w:val="21"/>
          <w:szCs w:val="21"/>
        </w:rPr>
        <w:t xml:space="preserve">support has to work on a basic smartphone, at any hour, without textbooks or travel.</w:t>
      </w:r>
    </w:p>
    <w:p>
      <w:pPr>
        <w:pStyle w:val="ListParagraph"/>
        <w:numPr>
          <w:ilvl w:val="0"/>
          <w:numId w:val="2"/>
        </w:numPr>
        <w:spacing w:after="60" w:before="16" w:line="258"/>
      </w:pPr>
      <w:r>
        <w:rPr>
          <w:rFonts w:ascii="Calibri" w:cs="Calibri" w:eastAsia="Calibri" w:hAnsi="Calibri"/>
          <w:b/>
          <w:bCs/>
          <w:color w:val="2E6BC4"/>
          <w:sz w:val="21"/>
          <w:szCs w:val="21"/>
        </w:rPr>
        <w:t xml:space="preserve">Parents who cannot navigate the system — </w:t>
      </w:r>
      <w:r>
        <w:rPr>
          <w:rFonts w:ascii="Calibri" w:cs="Calibri" w:eastAsia="Calibri" w:hAnsi="Calibri"/>
          <w:color w:val="20283F"/>
          <w:sz w:val="21"/>
          <w:szCs w:val="21"/>
        </w:rPr>
        <w:t xml:space="preserve">a parent new to the UK curriculum, or working long hours, still wants to help and to see how their child is doing. They need visibility, in plain terms, from their own phone.</w:t>
      </w:r>
    </w:p>
    <w:p>
      <w:pPr>
        <w:pStyle w:val="ListParagraph"/>
        <w:numPr>
          <w:ilvl w:val="0"/>
          <w:numId w:val="2"/>
        </w:numPr>
        <w:spacing w:after="60" w:before="16" w:line="258"/>
      </w:pPr>
      <w:r>
        <w:rPr>
          <w:rFonts w:ascii="Calibri" w:cs="Calibri" w:eastAsia="Calibri" w:hAnsi="Calibri"/>
          <w:b/>
          <w:bCs/>
          <w:color w:val="2E6BC4"/>
          <w:sz w:val="21"/>
          <w:szCs w:val="21"/>
        </w:rPr>
        <w:t xml:space="preserve">Invisible need — </w:t>
      </w:r>
      <w:r>
        <w:rPr>
          <w:rFonts w:ascii="Calibri" w:cs="Calibri" w:eastAsia="Calibri" w:hAnsi="Calibri"/>
          <w:color w:val="20283F"/>
          <w:sz w:val="21"/>
          <w:szCs w:val="21"/>
        </w:rPr>
        <w:t xml:space="preserve">schools and authorities often cannot see who is slipping until it shows up in exam results, by which point it is late and expensive to fix.</w:t>
      </w:r>
    </w:p>
    <w:p>
      <w:pPr>
        <w:spacing w:after="90" w:before="220"/>
      </w:pPr>
      <w:r>
        <w:rPr>
          <w:rFonts w:ascii="Calibri" w:cs="Calibri" w:eastAsia="Calibri" w:hAnsi="Calibri"/>
          <w:b/>
          <w:bCs/>
          <w:caps/>
          <w:color w:val="2E6BC4"/>
          <w:spacing w:val="16"/>
          <w:sz w:val="23"/>
          <w:szCs w:val="23"/>
        </w:rPr>
        <w:t xml:space="preserve">3 · What StudYear is — the whole system</w:t>
      </w:r>
    </w:p>
    <w:p>
      <w:pPr>
        <w:spacing w:after="120" w:before="0" w:line="264"/>
      </w:pPr>
      <w:r>
        <w:rPr>
          <w:rFonts w:ascii="Calibri" w:cs="Calibri" w:eastAsia="Calibri" w:hAnsi="Calibri"/>
          <w:b w:val="false"/>
          <w:bCs w:val="false"/>
          <w:i w:val="false"/>
          <w:iCs w:val="false"/>
          <w:color w:val="20283F"/>
          <w:sz w:val="21"/>
          <w:szCs w:val="21"/>
        </w:rPr>
        <w:t xml:space="preserve">StudYear is a single platform that behaves like an education “operating system”. The same engine serves the learner, the parent, the school and the authority, each with their own view. Its core components:</w:t>
      </w:r>
    </w:p>
    <w:p>
      <w:pPr>
        <w:pStyle w:val="ListParagraph"/>
        <w:numPr>
          <w:ilvl w:val="0"/>
          <w:numId w:val="2"/>
        </w:numPr>
        <w:spacing w:after="60" w:before="16" w:line="258"/>
      </w:pPr>
      <w:r>
        <w:rPr>
          <w:rFonts w:ascii="Calibri" w:cs="Calibri" w:eastAsia="Calibri" w:hAnsi="Calibri"/>
          <w:b/>
          <w:bCs/>
          <w:color w:val="2E6BC4"/>
          <w:sz w:val="21"/>
          <w:szCs w:val="21"/>
        </w:rPr>
        <w:t xml:space="preserve">A personal AI examiner, tutor and strategist — </w:t>
      </w:r>
      <w:r>
        <w:rPr>
          <w:rFonts w:ascii="Calibri" w:cs="Calibri" w:eastAsia="Calibri" w:hAnsi="Calibri"/>
          <w:color w:val="20283F"/>
          <w:sz w:val="21"/>
          <w:szCs w:val="21"/>
        </w:rPr>
        <w:t xml:space="preserve">it does not merely answer questions like a chatbot. It marks written work the way an examiner would — for content, structure, spelling and grammar — gives a real grade against the correct national framework, and shows the learner how to reach the next one.</w:t>
      </w:r>
    </w:p>
    <w:p>
      <w:pPr>
        <w:pStyle w:val="ListParagraph"/>
        <w:numPr>
          <w:ilvl w:val="0"/>
          <w:numId w:val="2"/>
        </w:numPr>
        <w:spacing w:after="60" w:before="16" w:line="258"/>
      </w:pPr>
      <w:r>
        <w:rPr>
          <w:rFonts w:ascii="Calibri" w:cs="Calibri" w:eastAsia="Calibri" w:hAnsi="Calibri"/>
          <w:b/>
          <w:bCs/>
          <w:color w:val="2E6BC4"/>
          <w:sz w:val="21"/>
          <w:szCs w:val="21"/>
        </w:rPr>
        <w:t xml:space="preserve">Diagnose, then teach — </w:t>
      </w:r>
      <w:r>
        <w:rPr>
          <w:rFonts w:ascii="Calibri" w:cs="Calibri" w:eastAsia="Calibri" w:hAnsi="Calibri"/>
          <w:color w:val="20283F"/>
          <w:sz w:val="21"/>
          <w:szCs w:val="21"/>
        </w:rPr>
        <w:t xml:space="preserve">a short diagnostic maps each learner’s strengths and gaps in minutes and builds a personalised recovery plan, so limited effort is spent exactly where it counts.</w:t>
      </w:r>
    </w:p>
    <w:p>
      <w:pPr>
        <w:pStyle w:val="ListParagraph"/>
        <w:numPr>
          <w:ilvl w:val="0"/>
          <w:numId w:val="2"/>
        </w:numPr>
        <w:spacing w:after="60" w:before="16" w:line="258"/>
      </w:pPr>
      <w:r>
        <w:rPr>
          <w:rFonts w:ascii="Calibri" w:cs="Calibri" w:eastAsia="Calibri" w:hAnsi="Calibri"/>
          <w:b/>
          <w:bCs/>
          <w:color w:val="2E6BC4"/>
          <w:sz w:val="21"/>
          <w:szCs w:val="21"/>
        </w:rPr>
        <w:t xml:space="preserve">Evidence-based memory science — </w:t>
      </w:r>
      <w:r>
        <w:rPr>
          <w:rFonts w:ascii="Calibri" w:cs="Calibri" w:eastAsia="Calibri" w:hAnsi="Calibri"/>
          <w:color w:val="20283F"/>
          <w:sz w:val="21"/>
          <w:szCs w:val="21"/>
        </w:rPr>
        <w:t xml:space="preserve">missed topics enter a spaced-repetition schedule and return right before they would be forgotten; quizzes use retrieval practice and interleaving. A “How you learn best” profile shows each learner their own best study time, consistency and where confidence outruns real understanding.</w:t>
      </w:r>
    </w:p>
    <w:p>
      <w:pPr>
        <w:pStyle w:val="ListParagraph"/>
        <w:numPr>
          <w:ilvl w:val="0"/>
          <w:numId w:val="2"/>
        </w:numPr>
        <w:spacing w:after="60" w:before="16" w:line="258"/>
      </w:pPr>
      <w:r>
        <w:rPr>
          <w:rFonts w:ascii="Calibri" w:cs="Calibri" w:eastAsia="Calibri" w:hAnsi="Calibri"/>
          <w:b/>
          <w:bCs/>
          <w:color w:val="2E6BC4"/>
          <w:sz w:val="21"/>
          <w:szCs w:val="21"/>
        </w:rPr>
        <w:t xml:space="preserve">Every UK qualification, every route — </w:t>
      </w:r>
      <w:r>
        <w:rPr>
          <w:rFonts w:ascii="Calibri" w:cs="Calibri" w:eastAsia="Calibri" w:hAnsi="Calibri"/>
          <w:color w:val="20283F"/>
          <w:sz w:val="21"/>
          <w:szCs w:val="21"/>
        </w:rPr>
        <w:t xml:space="preserve">Reception and the Key Stages, 11+, GCSE and IGCSE, A-level, T-Level, BTEC, NVQ, Functional Skills, Access to HE, apprenticeships, HNC/HND and university — plus return-to-learning (NEET) and adult learning. A learner on a vocational or technical route is served as fully as an academic one.</w:t>
      </w:r>
    </w:p>
    <w:p>
      <w:pPr>
        <w:pStyle w:val="ListParagraph"/>
        <w:numPr>
          <w:ilvl w:val="0"/>
          <w:numId w:val="2"/>
        </w:numPr>
        <w:spacing w:after="60" w:before="16" w:line="258"/>
      </w:pPr>
      <w:r>
        <w:rPr>
          <w:rFonts w:ascii="Calibri" w:cs="Calibri" w:eastAsia="Calibri" w:hAnsi="Calibri"/>
          <w:b/>
          <w:bCs/>
          <w:color w:val="2E6BC4"/>
          <w:sz w:val="21"/>
          <w:szCs w:val="21"/>
        </w:rPr>
        <w:t xml:space="preserve">Parents brought in — </w:t>
      </w:r>
      <w:r>
        <w:rPr>
          <w:rFonts w:ascii="Calibri" w:cs="Calibri" w:eastAsia="Calibri" w:hAnsi="Calibri"/>
          <w:color w:val="20283F"/>
          <w:sz w:val="21"/>
          <w:szCs w:val="21"/>
        </w:rPr>
        <w:t xml:space="preserve">a child shares a simple code or QR and a parent follows real progress from their own phone — no school login, no jargon.</w:t>
      </w:r>
    </w:p>
    <w:p>
      <w:pPr>
        <w:pStyle w:val="ListParagraph"/>
        <w:numPr>
          <w:ilvl w:val="0"/>
          <w:numId w:val="2"/>
        </w:numPr>
        <w:spacing w:after="60" w:before="16" w:line="258"/>
      </w:pPr>
      <w:r>
        <w:rPr>
          <w:rFonts w:ascii="Calibri" w:cs="Calibri" w:eastAsia="Calibri" w:hAnsi="Calibri"/>
          <w:b/>
          <w:bCs/>
          <w:color w:val="2E6BC4"/>
          <w:sz w:val="21"/>
          <w:szCs w:val="21"/>
        </w:rPr>
        <w:t xml:space="preserve">A view for schools and the Council — </w:t>
      </w:r>
      <w:r>
        <w:rPr>
          <w:rFonts w:ascii="Calibri" w:cs="Calibri" w:eastAsia="Calibri" w:hAnsi="Calibri"/>
          <w:color w:val="20283F"/>
          <w:sz w:val="21"/>
          <w:szCs w:val="21"/>
        </w:rPr>
        <w:t xml:space="preserve">role-based dashboards show cohort progress and engagement so resources can be targeted, with pupil identities protected.</w:t>
      </w:r>
    </w:p>
    <w:p>
      <w:pPr>
        <w:pStyle w:val="ListParagraph"/>
        <w:numPr>
          <w:ilvl w:val="0"/>
          <w:numId w:val="2"/>
        </w:numPr>
        <w:spacing w:after="60" w:before="16" w:line="258"/>
      </w:pPr>
      <w:r>
        <w:rPr>
          <w:rFonts w:ascii="Calibri" w:cs="Calibri" w:eastAsia="Calibri" w:hAnsi="Calibri"/>
          <w:b/>
          <w:bCs/>
          <w:color w:val="2E6BC4"/>
          <w:sz w:val="21"/>
          <w:szCs w:val="21"/>
        </w:rPr>
        <w:t xml:space="preserve">Reads their actual work — </w:t>
      </w:r>
      <w:r>
        <w:rPr>
          <w:rFonts w:ascii="Calibri" w:cs="Calibri" w:eastAsia="Calibri" w:hAnsi="Calibri"/>
          <w:color w:val="20283F"/>
          <w:sz w:val="21"/>
          <w:szCs w:val="21"/>
        </w:rPr>
        <w:t xml:space="preserve">a Skills Coach lets a parent photograph a page of handwriting or a set of notes; the AI reads it closely and builds an ongoing plan — for handwriting, spelling and writing level, or for memory and retention when repeating and copying isn’t working — with the key items pushed into daily spaced practice.</w:t>
      </w:r>
    </w:p>
    <w:p>
      <w:pPr>
        <w:spacing w:after="90" w:before="220"/>
      </w:pPr>
      <w:r>
        <w:rPr>
          <w:rFonts w:ascii="Calibri" w:cs="Calibri" w:eastAsia="Calibri" w:hAnsi="Calibri"/>
          <w:b/>
          <w:bCs/>
          <w:caps/>
          <w:color w:val="2E6BC4"/>
          <w:spacing w:val="16"/>
          <w:sz w:val="23"/>
          <w:szCs w:val="23"/>
        </w:rPr>
        <w:t xml:space="preserve">4 · What a learner actually gets</w:t>
      </w:r>
    </w:p>
    <w:p>
      <w:pPr>
        <w:spacing w:after="120" w:before="0" w:line="264"/>
      </w:pPr>
      <w:r>
        <w:rPr>
          <w:rFonts w:ascii="Calibri" w:cs="Calibri" w:eastAsia="Calibri" w:hAnsi="Calibri"/>
          <w:b w:val="false"/>
          <w:bCs w:val="false"/>
          <w:i w:val="false"/>
          <w:iCs w:val="false"/>
          <w:color w:val="20283F"/>
          <w:sz w:val="21"/>
          <w:szCs w:val="21"/>
        </w:rPr>
        <w:t xml:space="preserve">A young person opens StudYear on whatever device they have. In a few minutes a diagnostic shows them — and, with consent, their parent — where they stand. From there they have a tutor that never tires: it sets and marks practice at the right level, re-teaches the exact step they got wrong, brings weak topics back before they slip, and keeps a plan that tightens as exams approach. It costs them nothing to begin, and it works at 11pm on a phone as well as it works in a classroom.</w:t>
      </w:r>
    </w:p>
    <w:p>
      <w:pPr>
        <w:spacing w:after="90" w:before="220"/>
      </w:pPr>
      <w:r>
        <w:rPr>
          <w:rFonts w:ascii="Calibri" w:cs="Calibri" w:eastAsia="Calibri" w:hAnsi="Calibri"/>
          <w:b/>
          <w:bCs/>
          <w:caps/>
          <w:color w:val="2E6BC4"/>
          <w:spacing w:val="16"/>
          <w:sz w:val="23"/>
          <w:szCs w:val="23"/>
        </w:rPr>
        <w:t xml:space="preserve">5 · Benefits for disadvantaged children — now</w:t>
      </w:r>
    </w:p>
    <w:p>
      <w:pPr>
        <w:pStyle w:val="ListParagraph"/>
        <w:numPr>
          <w:ilvl w:val="0"/>
          <w:numId w:val="2"/>
        </w:numPr>
        <w:spacing w:after="60" w:before="16" w:line="258"/>
      </w:pPr>
      <w:r>
        <w:rPr>
          <w:rFonts w:ascii="Calibri" w:cs="Calibri" w:eastAsia="Calibri" w:hAnsi="Calibri"/>
          <w:b/>
          <w:bCs/>
          <w:color w:val="2E6BC4"/>
          <w:sz w:val="21"/>
          <w:szCs w:val="21"/>
        </w:rPr>
        <w:t xml:space="preserve">Equal access to what works — </w:t>
      </w:r>
      <w:r>
        <w:rPr>
          <w:rFonts w:ascii="Calibri" w:cs="Calibri" w:eastAsia="Calibri" w:hAnsi="Calibri"/>
          <w:color w:val="20283F"/>
          <w:sz w:val="21"/>
          <w:szCs w:val="21"/>
        </w:rPr>
        <w:t xml:space="preserve">the personalised tuition that wealthier families buy, available free, on a device they already own.</w:t>
      </w:r>
    </w:p>
    <w:p>
      <w:pPr>
        <w:pStyle w:val="ListParagraph"/>
        <w:numPr>
          <w:ilvl w:val="0"/>
          <w:numId w:val="2"/>
        </w:numPr>
        <w:spacing w:after="60" w:before="16" w:line="258"/>
      </w:pPr>
      <w:r>
        <w:rPr>
          <w:rFonts w:ascii="Calibri" w:cs="Calibri" w:eastAsia="Calibri" w:hAnsi="Calibri"/>
          <w:b/>
          <w:bCs/>
          <w:color w:val="2E6BC4"/>
          <w:sz w:val="21"/>
          <w:szCs w:val="21"/>
        </w:rPr>
        <w:t xml:space="preserve">Met at their exact level — </w:t>
      </w:r>
      <w:r>
        <w:rPr>
          <w:rFonts w:ascii="Calibri" w:cs="Calibri" w:eastAsia="Calibri" w:hAnsi="Calibri"/>
          <w:color w:val="20283F"/>
          <w:sz w:val="21"/>
          <w:szCs w:val="21"/>
        </w:rPr>
        <w:t xml:space="preserve">no learner is forced into the wrong year group or route; migrant and vocational learners are first-class citizens of the platform.</w:t>
      </w:r>
    </w:p>
    <w:p>
      <w:pPr>
        <w:pStyle w:val="ListParagraph"/>
        <w:numPr>
          <w:ilvl w:val="0"/>
          <w:numId w:val="2"/>
        </w:numPr>
        <w:spacing w:after="60" w:before="16" w:line="258"/>
      </w:pPr>
      <w:r>
        <w:rPr>
          <w:rFonts w:ascii="Calibri" w:cs="Calibri" w:eastAsia="Calibri" w:hAnsi="Calibri"/>
          <w:b/>
          <w:bCs/>
          <w:color w:val="2E6BC4"/>
          <w:sz w:val="21"/>
          <w:szCs w:val="21"/>
        </w:rPr>
        <w:t xml:space="preserve">Dignity and independence — </w:t>
      </w:r>
      <w:r>
        <w:rPr>
          <w:rFonts w:ascii="Calibri" w:cs="Calibri" w:eastAsia="Calibri" w:hAnsi="Calibri"/>
          <w:color w:val="20283F"/>
          <w:sz w:val="21"/>
          <w:szCs w:val="21"/>
        </w:rPr>
        <w:t xml:space="preserve">they can catch up privately, at their own pace, without singling themselves out.</w:t>
      </w:r>
    </w:p>
    <w:p>
      <w:pPr>
        <w:pStyle w:val="ListParagraph"/>
        <w:numPr>
          <w:ilvl w:val="0"/>
          <w:numId w:val="2"/>
        </w:numPr>
        <w:spacing w:after="60" w:before="16" w:line="258"/>
      </w:pPr>
      <w:r>
        <w:rPr>
          <w:rFonts w:ascii="Calibri" w:cs="Calibri" w:eastAsia="Calibri" w:hAnsi="Calibri"/>
          <w:b/>
          <w:bCs/>
          <w:color w:val="2E6BC4"/>
          <w:sz w:val="21"/>
          <w:szCs w:val="21"/>
        </w:rPr>
        <w:t xml:space="preserve">Confidence that compounds — </w:t>
      </w:r>
      <w:r>
        <w:rPr>
          <w:rFonts w:ascii="Calibri" w:cs="Calibri" w:eastAsia="Calibri" w:hAnsi="Calibri"/>
          <w:color w:val="20283F"/>
          <w:sz w:val="21"/>
          <w:szCs w:val="21"/>
        </w:rPr>
        <w:t xml:space="preserve">small, well-timed wins and visible progress build the belief that they can succeed — often the missing ingredient.</w:t>
      </w:r>
    </w:p>
    <w:p>
      <w:pPr>
        <w:pStyle w:val="ListParagraph"/>
        <w:numPr>
          <w:ilvl w:val="0"/>
          <w:numId w:val="2"/>
        </w:numPr>
        <w:spacing w:after="60" w:before="16" w:line="258"/>
      </w:pPr>
      <w:r>
        <w:rPr>
          <w:rFonts w:ascii="Calibri" w:cs="Calibri" w:eastAsia="Calibri" w:hAnsi="Calibri"/>
          <w:b/>
          <w:bCs/>
          <w:color w:val="2E6BC4"/>
          <w:sz w:val="21"/>
          <w:szCs w:val="21"/>
        </w:rPr>
        <w:t xml:space="preserve">Targets the real gaps — </w:t>
      </w:r>
      <w:r>
        <w:rPr>
          <w:rFonts w:ascii="Calibri" w:cs="Calibri" w:eastAsia="Calibri" w:hAnsi="Calibri"/>
          <w:color w:val="20283F"/>
          <w:sz w:val="21"/>
          <w:szCs w:val="21"/>
        </w:rPr>
        <w:t xml:space="preserve">the Skills Coach tackles the difficulties these children face most — weak handwriting and spelling, writing below their age, and material that won’t stick — from a single photo, with a quick, trackable plan.</w:t>
      </w:r>
    </w:p>
    <w:p>
      <w:pPr>
        <w:spacing w:after="90" w:before="220"/>
      </w:pPr>
      <w:r>
        <w:rPr>
          <w:rFonts w:ascii="Calibri" w:cs="Calibri" w:eastAsia="Calibri" w:hAnsi="Calibri"/>
          <w:b/>
          <w:bCs/>
          <w:caps/>
          <w:color w:val="2E6BC4"/>
          <w:spacing w:val="16"/>
          <w:sz w:val="23"/>
          <w:szCs w:val="23"/>
        </w:rPr>
        <w:t xml:space="preserve">6 · Benefits for schools — now</w:t>
      </w:r>
    </w:p>
    <w:p>
      <w:pPr>
        <w:pStyle w:val="ListParagraph"/>
        <w:numPr>
          <w:ilvl w:val="0"/>
          <w:numId w:val="2"/>
        </w:numPr>
        <w:spacing w:after="60" w:before="16" w:line="258"/>
      </w:pPr>
      <w:r>
        <w:rPr>
          <w:rFonts w:ascii="Calibri" w:cs="Calibri" w:eastAsia="Calibri" w:hAnsi="Calibri"/>
          <w:b/>
          <w:bCs/>
          <w:color w:val="2E6BC4"/>
          <w:sz w:val="21"/>
          <w:szCs w:val="21"/>
        </w:rPr>
        <w:t xml:space="preserve">Teacher time multiplied — </w:t>
      </w:r>
      <w:r>
        <w:rPr>
          <w:rFonts w:ascii="Calibri" w:cs="Calibri" w:eastAsia="Calibri" w:hAnsi="Calibri"/>
          <w:color w:val="20283F"/>
          <w:sz w:val="21"/>
          <w:szCs w:val="21"/>
        </w:rPr>
        <w:t xml:space="preserve">marking, diagnostics and personalised practice are handled by the engine, freeing teachers for the human work only they can do.</w:t>
      </w:r>
    </w:p>
    <w:p>
      <w:pPr>
        <w:pStyle w:val="ListParagraph"/>
        <w:numPr>
          <w:ilvl w:val="0"/>
          <w:numId w:val="2"/>
        </w:numPr>
        <w:spacing w:after="60" w:before="16" w:line="258"/>
      </w:pPr>
      <w:r>
        <w:rPr>
          <w:rFonts w:ascii="Calibri" w:cs="Calibri" w:eastAsia="Calibri" w:hAnsi="Calibri"/>
          <w:b/>
          <w:bCs/>
          <w:color w:val="2E6BC4"/>
          <w:sz w:val="21"/>
          <w:szCs w:val="21"/>
        </w:rPr>
        <w:t xml:space="preserve">Early sight of need — </w:t>
      </w:r>
      <w:r>
        <w:rPr>
          <w:rFonts w:ascii="Calibri" w:cs="Calibri" w:eastAsia="Calibri" w:hAnsi="Calibri"/>
          <w:color w:val="20283F"/>
          <w:sz w:val="21"/>
          <w:szCs w:val="21"/>
        </w:rPr>
        <w:t xml:space="preserve">cohort dashboards surface who is slipping while there is still time to act, rather than at results.</w:t>
      </w:r>
    </w:p>
    <w:p>
      <w:pPr>
        <w:pStyle w:val="ListParagraph"/>
        <w:numPr>
          <w:ilvl w:val="0"/>
          <w:numId w:val="2"/>
        </w:numPr>
        <w:spacing w:after="60" w:before="16" w:line="258"/>
      </w:pPr>
      <w:r>
        <w:rPr>
          <w:rFonts w:ascii="Calibri" w:cs="Calibri" w:eastAsia="Calibri" w:hAnsi="Calibri"/>
          <w:b/>
          <w:bCs/>
          <w:color w:val="2E6BC4"/>
          <w:sz w:val="21"/>
          <w:szCs w:val="21"/>
        </w:rPr>
        <w:t xml:space="preserve">Targeted intervention — </w:t>
      </w:r>
      <w:r>
        <w:rPr>
          <w:rFonts w:ascii="Calibri" w:cs="Calibri" w:eastAsia="Calibri" w:hAnsi="Calibri"/>
          <w:color w:val="20283F"/>
          <w:sz w:val="21"/>
          <w:szCs w:val="21"/>
        </w:rPr>
        <w:t xml:space="preserve">Pupil Premium and catch-up resource can be pointed precisely, with evidence of where it is working.</w:t>
      </w:r>
    </w:p>
    <w:p>
      <w:pPr>
        <w:pStyle w:val="ListParagraph"/>
        <w:numPr>
          <w:ilvl w:val="0"/>
          <w:numId w:val="2"/>
        </w:numPr>
        <w:spacing w:after="60" w:before="16" w:line="258"/>
      </w:pPr>
      <w:r>
        <w:rPr>
          <w:rFonts w:ascii="Calibri" w:cs="Calibri" w:eastAsia="Calibri" w:hAnsi="Calibri"/>
          <w:b/>
          <w:bCs/>
          <w:color w:val="2E6BC4"/>
          <w:sz w:val="21"/>
          <w:szCs w:val="21"/>
        </w:rPr>
        <w:t xml:space="preserve">Works for every pathway — </w:t>
      </w:r>
      <w:r>
        <w:rPr>
          <w:rFonts w:ascii="Calibri" w:cs="Calibri" w:eastAsia="Calibri" w:hAnsi="Calibri"/>
          <w:color w:val="20283F"/>
          <w:sz w:val="21"/>
          <w:szCs w:val="21"/>
        </w:rPr>
        <w:t xml:space="preserve">academic, vocational and technical learners are all supported from one platform.</w:t>
      </w:r>
    </w:p>
    <w:p>
      <w:pPr>
        <w:spacing w:after="90" w:before="220"/>
      </w:pPr>
      <w:r>
        <w:rPr>
          <w:rFonts w:ascii="Calibri" w:cs="Calibri" w:eastAsia="Calibri" w:hAnsi="Calibri"/>
          <w:b/>
          <w:bCs/>
          <w:caps/>
          <w:color w:val="2E6BC4"/>
          <w:spacing w:val="16"/>
          <w:sz w:val="23"/>
          <w:szCs w:val="23"/>
        </w:rPr>
        <w:t xml:space="preserve">7 · Benefits for the local authority — now</w:t>
      </w:r>
    </w:p>
    <w:p>
      <w:pPr>
        <w:pStyle w:val="ListParagraph"/>
        <w:numPr>
          <w:ilvl w:val="0"/>
          <w:numId w:val="2"/>
        </w:numPr>
        <w:spacing w:after="60" w:before="16" w:line="258"/>
      </w:pPr>
      <w:r>
        <w:rPr>
          <w:rFonts w:ascii="Calibri" w:cs="Calibri" w:eastAsia="Calibri" w:hAnsi="Calibri"/>
          <w:b/>
          <w:bCs/>
          <w:color w:val="2E6BC4"/>
          <w:sz w:val="21"/>
          <w:szCs w:val="21"/>
        </w:rPr>
        <w:t xml:space="preserve">Reach at low marginal cost — </w:t>
      </w:r>
      <w:r>
        <w:rPr>
          <w:rFonts w:ascii="Calibri" w:cs="Calibri" w:eastAsia="Calibri" w:hAnsi="Calibri"/>
          <w:color w:val="20283F"/>
          <w:sz w:val="21"/>
          <w:szCs w:val="21"/>
        </w:rPr>
        <w:t xml:space="preserve">a free learner tier means the Council can extend high-quality support across many families without a per-child tuition bill.</w:t>
      </w:r>
    </w:p>
    <w:p>
      <w:pPr>
        <w:pStyle w:val="ListParagraph"/>
        <w:numPr>
          <w:ilvl w:val="0"/>
          <w:numId w:val="2"/>
        </w:numPr>
        <w:spacing w:after="60" w:before="16" w:line="258"/>
      </w:pPr>
      <w:r>
        <w:rPr>
          <w:rFonts w:ascii="Calibri" w:cs="Calibri" w:eastAsia="Calibri" w:hAnsi="Calibri"/>
          <w:b/>
          <w:bCs/>
          <w:color w:val="2E6BC4"/>
          <w:sz w:val="21"/>
          <w:szCs w:val="21"/>
        </w:rPr>
        <w:t xml:space="preserve">A cohort-level picture — </w:t>
      </w:r>
      <w:r>
        <w:rPr>
          <w:rFonts w:ascii="Calibri" w:cs="Calibri" w:eastAsia="Calibri" w:hAnsi="Calibri"/>
          <w:color w:val="20283F"/>
          <w:sz w:val="21"/>
          <w:szCs w:val="21"/>
        </w:rPr>
        <w:t xml:space="preserve">engagement and progress across a supported group, with identities protected, to inform where to focus.</w:t>
      </w:r>
    </w:p>
    <w:p>
      <w:pPr>
        <w:pStyle w:val="ListParagraph"/>
        <w:numPr>
          <w:ilvl w:val="0"/>
          <w:numId w:val="2"/>
        </w:numPr>
        <w:spacing w:after="60" w:before="16" w:line="258"/>
      </w:pPr>
      <w:r>
        <w:rPr>
          <w:rFonts w:ascii="Calibri" w:cs="Calibri" w:eastAsia="Calibri" w:hAnsi="Calibri"/>
          <w:b/>
          <w:bCs/>
          <w:color w:val="2E6BC4"/>
          <w:sz w:val="21"/>
          <w:szCs w:val="21"/>
        </w:rPr>
        <w:t xml:space="preserve">Equity, delivered — </w:t>
      </w:r>
      <w:r>
        <w:rPr>
          <w:rFonts w:ascii="Calibri" w:cs="Calibri" w:eastAsia="Calibri" w:hAnsi="Calibri"/>
          <w:color w:val="20283F"/>
          <w:sz w:val="21"/>
          <w:szCs w:val="21"/>
        </w:rPr>
        <w:t xml:space="preserve">a concrete, measurable way to narrow the attainment gap for the families the service exists to serve.</w:t>
      </w:r>
    </w:p>
    <w:p>
      <w:pPr>
        <w:spacing w:after="90" w:before="220"/>
      </w:pPr>
      <w:r>
        <w:rPr>
          <w:rFonts w:ascii="Calibri" w:cs="Calibri" w:eastAsia="Calibri" w:hAnsi="Calibri"/>
          <w:b/>
          <w:bCs/>
          <w:caps/>
          <w:color w:val="2E6BC4"/>
          <w:spacing w:val="16"/>
          <w:sz w:val="23"/>
          <w:szCs w:val="23"/>
        </w:rPr>
        <w:t xml:space="preserve">8 · Future impact — the longer view</w:t>
      </w:r>
    </w:p>
    <w:p>
      <w:pPr>
        <w:spacing w:after="120" w:before="0" w:line="264"/>
      </w:pPr>
      <w:r>
        <w:rPr>
          <w:rFonts w:ascii="Calibri" w:cs="Calibri" w:eastAsia="Calibri" w:hAnsi="Calibri"/>
          <w:b w:val="false"/>
          <w:bCs w:val="false"/>
          <w:i w:val="false"/>
          <w:iCs w:val="false"/>
          <w:color w:val="20283F"/>
          <w:sz w:val="21"/>
          <w:szCs w:val="21"/>
        </w:rPr>
        <w:t xml:space="preserve">The value compounds over years, not weeks:</w:t>
      </w:r>
    </w:p>
    <w:p>
      <w:pPr>
        <w:pStyle w:val="ListParagraph"/>
        <w:numPr>
          <w:ilvl w:val="0"/>
          <w:numId w:val="2"/>
        </w:numPr>
        <w:spacing w:after="60" w:before="16" w:line="258"/>
      </w:pPr>
      <w:r>
        <w:rPr>
          <w:rFonts w:ascii="Calibri" w:cs="Calibri" w:eastAsia="Calibri" w:hAnsi="Calibri"/>
          <w:b/>
          <w:bCs/>
          <w:color w:val="2E6BC4"/>
          <w:sz w:val="21"/>
          <w:szCs w:val="21"/>
        </w:rPr>
        <w:t xml:space="preserve">Better destinations — </w:t>
      </w:r>
      <w:r>
        <w:rPr>
          <w:rFonts w:ascii="Calibri" w:cs="Calibri" w:eastAsia="Calibri" w:hAnsi="Calibri"/>
          <w:color w:val="20283F"/>
          <w:sz w:val="21"/>
          <w:szCs w:val="21"/>
        </w:rPr>
        <w:t xml:space="preserve">stronger grades and clearer routes into college, apprenticeships, employment and university change the trajectory of a young person’s life, and that of the next generation.</w:t>
      </w:r>
    </w:p>
    <w:p>
      <w:pPr>
        <w:pStyle w:val="ListParagraph"/>
        <w:numPr>
          <w:ilvl w:val="0"/>
          <w:numId w:val="2"/>
        </w:numPr>
        <w:spacing w:after="60" w:before="16" w:line="258"/>
      </w:pPr>
      <w:r>
        <w:rPr>
          <w:rFonts w:ascii="Calibri" w:cs="Calibri" w:eastAsia="Calibri" w:hAnsi="Calibri"/>
          <w:b/>
          <w:bCs/>
          <w:color w:val="2E6BC4"/>
          <w:sz w:val="21"/>
          <w:szCs w:val="21"/>
        </w:rPr>
        <w:t xml:space="preserve">Social mobility that sticks — </w:t>
      </w:r>
      <w:r>
        <w:rPr>
          <w:rFonts w:ascii="Calibri" w:cs="Calibri" w:eastAsia="Calibri" w:hAnsi="Calibri"/>
          <w:color w:val="20283F"/>
          <w:sz w:val="21"/>
          <w:szCs w:val="21"/>
        </w:rPr>
        <w:t xml:space="preserve">a learner supported from Key Stage 2 through GCSEs and into a T-Level, apprenticeship or degree is carried across every transition by one platform that already knows them.</w:t>
      </w:r>
    </w:p>
    <w:p>
      <w:pPr>
        <w:pStyle w:val="ListParagraph"/>
        <w:numPr>
          <w:ilvl w:val="0"/>
          <w:numId w:val="2"/>
        </w:numPr>
        <w:spacing w:after="60" w:before="16" w:line="258"/>
      </w:pPr>
      <w:r>
        <w:rPr>
          <w:rFonts w:ascii="Calibri" w:cs="Calibri" w:eastAsia="Calibri" w:hAnsi="Calibri"/>
          <w:b/>
          <w:bCs/>
          <w:color w:val="2E6BC4"/>
          <w:sz w:val="21"/>
          <w:szCs w:val="21"/>
        </w:rPr>
        <w:t xml:space="preserve">A living evidence base — </w:t>
      </w:r>
      <w:r>
        <w:rPr>
          <w:rFonts w:ascii="Calibri" w:cs="Calibri" w:eastAsia="Calibri" w:hAnsi="Calibri"/>
          <w:color w:val="20283F"/>
          <w:sz w:val="21"/>
          <w:szCs w:val="21"/>
        </w:rPr>
        <w:t xml:space="preserve">over time, anonymised cohort data shows the Council what support changes outcomes, turning spend into learning.</w:t>
      </w:r>
    </w:p>
    <w:p>
      <w:pPr>
        <w:pStyle w:val="ListParagraph"/>
        <w:numPr>
          <w:ilvl w:val="0"/>
          <w:numId w:val="2"/>
        </w:numPr>
        <w:spacing w:after="60" w:before="16" w:line="258"/>
      </w:pPr>
      <w:r>
        <w:rPr>
          <w:rFonts w:ascii="Calibri" w:cs="Calibri" w:eastAsia="Calibri" w:hAnsi="Calibri"/>
          <w:b/>
          <w:bCs/>
          <w:color w:val="2E6BC4"/>
          <w:sz w:val="21"/>
          <w:szCs w:val="21"/>
        </w:rPr>
        <w:t xml:space="preserve">Lower long-term cost — </w:t>
      </w:r>
      <w:r>
        <w:rPr>
          <w:rFonts w:ascii="Calibri" w:cs="Calibri" w:eastAsia="Calibri" w:hAnsi="Calibri"/>
          <w:color w:val="20283F"/>
          <w:sz w:val="21"/>
          <w:szCs w:val="21"/>
        </w:rPr>
        <w:t xml:space="preserve">every child who stays on track is one less requiring costly later intervention; prevention is cheaper than remedy.</w:t>
      </w:r>
    </w:p>
    <w:p>
      <w:pPr>
        <w:pStyle w:val="ListParagraph"/>
        <w:numPr>
          <w:ilvl w:val="0"/>
          <w:numId w:val="2"/>
        </w:numPr>
        <w:spacing w:after="60" w:before="16" w:line="258"/>
      </w:pPr>
      <w:r>
        <w:rPr>
          <w:rFonts w:ascii="Calibri" w:cs="Calibri" w:eastAsia="Calibri" w:hAnsi="Calibri"/>
          <w:b/>
          <w:bCs/>
          <w:color w:val="2E6BC4"/>
          <w:sz w:val="21"/>
          <w:szCs w:val="21"/>
        </w:rPr>
        <w:t xml:space="preserve">Future-ready skills — </w:t>
      </w:r>
      <w:r>
        <w:rPr>
          <w:rFonts w:ascii="Calibri" w:cs="Calibri" w:eastAsia="Calibri" w:hAnsi="Calibri"/>
          <w:color w:val="20283F"/>
          <w:sz w:val="21"/>
          <w:szCs w:val="21"/>
        </w:rPr>
        <w:t xml:space="preserve">learners grow up fluent in using AI as a tool for learning and work — a decisive advantage in the economy they are entering.</w:t>
      </w:r>
    </w:p>
    <w:p>
      <w:pPr>
        <w:spacing w:after="90" w:before="220"/>
      </w:pPr>
      <w:r>
        <w:rPr>
          <w:rFonts w:ascii="Calibri" w:cs="Calibri" w:eastAsia="Calibri" w:hAnsi="Calibri"/>
          <w:b/>
          <w:bCs/>
          <w:caps/>
          <w:color w:val="2E6BC4"/>
          <w:spacing w:val="16"/>
          <w:sz w:val="23"/>
          <w:szCs w:val="23"/>
        </w:rPr>
        <w:t xml:space="preserve">9 · Equity, safeguarding &amp; data protection</w:t>
      </w:r>
    </w:p>
    <w:p>
      <w:pPr>
        <w:pStyle w:val="ListParagraph"/>
        <w:numPr>
          <w:ilvl w:val="0"/>
          <w:numId w:val="2"/>
        </w:numPr>
        <w:spacing w:after="60" w:before="16" w:line="258"/>
      </w:pPr>
      <w:r>
        <w:rPr>
          <w:rFonts w:ascii="Calibri" w:cs="Calibri" w:eastAsia="Calibri" w:hAnsi="Calibri"/>
          <w:b/>
          <w:bCs/>
          <w:color w:val="2E6BC4"/>
          <w:sz w:val="21"/>
          <w:szCs w:val="21"/>
        </w:rPr>
        <w:t xml:space="preserve">Built for children — </w:t>
      </w:r>
      <w:r>
        <w:rPr>
          <w:rFonts w:ascii="Calibri" w:cs="Calibri" w:eastAsia="Calibri" w:hAnsi="Calibri"/>
          <w:color w:val="20283F"/>
          <w:sz w:val="21"/>
          <w:szCs w:val="21"/>
        </w:rPr>
        <w:t xml:space="preserve">age-banding and parental-consent capture at sign-up, aligned to the UK Children’s Code (Age Appropriate Design) and GDPR-K.</w:t>
      </w:r>
    </w:p>
    <w:p>
      <w:pPr>
        <w:pStyle w:val="ListParagraph"/>
        <w:numPr>
          <w:ilvl w:val="0"/>
          <w:numId w:val="2"/>
        </w:numPr>
        <w:spacing w:after="60" w:before="16" w:line="258"/>
      </w:pPr>
      <w:r>
        <w:rPr>
          <w:rFonts w:ascii="Calibri" w:cs="Calibri" w:eastAsia="Calibri" w:hAnsi="Calibri"/>
          <w:b/>
          <w:bCs/>
          <w:color w:val="2E6BC4"/>
          <w:sz w:val="21"/>
          <w:szCs w:val="21"/>
        </w:rPr>
        <w:t xml:space="preserve">UK-held, encrypted data — </w:t>
      </w:r>
      <w:r>
        <w:rPr>
          <w:rFonts w:ascii="Calibri" w:cs="Calibri" w:eastAsia="Calibri" w:hAnsi="Calibri"/>
          <w:color w:val="20283F"/>
          <w:sz w:val="21"/>
          <w:szCs w:val="21"/>
        </w:rPr>
        <w:t xml:space="preserve">data is held in the UK/EU region with encrypted sync; personal data is masked in shared and exported views, with full detail only in the secure back office.</w:t>
      </w:r>
    </w:p>
    <w:p>
      <w:pPr>
        <w:pStyle w:val="ListParagraph"/>
        <w:numPr>
          <w:ilvl w:val="0"/>
          <w:numId w:val="2"/>
        </w:numPr>
        <w:spacing w:after="60" w:before="16" w:line="258"/>
      </w:pPr>
      <w:r>
        <w:rPr>
          <w:rFonts w:ascii="Calibri" w:cs="Calibri" w:eastAsia="Calibri" w:hAnsi="Calibri"/>
          <w:b/>
          <w:bCs/>
          <w:color w:val="2E6BC4"/>
          <w:sz w:val="21"/>
          <w:szCs w:val="21"/>
        </w:rPr>
        <w:t xml:space="preserve">No cost, no exclusion — </w:t>
      </w:r>
      <w:r>
        <w:rPr>
          <w:rFonts w:ascii="Calibri" w:cs="Calibri" w:eastAsia="Calibri" w:hAnsi="Calibri"/>
          <w:color w:val="20283F"/>
          <w:sz w:val="21"/>
          <w:szCs w:val="21"/>
        </w:rPr>
        <w:t xml:space="preserve">a genuinely free learner tier on any phone means no child is priced out.</w:t>
      </w:r>
    </w:p>
    <w:p>
      <w:pPr>
        <w:pStyle w:val="ListParagraph"/>
        <w:numPr>
          <w:ilvl w:val="0"/>
          <w:numId w:val="2"/>
        </w:numPr>
        <w:spacing w:after="60" w:before="16" w:line="258"/>
      </w:pPr>
      <w:r>
        <w:rPr>
          <w:rFonts w:ascii="Calibri" w:cs="Calibri" w:eastAsia="Calibri" w:hAnsi="Calibri"/>
          <w:b/>
          <w:bCs/>
          <w:color w:val="2E6BC4"/>
          <w:sz w:val="21"/>
          <w:szCs w:val="21"/>
        </w:rPr>
        <w:t xml:space="preserve">Transparent and honest — </w:t>
      </w:r>
      <w:r>
        <w:rPr>
          <w:rFonts w:ascii="Calibri" w:cs="Calibri" w:eastAsia="Calibri" w:hAnsi="Calibri"/>
          <w:color w:val="20283F"/>
          <w:sz w:val="21"/>
          <w:szCs w:val="21"/>
        </w:rPr>
        <w:t xml:space="preserve">StudYear supports learning; it does not promise guaranteed grades, and its claims are limited to what the platform genuinely does.</w:t>
      </w:r>
    </w:p>
    <w:p>
      <w:pPr>
        <w:spacing w:after="90" w:before="220"/>
      </w:pPr>
      <w:r>
        <w:rPr>
          <w:rFonts w:ascii="Calibri" w:cs="Calibri" w:eastAsia="Calibri" w:hAnsi="Calibri"/>
          <w:b/>
          <w:bCs/>
          <w:caps/>
          <w:color w:val="2E6BC4"/>
          <w:spacing w:val="16"/>
          <w:sz w:val="23"/>
          <w:szCs w:val="23"/>
        </w:rPr>
        <w:t xml:space="preserve">10 · Working together — a proposed pilot</w:t>
      </w:r>
    </w:p>
    <w:p>
      <w:pPr>
        <w:pStyle w:val="ListParagraph"/>
        <w:numPr>
          <w:ilvl w:val="0"/>
          <w:numId w:val="2"/>
        </w:numPr>
        <w:spacing w:after="60" w:before="16" w:line="258"/>
      </w:pPr>
      <w:r>
        <w:rPr>
          <w:rFonts w:ascii="Calibri" w:cs="Calibri" w:eastAsia="Calibri" w:hAnsi="Calibri"/>
          <w:b/>
          <w:bCs/>
          <w:color w:val="2E6BC4"/>
          <w:sz w:val="21"/>
          <w:szCs w:val="21"/>
        </w:rPr>
        <w:t xml:space="preserve">A no-obligation demonstration — </w:t>
      </w:r>
      <w:r>
        <w:rPr>
          <w:rFonts w:ascii="Calibri" w:cs="Calibri" w:eastAsia="Calibri" w:hAnsi="Calibri"/>
          <w:color w:val="20283F"/>
          <w:sz w:val="21"/>
          <w:szCs w:val="21"/>
        </w:rPr>
        <w:t xml:space="preserve">a short session for your team, tailored to your cohorts.</w:t>
      </w:r>
    </w:p>
    <w:p>
      <w:pPr>
        <w:pStyle w:val="ListParagraph"/>
        <w:numPr>
          <w:ilvl w:val="0"/>
          <w:numId w:val="2"/>
        </w:numPr>
        <w:spacing w:after="60" w:before="16" w:line="258"/>
      </w:pPr>
      <w:r>
        <w:rPr>
          <w:rFonts w:ascii="Calibri" w:cs="Calibri" w:eastAsia="Calibri" w:hAnsi="Calibri"/>
          <w:b/>
          <w:bCs/>
          <w:color w:val="2E6BC4"/>
          <w:sz w:val="21"/>
          <w:szCs w:val="21"/>
        </w:rPr>
        <w:t xml:space="preserve">A focused pilot — </w:t>
      </w:r>
      <w:r>
        <w:rPr>
          <w:rFonts w:ascii="Calibri" w:cs="Calibri" w:eastAsia="Calibri" w:hAnsi="Calibri"/>
          <w:color w:val="20283F"/>
          <w:sz w:val="21"/>
          <w:szCs w:val="21"/>
        </w:rPr>
        <w:t xml:space="preserve">one cohort (for example, newly-arrived KS3/KS4 learners or a Pupil-Premium group), an agreed success measure, and a short review — evidence before any wider commitment.</w:t>
      </w:r>
    </w:p>
    <w:p>
      <w:pPr>
        <w:pStyle w:val="ListParagraph"/>
        <w:numPr>
          <w:ilvl w:val="0"/>
          <w:numId w:val="2"/>
        </w:numPr>
        <w:spacing w:after="60" w:before="16" w:line="258"/>
      </w:pPr>
      <w:r>
        <w:rPr>
          <w:rFonts w:ascii="Calibri" w:cs="Calibri" w:eastAsia="Calibri" w:hAnsi="Calibri"/>
          <w:b/>
          <w:bCs/>
          <w:color w:val="2E6BC4"/>
          <w:sz w:val="21"/>
          <w:szCs w:val="21"/>
        </w:rPr>
        <w:t xml:space="preserve">A clear review — </w:t>
      </w:r>
      <w:r>
        <w:rPr>
          <w:rFonts w:ascii="Calibri" w:cs="Calibri" w:eastAsia="Calibri" w:hAnsi="Calibri"/>
          <w:color w:val="20283F"/>
          <w:sz w:val="21"/>
          <w:szCs w:val="21"/>
        </w:rPr>
        <w:t xml:space="preserve">engagement and progress reported back to the Council, so the decision to scale is made on what actually happened.</w:t>
      </w:r>
    </w:p>
    <w:p>
      <w:pPr>
        <w:spacing w:after="90" w:before="220"/>
      </w:pPr>
      <w:r>
        <w:rPr>
          <w:rFonts w:ascii="Calibri" w:cs="Calibri" w:eastAsia="Calibri" w:hAnsi="Calibri"/>
          <w:b/>
          <w:bCs/>
          <w:caps/>
          <w:color w:val="2E6BC4"/>
          <w:spacing w:val="16"/>
          <w:sz w:val="23"/>
          <w:szCs w:val="23"/>
        </w:rPr>
        <w:t xml:space="preserve">11 · Why StudYear, why now</w:t>
      </w:r>
    </w:p>
    <w:p>
      <w:pPr>
        <w:spacing w:after="120" w:before="0" w:line="264"/>
      </w:pPr>
      <w:r>
        <w:rPr>
          <w:rFonts w:ascii="Calibri" w:cs="Calibri" w:eastAsia="Calibri" w:hAnsi="Calibri"/>
          <w:b w:val="false"/>
          <w:bCs w:val="false"/>
          <w:i w:val="false"/>
          <w:iCs w:val="false"/>
          <w:color w:val="20283F"/>
          <w:sz w:val="21"/>
          <w:szCs w:val="21"/>
        </w:rPr>
        <w:t xml:space="preserve">The tools to close the opportunity gap at scale now exist. StudYear puts a personal tutor in the pocket of every child who needs one, shows schools and the Council where to help, and protects the children it serves. For a service dedicated to migrant, low-income and disadvantaged families, it is a direct, measurable, low-risk way to turn intent into outcomes — starting with one cohort, this term.</w:t>
      </w:r>
    </w:p>
    <w:p>
      <w:pPr>
        <w:spacing w:after="0" w:before="180"/>
      </w:pPr>
      <w:r>
        <w:rPr>
          <w:sz w:val="2"/>
          <w:szCs w:val="2"/>
        </w:rPr>
        <w:t xml:space="preserve"/>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6600"/>
        <w:gridCol w:w="3866"/>
      </w:tblGrid>
      <w:tr>
        <w:tc>
          <w:tcPr>
            <w:tcW w:type="dxa" w:w="6600"/>
            <w:tcBorders>
              <w:top w:val="none" w:color="FFFFFF" w:sz="0"/>
              <w:left w:val="none" w:color="FFFFFF" w:sz="0"/>
              <w:bottom w:val="none" w:color="FFFFFF" w:sz="0"/>
              <w:right w:val="none" w:color="FFFFFF" w:sz="0"/>
            </w:tcBorders>
            <w:shd w:fill="0A1026" w:color="auto" w:val="clear"/>
            <w:tcMar>
              <w:top w:type="dxa" w:w="150"/>
              <w:left w:type="dxa" w:w="170"/>
              <w:bottom w:type="dxa" w:w="150"/>
              <w:right w:type="dxa" w:w="170"/>
            </w:tcMar>
            <w:vAlign w:val="center"/>
          </w:tcPr>
          <w:p>
            <w:pPr>
              <w:spacing w:after="0" w:line="240"/>
            </w:pPr>
            <w:r>
              <w:rPr>
                <w:rFonts w:ascii="Calibri" w:cs="Calibri" w:eastAsia="Calibri" w:hAnsi="Calibri"/>
                <w:color w:val="FFFFFF"/>
                <w:sz w:val="19"/>
                <w:szCs w:val="19"/>
              </w:rPr>
              <w:t xml:space="preserve">See it in two minutes — no signup:  </w:t>
            </w:r>
            <w:r>
              <w:rPr>
                <w:rFonts w:ascii="Calibri" w:cs="Calibri" w:eastAsia="Calibri" w:hAnsi="Calibri"/>
                <w:b/>
                <w:bCs/>
                <w:color w:val="E7C67A"/>
                <w:sz w:val="19"/>
                <w:szCs w:val="19"/>
              </w:rPr>
              <w:t xml:space="preserve">www.studyear.com/demo</w:t>
            </w:r>
          </w:p>
        </w:tc>
        <w:tc>
          <w:tcPr>
            <w:tcW w:type="dxa" w:w="3866"/>
            <w:tcBorders>
              <w:top w:val="none" w:color="FFFFFF" w:sz="0"/>
              <w:left w:val="none" w:color="FFFFFF" w:sz="0"/>
              <w:bottom w:val="none" w:color="FFFFFF" w:sz="0"/>
              <w:right w:val="none" w:color="FFFFFF" w:sz="0"/>
            </w:tcBorders>
            <w:shd w:fill="0A1026" w:color="auto" w:val="clear"/>
            <w:tcMar>
              <w:top w:type="dxa" w:w="150"/>
              <w:left w:type="dxa" w:w="170"/>
              <w:bottom w:type="dxa" w:w="150"/>
              <w:right w:type="dxa" w:w="170"/>
            </w:tcMar>
            <w:vAlign w:val="center"/>
          </w:tcPr>
          <w:p>
            <w:pPr>
              <w:spacing w:after="0" w:line="220"/>
              <w:jc w:val="right"/>
            </w:pPr>
            <w:r>
              <w:rPr>
                <w:rFonts w:ascii="Calibri" w:cs="Calibri" w:eastAsia="Calibri" w:hAnsi="Calibri"/>
                <w:color w:val="C9D4EC"/>
                <w:sz w:val="17"/>
                <w:szCs w:val="17"/>
              </w:rPr>
              <w:t xml:space="preserve">www.studyear.com</w:t>
            </w:r>
          </w:p>
          <w:p>
            <w:pPr>
              <w:spacing w:after="0" w:before="6" w:line="210"/>
              <w:jc w:val="right"/>
            </w:pPr>
            <w:r>
              <w:rPr>
                <w:rFonts w:ascii="Calibri" w:cs="Calibri" w:eastAsia="Calibri" w:hAnsi="Calibri"/>
                <w:color w:val="C9D4EC"/>
                <w:sz w:val="16"/>
                <w:szCs w:val="16"/>
              </w:rPr>
              <w:t xml:space="preserve">jnbankwa@gmail.com</w:t>
            </w:r>
          </w:p>
        </w:tc>
      </w:tr>
    </w:tbl>
    <w:sectPr>
      <w:pgSz w:w="11906" w:h="16838" w:orient="portrait"/>
      <w:pgMar w:top="60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B886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8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101e2c5387871205440eb5548297b3b099cdb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StudYear — Detailed Briefing for Birmingham City Council</dc:title>
  <dc:creator>StudYear</dc:creator>
  <cp:lastModifiedBy>Un-named</cp:lastModifiedBy>
  <cp:revision>1</cp:revision>
  <dcterms:created xsi:type="dcterms:W3CDTF">2026-10-04T05:58:08.719Z</dcterms:created>
  <dcterms:modified xsi:type="dcterms:W3CDTF">2026-10-04T05:58:08.723Z</dcterms:modified>
</cp:coreProperties>
</file>

<file path=docProps/custom.xml><?xml version="1.0" encoding="utf-8"?>
<Properties xmlns="http://schemas.openxmlformats.org/officeDocument/2006/custom-properties" xmlns:vt="http://schemas.openxmlformats.org/officeDocument/2006/docPropsVTypes"/>
</file>