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0"/>
        <w:gridCol w:w="3866"/>
      </w:tblGrid>
      <w:t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026" w:color="auto" w:val="clear"/>
            <w:tcMar>
              <w:top w:type="dxa" w:w="150"/>
              <w:left w:type="dxa" w:w="170"/>
              <w:bottom w:type="dxa" w:w="150"/>
              <w:right w:type="dxa" w:w="80"/>
            </w:tcMar>
            <w:vAlign w:val="center"/>
          </w:tcPr>
          <w:p>
            <w:pPr>
              <w:spacing w:after="0" w:line="240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40"/>
                <w:szCs w:val="40"/>
              </w:rPr>
              <w:t xml:space="preserve">  StudYear</w:t>
            </w:r>
          </w:p>
          <w:p>
            <w:pPr>
              <w:spacing w:after="0" w:before="36" w:line="220"/>
            </w:pPr>
            <w:r>
              <w:rPr>
                <w:rFonts w:ascii="Calibri" w:cs="Calibri" w:eastAsia="Calibri" w:hAnsi="Calibri"/>
                <w:i/>
                <w:iCs/>
                <w:color w:val="C9D4EC"/>
                <w:sz w:val="17"/>
                <w:szCs w:val="17"/>
              </w:rPr>
              <w:t xml:space="preserve">The AI operating system for UK education</w:t>
            </w:r>
          </w:p>
        </w:tc>
        <w:tc>
          <w:tcPr>
            <w:tcW w:type="dxa" w:w="3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026" w:color="auto" w:val="clear"/>
            <w:tcMar>
              <w:top w:type="dxa" w:w="150"/>
              <w:left w:type="dxa" w:w="80"/>
              <w:bottom w:type="dxa" w:w="150"/>
              <w:right w:type="dxa" w:w="180"/>
            </w:tcMar>
            <w:vAlign w:val="center"/>
          </w:tcPr>
          <w:p>
            <w:pPr>
              <w:spacing w:after="0" w:line="230"/>
              <w:jc w:val="right"/>
            </w:pPr>
            <w:r>
              <w:rPr>
                <w:rFonts w:ascii="Calibri" w:cs="Calibri" w:eastAsia="Calibri" w:hAnsi="Calibri"/>
                <w:b/>
                <w:bCs/>
                <w:color w:val="E7C67A"/>
                <w:spacing w:val="30"/>
                <w:sz w:val="20"/>
                <w:szCs w:val="20"/>
              </w:rPr>
              <w:t xml:space="preserve">EXECUTIVE SUMMARY</w:t>
            </w:r>
          </w:p>
          <w:p>
            <w:pPr>
              <w:spacing w:after="0" w:before="34" w:line="210"/>
              <w:jc w:val="right"/>
            </w:pPr>
            <w:r>
              <w:rPr>
                <w:rFonts w:ascii="Calibri" w:cs="Calibri" w:eastAsia="Calibri" w:hAnsi="Calibri"/>
                <w:color w:val="C9D4EC"/>
                <w:sz w:val="16"/>
                <w:szCs w:val="16"/>
              </w:rPr>
              <w:t xml:space="preserve">Prepared for Birmingham City Council</w:t>
            </w:r>
          </w:p>
          <w:p>
            <w:pPr>
              <w:spacing w:after="0" w:before="8" w:line="210"/>
              <w:jc w:val="right"/>
            </w:pPr>
            <w:r>
              <w:rPr>
                <w:rFonts w:ascii="Calibri" w:cs="Calibri" w:eastAsia="Calibri" w:hAnsi="Calibri"/>
                <w:color w:val="C9D4EC"/>
                <w:sz w:val="16"/>
                <w:szCs w:val="16"/>
              </w:rPr>
              <w:t xml:space="preserve">Migrant &amp; Disadvantaged Families</w:t>
            </w:r>
          </w:p>
        </w:tc>
      </w:tr>
    </w:tbl>
    <w:p>
      <w:pPr>
        <w:pBdr>
          <w:bottom w:val="single" w:color="E7C67A" w:sz="14"/>
        </w:pBdr>
        <w:spacing w:after="150" w:before="0"/>
      </w:pPr>
      <w:r>
        <w:rPr>
          <w:sz w:val="2"/>
          <w:szCs w:val="2"/>
        </w:rPr>
        <w:t xml:space="preserve"/>
      </w:r>
    </w:p>
    <w:p>
      <w:pPr>
        <w:spacing w:after="90" w:before="0" w:line="276"/>
      </w:pPr>
      <w:r>
        <w:rPr>
          <w:rFonts w:ascii="Calibri" w:cs="Calibri" w:eastAsia="Calibri" w:hAnsi="Calibri"/>
          <w:b/>
          <w:bCs/>
          <w:i w:val="false"/>
          <w:iCs w:val="false"/>
          <w:color w:val="0A1026"/>
          <w:sz w:val="26"/>
          <w:szCs w:val="26"/>
        </w:rPr>
        <w:t xml:space="preserve">Meeting every child where they are — whatever their language, level, or starting point.</w:t>
      </w:r>
    </w:p>
    <w:p>
      <w:pPr>
        <w:spacing w:after="120" w:before="0" w:line="2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40"/>
          <w:sz w:val="20"/>
          <w:szCs w:val="20"/>
        </w:rPr>
        <w:t xml:space="preserve">Birmingham’s migrant and disadvantaged families face a moving target: children arriving mid-year, at different stages and from different education systems — often without a tutor, a quiet place to study, or a parent who can navigate the English curriculum. </w:t>
      </w:r>
      <w:r>
        <w:rPr>
          <w:rFonts w:ascii="Calibri" w:cs="Calibri" w:eastAsia="Calibri" w:hAnsi="Calibri"/>
          <w:b/>
          <w:bCs/>
          <w:i w:val="false"/>
          <w:iCs w:val="false"/>
          <w:color w:val="1A2340"/>
          <w:sz w:val="20"/>
          <w:szCs w:val="20"/>
        </w:rPr>
        <w:t xml:space="preserve">StudYear is built for exactly that gap.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A2340"/>
          <w:sz w:val="20"/>
          <w:szCs w:val="20"/>
        </w:rPr>
        <w:t xml:space="preserve"> It gives every learner a personal AI examiner, tutor and revision strategist on any phone or laptop, free to start — and gives your teams a live, safeguarding-aware view of how a whole cohort is progressing.</w:t>
      </w:r>
    </w:p>
    <w:p>
      <w:pPr>
        <w:spacing w:after="70" w:before="40"/>
      </w:pPr>
      <w:r>
        <w:rPr>
          <w:rFonts w:ascii="Calibri" w:cs="Calibri" w:eastAsia="Calibri" w:hAnsi="Calibri"/>
          <w:b/>
          <w:bCs/>
          <w:caps/>
          <w:color w:val="2E6BC4"/>
          <w:spacing w:val="20"/>
          <w:sz w:val="21"/>
          <w:szCs w:val="21"/>
        </w:rPr>
        <w:t xml:space="preserve">Why StudYear fits your families</w:t>
      </w:r>
    </w:p>
    <w:p>
      <w:pPr>
        <w:pStyle w:val="ListParagraph"/>
        <w:numPr>
          <w:ilvl w:val="0"/>
          <w:numId w:val="2"/>
        </w:numPr>
        <w:spacing w:after="64" w:before="20" w:line="250"/>
      </w:pPr>
      <w:r>
        <w:rPr>
          <w:rFonts w:ascii="Calibri" w:cs="Calibri" w:eastAsia="Calibri" w:hAnsi="Calibri"/>
          <w:b/>
          <w:bCs/>
          <w:color w:val="2E6BC4"/>
          <w:sz w:val="20"/>
          <w:szCs w:val="20"/>
        </w:rPr>
        <w:t xml:space="preserve">Meets every starting point — </w:t>
      </w:r>
      <w:r>
        <w:rPr>
          <w:rFonts w:ascii="Calibri" w:cs="Calibri" w:eastAsia="Calibri" w:hAnsi="Calibri"/>
          <w:color w:val="1A2340"/>
          <w:sz w:val="20"/>
          <w:szCs w:val="20"/>
        </w:rPr>
        <w:t xml:space="preserve">one account spans Primary through GCSE, A-level, BTEC, NVQ and vocational routes (including Level 2 Engineering and electrical), plus 11+, Scottish and international qualifications, adult return-to-learning (NEET) and lifelong learning. A teenager arriving from another system isn’t forced into a single year group.</w:t>
      </w:r>
    </w:p>
    <w:p>
      <w:pPr>
        <w:pStyle w:val="ListParagraph"/>
        <w:numPr>
          <w:ilvl w:val="0"/>
          <w:numId w:val="2"/>
        </w:numPr>
        <w:spacing w:after="64" w:before="20" w:line="250"/>
      </w:pPr>
      <w:r>
        <w:rPr>
          <w:rFonts w:ascii="Calibri" w:cs="Calibri" w:eastAsia="Calibri" w:hAnsi="Calibri"/>
          <w:b/>
          <w:bCs/>
          <w:color w:val="2E6BC4"/>
          <w:sz w:val="20"/>
          <w:szCs w:val="20"/>
        </w:rPr>
        <w:t xml:space="preserve">No cost or access barrier — </w:t>
      </w:r>
      <w:r>
        <w:rPr>
          <w:rFonts w:ascii="Calibri" w:cs="Calibri" w:eastAsia="Calibri" w:hAnsi="Calibri"/>
          <w:color w:val="1A2340"/>
          <w:sz w:val="20"/>
          <w:szCs w:val="20"/>
        </w:rPr>
        <w:t xml:space="preserve">a genuinely free learner tier that works on a basic smartphone. No textbooks to buy, no travelling to a tutor.</w:t>
      </w:r>
    </w:p>
    <w:p>
      <w:pPr>
        <w:pStyle w:val="ListParagraph"/>
        <w:numPr>
          <w:ilvl w:val="0"/>
          <w:numId w:val="2"/>
        </w:numPr>
        <w:spacing w:after="64" w:before="20" w:line="250"/>
      </w:pPr>
      <w:r>
        <w:rPr>
          <w:rFonts w:ascii="Calibri" w:cs="Calibri" w:eastAsia="Calibri" w:hAnsi="Calibri"/>
          <w:b/>
          <w:bCs/>
          <w:color w:val="2E6BC4"/>
          <w:sz w:val="20"/>
          <w:szCs w:val="20"/>
        </w:rPr>
        <w:t xml:space="preserve">Diagnoses fast, then teaches — </w:t>
      </w:r>
      <w:r>
        <w:rPr>
          <w:rFonts w:ascii="Calibri" w:cs="Calibri" w:eastAsia="Calibri" w:hAnsi="Calibri"/>
          <w:color w:val="1A2340"/>
          <w:sz w:val="20"/>
          <w:szCs w:val="20"/>
        </w:rPr>
        <w:t xml:space="preserve">a short diagnostic maps each learner’s strengths and gaps in minutes and builds a personalised recovery plan, so limited support reaches the children who need it most.</w:t>
      </w:r>
    </w:p>
    <w:p>
      <w:pPr>
        <w:pStyle w:val="ListParagraph"/>
        <w:numPr>
          <w:ilvl w:val="0"/>
          <w:numId w:val="2"/>
        </w:numPr>
        <w:spacing w:after="64" w:before="20" w:line="250"/>
      </w:pPr>
      <w:r>
        <w:rPr>
          <w:rFonts w:ascii="Calibri" w:cs="Calibri" w:eastAsia="Calibri" w:hAnsi="Calibri"/>
          <w:b/>
          <w:bCs/>
          <w:color w:val="2E6BC4"/>
          <w:sz w:val="20"/>
          <w:szCs w:val="20"/>
        </w:rPr>
        <w:t xml:space="preserve">Brings parents in — </w:t>
      </w:r>
      <w:r>
        <w:rPr>
          <w:rFonts w:ascii="Calibri" w:cs="Calibri" w:eastAsia="Calibri" w:hAnsi="Calibri"/>
          <w:color w:val="1A2340"/>
          <w:sz w:val="20"/>
          <w:szCs w:val="20"/>
        </w:rPr>
        <w:t xml:space="preserve">a child shares a simple code or QR and a parent follows real progress from their own phone — even with low digital confidence and no school login.</w:t>
      </w:r>
    </w:p>
    <w:p>
      <w:pPr>
        <w:pStyle w:val="ListParagraph"/>
        <w:numPr>
          <w:ilvl w:val="0"/>
          <w:numId w:val="2"/>
        </w:numPr>
        <w:spacing w:after="64" w:before="20" w:line="250"/>
      </w:pPr>
      <w:r>
        <w:rPr>
          <w:rFonts w:ascii="Calibri" w:cs="Calibri" w:eastAsia="Calibri" w:hAnsi="Calibri"/>
          <w:b/>
          <w:bCs/>
          <w:color w:val="2E6BC4"/>
          <w:sz w:val="20"/>
          <w:szCs w:val="20"/>
        </w:rPr>
        <w:t xml:space="preserve">One view for your authority — </w:t>
      </w:r>
      <w:r>
        <w:rPr>
          <w:rFonts w:ascii="Calibri" w:cs="Calibri" w:eastAsia="Calibri" w:hAnsi="Calibri"/>
          <w:color w:val="1A2340"/>
          <w:sz w:val="20"/>
          <w:szCs w:val="20"/>
        </w:rPr>
        <w:t xml:space="preserve">a role-based Local Authority dashboard shows cohort progress and engagement so you can target resources — with pupil identities protected.</w:t>
      </w:r>
    </w:p>
    <w:p>
      <w:pPr>
        <w:spacing w:after="70" w:before="40"/>
      </w:pPr>
      <w:r>
        <w:rPr>
          <w:rFonts w:ascii="Calibri" w:cs="Calibri" w:eastAsia="Calibri" w:hAnsi="Calibri"/>
          <w:b/>
          <w:bCs/>
          <w:caps/>
          <w:color w:val="2E6BC4"/>
          <w:spacing w:val="20"/>
          <w:sz w:val="21"/>
          <w:szCs w:val="21"/>
        </w:rPr>
        <w:t xml:space="preserve">Built for equity, safety &amp; compliance</w:t>
      </w:r>
    </w:p>
    <w:p>
      <w:pPr>
        <w:pStyle w:val="ListParagraph"/>
        <w:numPr>
          <w:ilvl w:val="0"/>
          <w:numId w:val="3"/>
        </w:numPr>
        <w:spacing w:after="40" w:before="10" w:line="244"/>
      </w:pPr>
      <w:r>
        <w:rPr>
          <w:rFonts w:ascii="Calibri" w:cs="Calibri" w:eastAsia="Calibri" w:hAnsi="Calibri"/>
          <w:color w:val="1A2340"/>
          <w:sz w:val="19"/>
          <w:szCs w:val="19"/>
        </w:rPr>
        <w:t xml:space="preserve">Data held in the UK/EU region with encrypted sync.</w:t>
      </w:r>
    </w:p>
    <w:p>
      <w:pPr>
        <w:pStyle w:val="ListParagraph"/>
        <w:numPr>
          <w:ilvl w:val="0"/>
          <w:numId w:val="3"/>
        </w:numPr>
        <w:spacing w:after="40" w:before="10" w:line="244"/>
      </w:pPr>
      <w:r>
        <w:rPr>
          <w:rFonts w:ascii="Calibri" w:cs="Calibri" w:eastAsia="Calibri" w:hAnsi="Calibri"/>
          <w:color w:val="1A2340"/>
          <w:sz w:val="19"/>
          <w:szCs w:val="19"/>
        </w:rPr>
        <w:t xml:space="preserve">Age-banding and parental-consent capture at sign-up, aligned to the UK Children’s Code (Age Appropriate Design) and GDPR-K.</w:t>
      </w:r>
    </w:p>
    <w:p>
      <w:pPr>
        <w:pStyle w:val="ListParagraph"/>
        <w:numPr>
          <w:ilvl w:val="0"/>
          <w:numId w:val="3"/>
        </w:numPr>
        <w:spacing w:after="40" w:before="10" w:line="244"/>
      </w:pPr>
      <w:r>
        <w:rPr>
          <w:rFonts w:ascii="Calibri" w:cs="Calibri" w:eastAsia="Calibri" w:hAnsi="Calibri"/>
          <w:color w:val="1A2340"/>
          <w:sz w:val="19"/>
          <w:szCs w:val="19"/>
        </w:rPr>
        <w:t xml:space="preserve">Personal data masked in shared and exported views; full detail only in the secure back office.</w:t>
      </w:r>
    </w:p>
    <w:p>
      <w:pPr>
        <w:spacing w:after="70" w:before="40"/>
      </w:pPr>
      <w:r>
        <w:rPr>
          <w:rFonts w:ascii="Calibri" w:cs="Calibri" w:eastAsia="Calibri" w:hAnsi="Calibri"/>
          <w:b/>
          <w:bCs/>
          <w:caps/>
          <w:color w:val="2E6BC4"/>
          <w:spacing w:val="20"/>
          <w:sz w:val="21"/>
          <w:szCs w:val="21"/>
        </w:rPr>
        <w:t xml:space="preserve">What working together could look like</w:t>
      </w:r>
    </w:p>
    <w:p>
      <w:pPr>
        <w:pStyle w:val="ListParagraph"/>
        <w:numPr>
          <w:ilvl w:val="0"/>
          <w:numId w:val="2"/>
        </w:numPr>
        <w:spacing w:after="64" w:before="20" w:line="250"/>
      </w:pPr>
      <w:r>
        <w:rPr>
          <w:rFonts w:ascii="Calibri" w:cs="Calibri" w:eastAsia="Calibri" w:hAnsi="Calibri"/>
          <w:b/>
          <w:bCs/>
          <w:color w:val="2E6BC4"/>
          <w:sz w:val="20"/>
          <w:szCs w:val="20"/>
        </w:rPr>
        <w:t xml:space="preserve">A no-obligation 20-minute demo — </w:t>
      </w:r>
      <w:r>
        <w:rPr>
          <w:rFonts w:ascii="Calibri" w:cs="Calibri" w:eastAsia="Calibri" w:hAnsi="Calibri"/>
          <w:color w:val="1A2340"/>
          <w:sz w:val="20"/>
          <w:szCs w:val="20"/>
        </w:rPr>
        <w:t xml:space="preserve">tailored to your team and your cohorts, with no preparation needed.</w:t>
      </w:r>
    </w:p>
    <w:p>
      <w:pPr>
        <w:pStyle w:val="ListParagraph"/>
        <w:numPr>
          <w:ilvl w:val="0"/>
          <w:numId w:val="2"/>
        </w:numPr>
        <w:spacing w:after="64" w:before="20" w:line="250"/>
      </w:pPr>
      <w:r>
        <w:rPr>
          <w:rFonts w:ascii="Calibri" w:cs="Calibri" w:eastAsia="Calibri" w:hAnsi="Calibri"/>
          <w:b/>
          <w:bCs/>
          <w:color w:val="2E6BC4"/>
          <w:sz w:val="20"/>
          <w:szCs w:val="20"/>
        </w:rPr>
        <w:t xml:space="preserve">A small, measurable pilot — </w:t>
      </w:r>
      <w:r>
        <w:rPr>
          <w:rFonts w:ascii="Calibri" w:cs="Calibri" w:eastAsia="Calibri" w:hAnsi="Calibri"/>
          <w:color w:val="1A2340"/>
          <w:sz w:val="20"/>
          <w:szCs w:val="20"/>
        </w:rPr>
        <w:t xml:space="preserve">one cohort (e.g. newly-arrived KS3/KS4 learners), an agreed success measure, and a short review — evidence before commitment.</w:t>
      </w:r>
    </w:p>
    <w:p>
      <w:pPr>
        <w:spacing w:after="0" w:before="150"/>
      </w:pPr>
      <w:r>
        <w:rPr>
          <w:sz w:val="2"/>
          <w:szCs w:val="2"/>
        </w:rPr>
        <w:t xml:space="preserve"/>
      </w:r>
    </w:p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600"/>
        <w:gridCol w:w="3866"/>
      </w:tblGrid>
      <w:tr>
        <w:tc>
          <w:tcPr>
            <w:tcW w:type="dxa" w:w="6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026" w:color="auto" w:val="clear"/>
            <w:tcMar>
              <w:top w:type="dxa" w:w="130"/>
              <w:left w:type="dxa" w:w="170"/>
              <w:bottom w:type="dxa" w:w="130"/>
              <w:right w:type="dxa" w:w="80"/>
            </w:tcMar>
            <w:vAlign w:val="center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color w:val="FFFFFF"/>
                <w:sz w:val="19"/>
                <w:szCs w:val="19"/>
              </w:rPr>
              <w:t xml:space="preserve">See it in two minutes — no signup:  </w:t>
            </w:r>
            <w:r>
              <w:rPr>
                <w:rFonts w:ascii="Calibri" w:cs="Calibri" w:eastAsia="Calibri" w:hAnsi="Calibri"/>
                <w:b/>
                <w:bCs/>
                <w:color w:val="E7C67A"/>
                <w:sz w:val="19"/>
                <w:szCs w:val="19"/>
              </w:rPr>
              <w:t xml:space="preserve">www.studyear.com/demo</w:t>
            </w:r>
          </w:p>
        </w:tc>
        <w:tc>
          <w:tcPr>
            <w:tcW w:type="dxa" w:w="3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026" w:color="auto" w:val="clear"/>
            <w:tcMar>
              <w:top w:type="dxa" w:w="130"/>
              <w:left w:type="dxa" w:w="80"/>
              <w:bottom w:type="dxa" w:w="130"/>
              <w:right w:type="dxa" w:w="180"/>
            </w:tcMar>
            <w:vAlign w:val="center"/>
          </w:tcPr>
          <w:p>
            <w:pPr>
              <w:spacing w:after="0" w:line="220"/>
              <w:jc w:val="right"/>
            </w:pPr>
            <w:r>
              <w:rPr>
                <w:rFonts w:ascii="Calibri" w:cs="Calibri" w:eastAsia="Calibri" w:hAnsi="Calibri"/>
                <w:color w:val="C9D4EC"/>
                <w:sz w:val="17"/>
                <w:szCs w:val="17"/>
              </w:rPr>
              <w:t xml:space="preserve">www.studyear.com</w:t>
            </w:r>
          </w:p>
          <w:p>
            <w:pPr>
              <w:spacing w:after="0" w:before="6" w:line="210"/>
              <w:jc w:val="right"/>
            </w:pPr>
            <w:r>
              <w:rPr>
                <w:rFonts w:ascii="Calibri" w:cs="Calibri" w:eastAsia="Calibri" w:hAnsi="Calibri"/>
                <w:color w:val="C9D4EC"/>
                <w:sz w:val="16"/>
                <w:szCs w:val="16"/>
              </w:rPr>
              <w:t xml:space="preserve">jnbankwa@gmail.com</w:t>
            </w:r>
          </w:p>
        </w:tc>
      </w:tr>
    </w:tbl>
    <w:sectPr>
      <w:pgSz w:w="11906" w:h="16838" w:orient="portrait"/>
      <w:pgMar w:top="600" w:right="720" w:bottom="5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290" w:hanging="220"/>
      </w:pPr>
      <w:rPr>
        <w:color w:val="B8862B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290" w:hanging="220"/>
      </w:pPr>
      <w:rPr>
        <w:b/>
        <w:bCs/>
        <w:color w:val="2E6BC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34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0101e2c5387871205440eb5548297b3b099cdb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StudYear — Executive Summary for Birmingham City Council</dc:title>
  <dc:creator>StudYear</dc:creator>
  <cp:lastModifiedBy>Un-named</cp:lastModifiedBy>
  <cp:revision>1</cp:revision>
  <dcterms:created xsi:type="dcterms:W3CDTF">2026-09-25T12:54:54.259Z</dcterms:created>
  <dcterms:modified xsi:type="dcterms:W3CDTF">2026-09-25T12:54:54.259Z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