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800"/>
      </w:pPr>
      <w:r>
        <w:rPr>
          <w:rFonts w:ascii="Arial" w:cs="Arial" w:eastAsia="Arial" w:hAnsi="Arial"/>
          <w:b/>
          <w:bCs/>
          <w:color w:val="14181D"/>
          <w:sz w:val="56"/>
          <w:szCs w:val="56"/>
        </w:rPr>
        <w:t xml:space="preserve">ETABLIX</w:t>
      </w:r>
    </w:p>
    <w:p>
      <w:pPr>
        <w:spacing w:after="900"/>
      </w:pPr>
      <w:r>
        <w:rPr>
          <w:rFonts w:ascii="Arial" w:cs="Arial" w:eastAsia="Arial" w:hAnsi="Arial"/>
          <w:b/>
          <w:bCs/>
          <w:color w:val="9C7A3C"/>
          <w:sz w:val="14"/>
          <w:szCs w:val="14"/>
        </w:rPr>
        <w:t xml:space="preserve">I N T E G R A T E D   S I T E   S E R V I C E S   ·   P A R T   O F   G R O U P E   N S E Y A</w:t>
      </w:r>
    </w:p>
    <w:p>
      <w:pPr>
        <w:spacing w:after="60" w:before="0" w:line="260"/>
      </w:pPr>
      <w:r>
        <w:rPr>
          <w:rFonts w:ascii="Arial" w:cs="Arial" w:eastAsia="Arial" w:hAnsi="Arial"/>
          <w:b/>
          <w:bCs/>
          <w:color w:val="14181D"/>
          <w:sz w:val="40"/>
          <w:szCs w:val="40"/>
        </w:rPr>
        <w:t xml:space="preserve">EMPLOYER'S REQUIREMENTS</w:t>
      </w:r>
    </w:p>
    <w:p>
      <w:pPr>
        <w:spacing w:after="700" w:before="60" w:line="260"/>
      </w:pPr>
      <w:r>
        <w:rPr>
          <w:rFonts w:ascii="Arial" w:cs="Arial" w:eastAsia="Arial" w:hAnsi="Arial"/>
          <w:b/>
          <w:bCs/>
          <w:color w:val="9C7A3C"/>
          <w:sz w:val="30"/>
          <w:szCs w:val="30"/>
        </w:rPr>
        <w:t xml:space="preserve">P2 — Modular Accommodation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6620"/>
      </w:tblGrid>
      <w:tr>
        <w:tc>
          <w:tcPr>
            <w:tcW w:type="dxa" w:w="2400"/>
            <w:tcBorders>
              <w:top w:val="single" w:color="D5D5D5" w:sz="2"/>
              <w:left w:val="single" w:color="D5D5D5" w:sz="2"/>
              <w:bottom w:val="single" w:color="D5D5D5" w:sz="2"/>
              <w:right w:val="single" w:color="D5D5D5" w:sz="2"/>
            </w:tcBorders>
            <w:shd w:fill="F2EFE7" w:color="auto" w:val="clear"/>
            <w:tcMar>
              <w:top w:type="dxa" w:w="60"/>
              <w:left w:type="dxa" w:w="90"/>
              <w:bottom w:type="dxa" w:w="60"/>
              <w:right w:type="dxa" w:w="90"/>
            </w:tcMar>
          </w:tcPr>
          <w:p>
            <w:pPr>
              <w:spacing w:after="20" w:before="20" w:line="240"/>
            </w:pPr>
            <w:r>
              <w:rPr>
                <w:rFonts w:ascii="Arial" w:cs="Arial" w:eastAsia="Arial" w:hAnsi="Arial"/>
                <w:b/>
                <w:bCs/>
                <w:color w:val="14181D"/>
                <w:sz w:val="17"/>
                <w:szCs w:val="17"/>
              </w:rPr>
              <w:t xml:space="preserve">Client</w:t>
            </w:r>
          </w:p>
        </w:tc>
        <w:tc>
          <w:tcPr>
            <w:tcW w:type="dxa" w:w="66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color w:val="14181D"/>
                <w:sz w:val="17"/>
                <w:szCs w:val="17"/>
              </w:rPr>
              <w:t xml:space="preserve">Marrowbridge Infrastructure Ltd</w:t>
            </w:r>
          </w:p>
        </w:tc>
      </w:tr>
      <w:tr>
        <w:tc>
          <w:tcPr>
            <w:tcW w:type="dxa" w:w="2400"/>
            <w:tcBorders>
              <w:top w:val="single" w:color="D5D5D5" w:sz="2"/>
              <w:left w:val="single" w:color="D5D5D5" w:sz="2"/>
              <w:bottom w:val="single" w:color="D5D5D5" w:sz="2"/>
              <w:right w:val="single" w:color="D5D5D5" w:sz="2"/>
            </w:tcBorders>
            <w:shd w:fill="F2EFE7" w:color="auto" w:val="clear"/>
            <w:tcMar>
              <w:top w:type="dxa" w:w="60"/>
              <w:left w:type="dxa" w:w="90"/>
              <w:bottom w:type="dxa" w:w="60"/>
              <w:right w:type="dxa" w:w="90"/>
            </w:tcMar>
          </w:tcPr>
          <w:p>
            <w:pPr>
              <w:spacing w:after="20" w:before="20" w:line="240"/>
            </w:pPr>
            <w:r>
              <w:rPr>
                <w:rFonts w:ascii="Arial" w:cs="Arial" w:eastAsia="Arial" w:hAnsi="Arial"/>
                <w:b/>
                <w:bCs/>
                <w:color w:val="14181D"/>
                <w:sz w:val="17"/>
                <w:szCs w:val="17"/>
              </w:rPr>
              <w:t xml:space="preserve">Project</w:t>
            </w:r>
          </w:p>
        </w:tc>
        <w:tc>
          <w:tcPr>
            <w:tcW w:type="dxa" w:w="66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color w:val="14181D"/>
                <w:sz w:val="17"/>
                <w:szCs w:val="17"/>
              </w:rPr>
              <w:t xml:space="preserve">Project NORTHREACH — Workforce Accommodation Village</w:t>
            </w:r>
          </w:p>
        </w:tc>
      </w:tr>
      <w:tr>
        <w:tc>
          <w:tcPr>
            <w:tcW w:type="dxa" w:w="2400"/>
            <w:tcBorders>
              <w:top w:val="single" w:color="D5D5D5" w:sz="2"/>
              <w:left w:val="single" w:color="D5D5D5" w:sz="2"/>
              <w:bottom w:val="single" w:color="D5D5D5" w:sz="2"/>
              <w:right w:val="single" w:color="D5D5D5" w:sz="2"/>
            </w:tcBorders>
            <w:shd w:fill="F2EFE7" w:color="auto" w:val="clear"/>
            <w:tcMar>
              <w:top w:type="dxa" w:w="60"/>
              <w:left w:type="dxa" w:w="90"/>
              <w:bottom w:type="dxa" w:w="60"/>
              <w:right w:type="dxa" w:w="90"/>
            </w:tcMar>
          </w:tcPr>
          <w:p>
            <w:pPr>
              <w:spacing w:after="20" w:before="20" w:line="240"/>
            </w:pPr>
            <w:r>
              <w:rPr>
                <w:rFonts w:ascii="Arial" w:cs="Arial" w:eastAsia="Arial" w:hAnsi="Arial"/>
                <w:b/>
                <w:bCs/>
                <w:color w:val="14181D"/>
                <w:sz w:val="17"/>
                <w:szCs w:val="17"/>
              </w:rPr>
              <w:t xml:space="preserve">Package</w:t>
            </w:r>
          </w:p>
        </w:tc>
        <w:tc>
          <w:tcPr>
            <w:tcW w:type="dxa" w:w="66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color w:val="14181D"/>
                <w:sz w:val="17"/>
                <w:szCs w:val="17"/>
              </w:rPr>
              <w:t xml:space="preserve">P2 — Modular Accommodation</w:t>
            </w:r>
          </w:p>
        </w:tc>
      </w:tr>
      <w:tr>
        <w:tc>
          <w:tcPr>
            <w:tcW w:type="dxa" w:w="2400"/>
            <w:tcBorders>
              <w:top w:val="single" w:color="D5D5D5" w:sz="2"/>
              <w:left w:val="single" w:color="D5D5D5" w:sz="2"/>
              <w:bottom w:val="single" w:color="D5D5D5" w:sz="2"/>
              <w:right w:val="single" w:color="D5D5D5" w:sz="2"/>
            </w:tcBorders>
            <w:shd w:fill="F2EFE7" w:color="auto" w:val="clear"/>
            <w:tcMar>
              <w:top w:type="dxa" w:w="60"/>
              <w:left w:type="dxa" w:w="90"/>
              <w:bottom w:type="dxa" w:w="60"/>
              <w:right w:type="dxa" w:w="90"/>
            </w:tcMar>
          </w:tcPr>
          <w:p>
            <w:pPr>
              <w:spacing w:after="20" w:before="20" w:line="240"/>
            </w:pPr>
            <w:r>
              <w:rPr>
                <w:rFonts w:ascii="Arial" w:cs="Arial" w:eastAsia="Arial" w:hAnsi="Arial"/>
                <w:b/>
                <w:bCs/>
                <w:color w:val="14181D"/>
                <w:sz w:val="17"/>
                <w:szCs w:val="17"/>
              </w:rPr>
              <w:t xml:space="preserve">Document reference</w:t>
            </w:r>
          </w:p>
        </w:tc>
        <w:tc>
          <w:tcPr>
            <w:tcW w:type="dxa" w:w="66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color w:val="14181D"/>
                <w:sz w:val="17"/>
                <w:szCs w:val="17"/>
              </w:rPr>
              <w:t xml:space="preserve">NR-ER-P2</w:t>
            </w:r>
          </w:p>
        </w:tc>
      </w:tr>
      <w:tr>
        <w:tc>
          <w:tcPr>
            <w:tcW w:type="dxa" w:w="2400"/>
            <w:tcBorders>
              <w:top w:val="single" w:color="D5D5D5" w:sz="2"/>
              <w:left w:val="single" w:color="D5D5D5" w:sz="2"/>
              <w:bottom w:val="single" w:color="D5D5D5" w:sz="2"/>
              <w:right w:val="single" w:color="D5D5D5" w:sz="2"/>
            </w:tcBorders>
            <w:shd w:fill="F2EFE7" w:color="auto" w:val="clear"/>
            <w:tcMar>
              <w:top w:type="dxa" w:w="60"/>
              <w:left w:type="dxa" w:w="90"/>
              <w:bottom w:type="dxa" w:w="60"/>
              <w:right w:type="dxa" w:w="90"/>
            </w:tcMar>
          </w:tcPr>
          <w:p>
            <w:pPr>
              <w:spacing w:after="20" w:before="20" w:line="240"/>
            </w:pPr>
            <w:r>
              <w:rPr>
                <w:rFonts w:ascii="Arial" w:cs="Arial" w:eastAsia="Arial" w:hAnsi="Arial"/>
                <w:b/>
                <w:bCs/>
                <w:color w:val="14181D"/>
                <w:sz w:val="17"/>
                <w:szCs w:val="17"/>
              </w:rPr>
              <w:t xml:space="preserve">Revision</w:t>
            </w:r>
          </w:p>
        </w:tc>
        <w:tc>
          <w:tcPr>
            <w:tcW w:type="dxa" w:w="66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color w:val="14181D"/>
                <w:sz w:val="17"/>
                <w:szCs w:val="17"/>
              </w:rPr>
              <w:t xml:space="preserve">A</w:t>
            </w:r>
          </w:p>
        </w:tc>
      </w:tr>
      <w:tr>
        <w:tc>
          <w:tcPr>
            <w:tcW w:type="dxa" w:w="2400"/>
            <w:tcBorders>
              <w:top w:val="single" w:color="D5D5D5" w:sz="2"/>
              <w:left w:val="single" w:color="D5D5D5" w:sz="2"/>
              <w:bottom w:val="single" w:color="D5D5D5" w:sz="2"/>
              <w:right w:val="single" w:color="D5D5D5" w:sz="2"/>
            </w:tcBorders>
            <w:shd w:fill="F2EFE7" w:color="auto" w:val="clear"/>
            <w:tcMar>
              <w:top w:type="dxa" w:w="60"/>
              <w:left w:type="dxa" w:w="90"/>
              <w:bottom w:type="dxa" w:w="60"/>
              <w:right w:type="dxa" w:w="90"/>
            </w:tcMar>
          </w:tcPr>
          <w:p>
            <w:pPr>
              <w:spacing w:after="20" w:before="20" w:line="240"/>
            </w:pPr>
            <w:r>
              <w:rPr>
                <w:rFonts w:ascii="Arial" w:cs="Arial" w:eastAsia="Arial" w:hAnsi="Arial"/>
                <w:b/>
                <w:bCs/>
                <w:color w:val="14181D"/>
                <w:sz w:val="17"/>
                <w:szCs w:val="17"/>
              </w:rPr>
              <w:t xml:space="preserve">Date</w:t>
            </w:r>
          </w:p>
        </w:tc>
        <w:tc>
          <w:tcPr>
            <w:tcW w:type="dxa" w:w="66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color w:val="14181D"/>
                <w:sz w:val="17"/>
                <w:szCs w:val="17"/>
              </w:rPr>
              <w:t xml:space="preserve">September 2026</w:t>
            </w:r>
          </w:p>
        </w:tc>
      </w:tr>
      <w:tr>
        <w:tc>
          <w:tcPr>
            <w:tcW w:type="dxa" w:w="2400"/>
            <w:tcBorders>
              <w:top w:val="single" w:color="D5D5D5" w:sz="2"/>
              <w:left w:val="single" w:color="D5D5D5" w:sz="2"/>
              <w:bottom w:val="single" w:color="D5D5D5" w:sz="2"/>
              <w:right w:val="single" w:color="D5D5D5" w:sz="2"/>
            </w:tcBorders>
            <w:shd w:fill="F2EFE7" w:color="auto" w:val="clear"/>
            <w:tcMar>
              <w:top w:type="dxa" w:w="60"/>
              <w:left w:type="dxa" w:w="90"/>
              <w:bottom w:type="dxa" w:w="60"/>
              <w:right w:type="dxa" w:w="90"/>
            </w:tcMar>
          </w:tcPr>
          <w:p>
            <w:pPr>
              <w:spacing w:after="20" w:before="20" w:line="240"/>
            </w:pPr>
            <w:r>
              <w:rPr>
                <w:rFonts w:ascii="Arial" w:cs="Arial" w:eastAsia="Arial" w:hAnsi="Arial"/>
                <w:b/>
                <w:bCs/>
                <w:color w:val="14181D"/>
                <w:sz w:val="17"/>
                <w:szCs w:val="17"/>
              </w:rPr>
              <w:t xml:space="preserve">Status</w:t>
            </w:r>
          </w:p>
        </w:tc>
        <w:tc>
          <w:tcPr>
            <w:tcW w:type="dxa" w:w="66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color w:val="14181D"/>
                <w:sz w:val="17"/>
                <w:szCs w:val="17"/>
              </w:rPr>
              <w:t xml:space="preserve">Issued for tender</w:t>
            </w:r>
          </w:p>
        </w:tc>
      </w:tr>
    </w:tbl>
    <w:p>
      <w:pPr>
        <w:spacing w:before="700"/>
      </w:pPr>
      <w:r>
        <w:rPr>
          <w:rFonts w:ascii="Arial" w:cs="Arial" w:eastAsia="Arial" w:hAnsi="Arial"/>
          <w:i/>
          <w:iCs/>
          <w:color w:val="5B6672"/>
          <w:sz w:val="18"/>
          <w:szCs w:val="18"/>
        </w:rPr>
        <w:t xml:space="preserve">This document states what is required. It does not state how it is to be achieved, except where a method is itself a requirement. Where a tenderer's proposal departs from this document, the departure shall be stated in the Schedule of Departures and priced separately, so that what is compared is comparable.</w:t>
      </w:r>
    </w:p>
    <w:p>
      <w:r>
        <w:br w:type="page"/>
      </w:r>
    </w:p>
    <w:p>
      <w:pPr>
        <w:pStyle w:val="Heading1"/>
        <w:spacing w:after="140" w:before="360"/>
      </w:pPr>
      <w:r>
        <w:rPr>
          <w:rFonts w:ascii="Arial" w:cs="Arial" w:eastAsia="Arial" w:hAnsi="Arial"/>
          <w:b/>
          <w:bCs/>
          <w:color w:val="14181D"/>
          <w:sz w:val="28"/>
          <w:szCs w:val="28"/>
        </w:rP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360"/>
      </w:pPr>
      <w:r>
        <w:rPr>
          <w:rFonts w:ascii="Arial" w:cs="Arial" w:eastAsia="Arial" w:hAnsi="Arial"/>
          <w:b/>
          <w:bCs/>
          <w:color w:val="14181D"/>
          <w:sz w:val="28"/>
          <w:szCs w:val="28"/>
        </w:rPr>
        <w:t xml:space="preserve">1  Introduction and status of this document</w:t>
      </w:r>
    </w:p>
    <w:p>
      <w:pPr>
        <w:pStyle w:val="Heading2"/>
        <w:spacing w:after="100" w:before="240"/>
      </w:pPr>
      <w:r>
        <w:rPr>
          <w:rFonts w:ascii="Arial" w:cs="Arial" w:eastAsia="Arial" w:hAnsi="Arial"/>
          <w:b/>
          <w:bCs/>
          <w:color w:val="9C7A3C"/>
          <w:sz w:val="22"/>
          <w:szCs w:val="22"/>
        </w:rPr>
        <w:t xml:space="preserve">1.1  Purpose</w:t>
      </w:r>
    </w:p>
    <w:p>
      <w:pPr>
        <w:spacing w:after="60" w:before="60" w:line="260"/>
      </w:pPr>
      <w:r>
        <w:rPr>
          <w:rFonts w:ascii="Arial" w:cs="Arial" w:eastAsia="Arial" w:hAnsi="Arial"/>
          <w:color w:val="14181D"/>
          <w:sz w:val="19"/>
          <w:szCs w:val="19"/>
        </w:rPr>
        <w:t xml:space="preserve">These Employer's Requirements define the accommodation and amenity buildings required for the workforce village serving Project NORTHREACH — Workforce Accommodation Village. They are issued as part of the tender documents for P2 — Modular Accommodation and form part of the subcontract on award.</w:t>
      </w:r>
    </w:p>
    <w:p>
      <w:pPr>
        <w:pStyle w:val="Heading2"/>
        <w:spacing w:after="100" w:before="240"/>
      </w:pPr>
      <w:r>
        <w:rPr>
          <w:rFonts w:ascii="Arial" w:cs="Arial" w:eastAsia="Arial" w:hAnsi="Arial"/>
          <w:b/>
          <w:bCs/>
          <w:color w:val="9C7A3C"/>
          <w:sz w:val="22"/>
          <w:szCs w:val="22"/>
        </w:rPr>
        <w:t xml:space="preserve">1.2  Document hierarchy</w:t>
      </w:r>
    </w:p>
    <w:p>
      <w:pPr>
        <w:spacing w:after="60" w:before="60" w:line="260"/>
      </w:pPr>
      <w:r>
        <w:rPr>
          <w:rFonts w:ascii="Arial" w:cs="Arial" w:eastAsia="Arial" w:hAnsi="Arial"/>
          <w:color w:val="14181D"/>
          <w:sz w:val="19"/>
          <w:szCs w:val="19"/>
        </w:rPr>
        <w:t xml:space="preserve">Where documents conflict, the following order prevails, the first named taking precedence:</w:t>
      </w:r>
    </w:p>
    <w:p>
      <w:pPr>
        <w:spacing w:after="20" w:before="20" w:line="260"/>
        <w:ind w:left="360"/>
      </w:pPr>
      <w:r>
        <w:rPr>
          <w:rFonts w:ascii="Arial" w:cs="Arial" w:eastAsia="Arial" w:hAnsi="Arial"/>
          <w:color w:val="14181D"/>
          <w:sz w:val="19"/>
          <w:szCs w:val="19"/>
        </w:rPr>
        <w:t xml:space="preserve">1.   The subcontract conditions and any amendments</w:t>
      </w:r>
    </w:p>
    <w:p>
      <w:pPr>
        <w:spacing w:after="20" w:before="20" w:line="260"/>
        <w:ind w:left="360"/>
      </w:pPr>
      <w:r>
        <w:rPr>
          <w:rFonts w:ascii="Arial" w:cs="Arial" w:eastAsia="Arial" w:hAnsi="Arial"/>
          <w:color w:val="14181D"/>
          <w:sz w:val="19"/>
          <w:szCs w:val="19"/>
        </w:rPr>
        <w:t xml:space="preserve">2.   These Employer's Requirements</w:t>
      </w:r>
    </w:p>
    <w:p>
      <w:pPr>
        <w:spacing w:after="20" w:before="20" w:line="260"/>
        <w:ind w:left="360"/>
      </w:pPr>
      <w:r>
        <w:rPr>
          <w:rFonts w:ascii="Arial" w:cs="Arial" w:eastAsia="Arial" w:hAnsi="Arial"/>
          <w:color w:val="14181D"/>
          <w:sz w:val="19"/>
          <w:szCs w:val="19"/>
        </w:rPr>
        <w:t xml:space="preserve">3.   The fire strategy issued at Appendix 2</w:t>
      </w:r>
    </w:p>
    <w:p>
      <w:pPr>
        <w:spacing w:after="20" w:before="20" w:line="260"/>
        <w:ind w:left="360"/>
      </w:pPr>
      <w:r>
        <w:rPr>
          <w:rFonts w:ascii="Arial" w:cs="Arial" w:eastAsia="Arial" w:hAnsi="Arial"/>
          <w:color w:val="14181D"/>
          <w:sz w:val="19"/>
          <w:szCs w:val="19"/>
        </w:rPr>
        <w:t xml:space="preserve">4.   The drawings listed in the Drawings and Documents Register at section 11</w:t>
      </w:r>
    </w:p>
    <w:p>
      <w:pPr>
        <w:spacing w:after="20" w:before="20" w:line="260"/>
        <w:ind w:left="360"/>
      </w:pPr>
      <w:r>
        <w:rPr>
          <w:rFonts w:ascii="Arial" w:cs="Arial" w:eastAsia="Arial" w:hAnsi="Arial"/>
          <w:color w:val="14181D"/>
          <w:sz w:val="19"/>
          <w:szCs w:val="19"/>
        </w:rPr>
        <w:t xml:space="preserve">5.   The tenderer's accepted proposal, to the extent it does not conflict with the above</w:t>
      </w:r>
    </w:p>
    <w:p>
      <w:pPr>
        <w:spacing w:after="60" w:before="60" w:line="260"/>
      </w:pPr>
      <w:r>
        <w:rPr>
          <w:rFonts w:ascii="Arial" w:cs="Arial" w:eastAsia="Arial" w:hAnsi="Arial"/>
          <w:i/>
          <w:iCs/>
          <w:color w:val="5B6672"/>
          <w:sz w:val="19"/>
          <w:szCs w:val="19"/>
        </w:rPr>
        <w:t xml:space="preserve">A tenderer who identifies a conflict before the clarification deadline shall raise it. A conflict raised after award is resolved by the order above and at the tenderer's cost.</w:t>
      </w:r>
    </w:p>
    <w:p>
      <w:pPr>
        <w:pStyle w:val="Heading2"/>
        <w:spacing w:after="100" w:before="240"/>
      </w:pPr>
      <w:r>
        <w:rPr>
          <w:rFonts w:ascii="Arial" w:cs="Arial" w:eastAsia="Arial" w:hAnsi="Arial"/>
          <w:b/>
          <w:bCs/>
          <w:color w:val="9C7A3C"/>
          <w:sz w:val="22"/>
          <w:szCs w:val="22"/>
        </w:rPr>
        <w:t xml:space="preserve">1.3  What is NOT in this package</w:t>
      </w:r>
    </w:p>
    <w:p>
      <w:pPr>
        <w:spacing w:after="60" w:before="60" w:line="260"/>
      </w:pPr>
      <w:r>
        <w:rPr>
          <w:rFonts w:ascii="Arial" w:cs="Arial" w:eastAsia="Arial" w:hAnsi="Arial"/>
          <w:color w:val="14181D"/>
          <w:sz w:val="19"/>
          <w:szCs w:val="19"/>
        </w:rPr>
        <w:t xml:space="preserve">The following are expressly excluded. Each names the package that does hold it — an exclusion that names nobody is a gap, and it will be found at the worst possible moment.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400"/>
        <w:gridCol w:w="2400"/>
        <w:gridCol w:w="3220"/>
      </w:tblGrid>
      <w:tr>
        <w:trPr>
          <w:tblHeader/>
        </w:trPr>
        <w:tc>
          <w:tcPr>
            <w:tcW w:type="dxa" w:w="3400"/>
            <w:tcBorders>
              <w:top w:val="single" w:color="D5D5D5" w:sz="2"/>
              <w:left w:val="single" w:color="D5D5D5" w:sz="2"/>
              <w:bottom w:val="single" w:color="D5D5D5" w:sz="2"/>
              <w:right w:val="single" w:color="D5D5D5" w:sz="2"/>
            </w:tcBorders>
            <w:shd w:fill="14181D" w:color="auto" w:val="clear"/>
            <w:tcMar>
              <w:top w:type="dxa" w:w="60"/>
              <w:left w:type="dxa" w:w="90"/>
              <w:bottom w:type="dxa" w:w="60"/>
              <w:right w:type="dxa" w:w="90"/>
            </w:tcMar>
          </w:tcPr>
          <w:p>
            <w:pPr>
              <w:spacing w:after="20" w:before="20" w:line="240"/>
            </w:pPr>
            <w:r>
              <w:rPr>
                <w:rFonts w:ascii="Arial" w:cs="Arial" w:eastAsia="Arial" w:hAnsi="Arial"/>
                <w:b/>
                <w:bCs/>
                <w:color w:val="FFFFFF"/>
                <w:sz w:val="17"/>
                <w:szCs w:val="17"/>
              </w:rPr>
              <w:t xml:space="preserve">Excluded from this package</w:t>
            </w:r>
          </w:p>
        </w:tc>
        <w:tc>
          <w:tcPr>
            <w:tcW w:type="dxa" w:w="2400"/>
            <w:tcBorders>
              <w:top w:val="single" w:color="D5D5D5" w:sz="2"/>
              <w:left w:val="single" w:color="D5D5D5" w:sz="2"/>
              <w:bottom w:val="single" w:color="D5D5D5" w:sz="2"/>
              <w:right w:val="single" w:color="D5D5D5" w:sz="2"/>
            </w:tcBorders>
            <w:shd w:fill="14181D" w:color="auto" w:val="clear"/>
            <w:tcMar>
              <w:top w:type="dxa" w:w="60"/>
              <w:left w:type="dxa" w:w="90"/>
              <w:bottom w:type="dxa" w:w="60"/>
              <w:right w:type="dxa" w:w="90"/>
            </w:tcMar>
          </w:tcPr>
          <w:p>
            <w:pPr>
              <w:spacing w:after="20" w:before="20" w:line="240"/>
            </w:pPr>
            <w:r>
              <w:rPr>
                <w:rFonts w:ascii="Arial" w:cs="Arial" w:eastAsia="Arial" w:hAnsi="Arial"/>
                <w:b/>
                <w:bCs/>
                <w:color w:val="FFFFFF"/>
                <w:sz w:val="17"/>
                <w:szCs w:val="17"/>
              </w:rPr>
              <w:t xml:space="preserve">Held under</w:t>
            </w:r>
          </w:p>
        </w:tc>
        <w:tc>
          <w:tcPr>
            <w:tcW w:type="dxa" w:w="3220"/>
            <w:tcBorders>
              <w:top w:val="single" w:color="D5D5D5" w:sz="2"/>
              <w:left w:val="single" w:color="D5D5D5" w:sz="2"/>
              <w:bottom w:val="single" w:color="D5D5D5" w:sz="2"/>
              <w:right w:val="single" w:color="D5D5D5" w:sz="2"/>
            </w:tcBorders>
            <w:shd w:fill="14181D" w:color="auto" w:val="clear"/>
            <w:tcMar>
              <w:top w:type="dxa" w:w="60"/>
              <w:left w:type="dxa" w:w="90"/>
              <w:bottom w:type="dxa" w:w="60"/>
              <w:right w:type="dxa" w:w="90"/>
            </w:tcMar>
          </w:tcPr>
          <w:p>
            <w:pPr>
              <w:spacing w:after="20" w:before="20" w:line="240"/>
            </w:pPr>
            <w:r>
              <w:rPr>
                <w:rFonts w:ascii="Arial" w:cs="Arial" w:eastAsia="Arial" w:hAnsi="Arial"/>
                <w:b/>
                <w:bCs/>
                <w:color w:val="FFFFFF"/>
                <w:sz w:val="17"/>
                <w:szCs w:val="17"/>
              </w:rPr>
              <w:t xml:space="preserve">Interface reference</w:t>
            </w:r>
          </w:p>
        </w:tc>
      </w:tr>
      <w:tr>
        <w:tc>
          <w:tcPr>
            <w:tcW w:type="dxa" w:w="34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color w:val="14181D"/>
                <w:sz w:val="17"/>
                <w:szCs w:val="17"/>
              </w:rPr>
              <w:t xml:space="preserve">Ground preparation, bases, plinths and drainage</w:t>
            </w:r>
          </w:p>
        </w:tc>
        <w:tc>
          <w:tcPr>
            <w:tcW w:type="dxa" w:w="24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color w:val="14181D"/>
                <w:sz w:val="17"/>
                <w:szCs w:val="17"/>
              </w:rPr>
              <w:t xml:space="preserve">P1 Civil Works</w:t>
            </w:r>
          </w:p>
        </w:tc>
        <w:tc>
          <w:tcPr>
            <w:tcW w:type="dxa" w:w="32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color w:val="14181D"/>
                <w:sz w:val="17"/>
                <w:szCs w:val="17"/>
              </w:rPr>
              <w:t xml:space="preserve">IF-01, IF-02</w:t>
            </w:r>
          </w:p>
        </w:tc>
      </w:tr>
      <w:tr>
        <w:tc>
          <w:tcPr>
            <w:tcW w:type="dxa" w:w="34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color w:val="14181D"/>
                <w:sz w:val="17"/>
                <w:szCs w:val="17"/>
              </w:rPr>
              <w:t xml:space="preserve">Roads, hardstanding, parking and external lighting</w:t>
            </w:r>
          </w:p>
        </w:tc>
        <w:tc>
          <w:tcPr>
            <w:tcW w:type="dxa" w:w="24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color w:val="14181D"/>
                <w:sz w:val="17"/>
                <w:szCs w:val="17"/>
              </w:rPr>
              <w:t xml:space="preserve">P1 Civil Works</w:t>
            </w:r>
          </w:p>
        </w:tc>
        <w:tc>
          <w:tcPr>
            <w:tcW w:type="dxa" w:w="32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color w:val="14181D"/>
                <w:sz w:val="17"/>
                <w:szCs w:val="17"/>
              </w:rPr>
              <w:t xml:space="preserve">—</w:t>
            </w:r>
          </w:p>
        </w:tc>
      </w:tr>
      <w:tr>
        <w:tc>
          <w:tcPr>
            <w:tcW w:type="dxa" w:w="34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color w:val="14181D"/>
                <w:sz w:val="17"/>
                <w:szCs w:val="17"/>
              </w:rPr>
              <w:t xml:space="preserve">Kitchen fit-out, catering equipment and extraction</w:t>
            </w:r>
          </w:p>
        </w:tc>
        <w:tc>
          <w:tcPr>
            <w:tcW w:type="dxa" w:w="24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color w:val="14181D"/>
                <w:sz w:val="17"/>
                <w:szCs w:val="17"/>
              </w:rPr>
              <w:t xml:space="preserve">P3 Kitchen</w:t>
            </w:r>
          </w:p>
        </w:tc>
        <w:tc>
          <w:tcPr>
            <w:tcW w:type="dxa" w:w="32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color w:val="14181D"/>
                <w:sz w:val="17"/>
                <w:szCs w:val="17"/>
              </w:rPr>
              <w:t xml:space="preserve">IF-04</w:t>
            </w:r>
          </w:p>
        </w:tc>
      </w:tr>
      <w:tr>
        <w:tc>
          <w:tcPr>
            <w:tcW w:type="dxa" w:w="34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color w:val="14181D"/>
                <w:sz w:val="17"/>
                <w:szCs w:val="17"/>
              </w:rPr>
              <w:t xml:space="preserve">All loose furniture, including bedroom furniture</w:t>
            </w:r>
          </w:p>
        </w:tc>
        <w:tc>
          <w:tcPr>
            <w:tcW w:type="dxa" w:w="24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color w:val="14181D"/>
                <w:sz w:val="17"/>
                <w:szCs w:val="17"/>
              </w:rPr>
              <w:t xml:space="preserve">P4 Furniture</w:t>
            </w:r>
          </w:p>
        </w:tc>
        <w:tc>
          <w:tcPr>
            <w:tcW w:type="dxa" w:w="32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color w:val="14181D"/>
                <w:sz w:val="17"/>
                <w:szCs w:val="17"/>
              </w:rPr>
              <w:t xml:space="preserve">IF-05, IF-06</w:t>
            </w:r>
          </w:p>
        </w:tc>
      </w:tr>
      <w:tr>
        <w:tc>
          <w:tcPr>
            <w:tcW w:type="dxa" w:w="34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color w:val="14181D"/>
                <w:sz w:val="17"/>
                <w:szCs w:val="17"/>
              </w:rPr>
              <w:t xml:space="preserve">Operation, housekeeping, catering and maintenance</w:t>
            </w:r>
          </w:p>
        </w:tc>
        <w:tc>
          <w:tcPr>
            <w:tcW w:type="dxa" w:w="24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color w:val="14181D"/>
                <w:sz w:val="17"/>
                <w:szCs w:val="17"/>
              </w:rPr>
              <w:t xml:space="preserve">P5 FM and Operation</w:t>
            </w:r>
          </w:p>
        </w:tc>
        <w:tc>
          <w:tcPr>
            <w:tcW w:type="dxa" w:w="32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color w:val="14181D"/>
                <w:sz w:val="17"/>
                <w:szCs w:val="17"/>
              </w:rPr>
              <w:t xml:space="preserve">IF-07 to IF-10</w:t>
            </w:r>
          </w:p>
        </w:tc>
      </w:tr>
      <w:tr>
        <w:tc>
          <w:tcPr>
            <w:tcW w:type="dxa" w:w="34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color w:val="14181D"/>
                <w:sz w:val="17"/>
                <w:szCs w:val="17"/>
              </w:rPr>
              <w:t xml:space="preserve">CCTV cameras, recording and monitoring</w:t>
            </w:r>
          </w:p>
        </w:tc>
        <w:tc>
          <w:tcPr>
            <w:tcW w:type="dxa" w:w="24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color w:val="14181D"/>
                <w:sz w:val="17"/>
                <w:szCs w:val="17"/>
              </w:rPr>
              <w:t xml:space="preserve">P5 FM and Operation</w:t>
            </w:r>
          </w:p>
        </w:tc>
        <w:tc>
          <w:tcPr>
            <w:tcW w:type="dxa" w:w="32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color w:val="14181D"/>
                <w:sz w:val="17"/>
                <w:szCs w:val="17"/>
              </w:rPr>
              <w:t xml:space="preserve">4.19</w:t>
            </w:r>
          </w:p>
        </w:tc>
      </w:tr>
      <w:tr>
        <w:tc>
          <w:tcPr>
            <w:tcW w:type="dxa" w:w="34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color w:val="14181D"/>
                <w:sz w:val="17"/>
                <w:szCs w:val="17"/>
              </w:rPr>
              <w:t xml:space="preserve">The fire strategy itself</w:t>
            </w:r>
          </w:p>
        </w:tc>
        <w:tc>
          <w:tcPr>
            <w:tcW w:type="dxa" w:w="24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color w:val="14181D"/>
                <w:sz w:val="17"/>
                <w:szCs w:val="17"/>
              </w:rPr>
              <w:t xml:space="preserve">Client's fire engineer</w:t>
            </w:r>
          </w:p>
        </w:tc>
        <w:tc>
          <w:tcPr>
            <w:tcW w:type="dxa" w:w="32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color w:val="14181D"/>
                <w:sz w:val="17"/>
                <w:szCs w:val="17"/>
              </w:rPr>
              <w:t xml:space="preserve">IF-11</w:t>
            </w:r>
          </w:p>
        </w:tc>
      </w:tr>
    </w:tbl>
    <w:p>
      <w:r>
        <w:br w:type="page"/>
      </w:r>
    </w:p>
    <w:p>
      <w:pPr>
        <w:pStyle w:val="Heading1"/>
        <w:spacing w:after="140" w:before="360"/>
      </w:pPr>
      <w:r>
        <w:rPr>
          <w:rFonts w:ascii="Arial" w:cs="Arial" w:eastAsia="Arial" w:hAnsi="Arial"/>
          <w:b/>
          <w:bCs/>
          <w:color w:val="14181D"/>
          <w:sz w:val="28"/>
          <w:szCs w:val="28"/>
        </w:rPr>
        <w:t xml:space="preserve">2  Room schedule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100"/>
        <w:gridCol w:w="5200"/>
        <w:gridCol w:w="1000"/>
        <w:gridCol w:w="1720"/>
      </w:tblGrid>
      <w:tr>
        <w:trPr>
          <w:tblHeader/>
        </w:trPr>
        <w:tc>
          <w:tcPr>
            <w:tcW w:type="dxa" w:w="1100"/>
            <w:tcBorders>
              <w:top w:val="single" w:color="D5D5D5" w:sz="2"/>
              <w:left w:val="single" w:color="D5D5D5" w:sz="2"/>
              <w:bottom w:val="single" w:color="D5D5D5" w:sz="2"/>
              <w:right w:val="single" w:color="D5D5D5" w:sz="2"/>
            </w:tcBorders>
            <w:shd w:fill="14181D" w:color="auto" w:val="clear"/>
            <w:tcMar>
              <w:top w:type="dxa" w:w="60"/>
              <w:left w:type="dxa" w:w="90"/>
              <w:bottom w:type="dxa" w:w="60"/>
              <w:right w:type="dxa" w:w="90"/>
            </w:tcMar>
          </w:tcPr>
          <w:p>
            <w:pPr>
              <w:spacing w:after="20" w:before="20" w:line="240"/>
            </w:pPr>
            <w:r>
              <w:rPr>
                <w:rFonts w:ascii="Arial" w:cs="Arial" w:eastAsia="Arial" w:hAnsi="Arial"/>
                <w:b/>
                <w:bCs/>
                <w:color w:val="FFFFFF"/>
                <w:sz w:val="17"/>
                <w:szCs w:val="17"/>
              </w:rPr>
              <w:t xml:space="preserve">Type</w:t>
            </w:r>
          </w:p>
        </w:tc>
        <w:tc>
          <w:tcPr>
            <w:tcW w:type="dxa" w:w="5200"/>
            <w:tcBorders>
              <w:top w:val="single" w:color="D5D5D5" w:sz="2"/>
              <w:left w:val="single" w:color="D5D5D5" w:sz="2"/>
              <w:bottom w:val="single" w:color="D5D5D5" w:sz="2"/>
              <w:right w:val="single" w:color="D5D5D5" w:sz="2"/>
            </w:tcBorders>
            <w:shd w:fill="14181D" w:color="auto" w:val="clear"/>
            <w:tcMar>
              <w:top w:type="dxa" w:w="60"/>
              <w:left w:type="dxa" w:w="90"/>
              <w:bottom w:type="dxa" w:w="60"/>
              <w:right w:type="dxa" w:w="90"/>
            </w:tcMar>
          </w:tcPr>
          <w:p>
            <w:pPr>
              <w:spacing w:after="20" w:before="20" w:line="240"/>
            </w:pPr>
            <w:r>
              <w:rPr>
                <w:rFonts w:ascii="Arial" w:cs="Arial" w:eastAsia="Arial" w:hAnsi="Arial"/>
                <w:b/>
                <w:bCs/>
                <w:color w:val="FFFFFF"/>
                <w:sz w:val="17"/>
                <w:szCs w:val="17"/>
              </w:rPr>
              <w:t xml:space="preserve">Description</w:t>
            </w:r>
          </w:p>
        </w:tc>
        <w:tc>
          <w:tcPr>
            <w:tcW w:type="dxa" w:w="1000"/>
            <w:tcBorders>
              <w:top w:val="single" w:color="D5D5D5" w:sz="2"/>
              <w:left w:val="single" w:color="D5D5D5" w:sz="2"/>
              <w:bottom w:val="single" w:color="D5D5D5" w:sz="2"/>
              <w:right w:val="single" w:color="D5D5D5" w:sz="2"/>
            </w:tcBorders>
            <w:shd w:fill="14181D" w:color="auto" w:val="clear"/>
            <w:tcMar>
              <w:top w:type="dxa" w:w="60"/>
              <w:left w:type="dxa" w:w="90"/>
              <w:bottom w:type="dxa" w:w="60"/>
              <w:right w:type="dxa" w:w="90"/>
            </w:tcMar>
          </w:tcPr>
          <w:p>
            <w:pPr>
              <w:spacing w:after="20" w:before="20" w:line="240"/>
            </w:pPr>
            <w:r>
              <w:rPr>
                <w:rFonts w:ascii="Arial" w:cs="Arial" w:eastAsia="Arial" w:hAnsi="Arial"/>
                <w:b/>
                <w:bCs/>
                <w:color w:val="FFFFFF"/>
                <w:sz w:val="17"/>
                <w:szCs w:val="17"/>
              </w:rPr>
              <w:t xml:space="preserve">Quantity</w:t>
            </w:r>
          </w:p>
        </w:tc>
        <w:tc>
          <w:tcPr>
            <w:tcW w:type="dxa" w:w="1720"/>
            <w:tcBorders>
              <w:top w:val="single" w:color="D5D5D5" w:sz="2"/>
              <w:left w:val="single" w:color="D5D5D5" w:sz="2"/>
              <w:bottom w:val="single" w:color="D5D5D5" w:sz="2"/>
              <w:right w:val="single" w:color="D5D5D5" w:sz="2"/>
            </w:tcBorders>
            <w:shd w:fill="14181D" w:color="auto" w:val="clear"/>
            <w:tcMar>
              <w:top w:type="dxa" w:w="60"/>
              <w:left w:type="dxa" w:w="90"/>
              <w:bottom w:type="dxa" w:w="60"/>
              <w:right w:type="dxa" w:w="90"/>
            </w:tcMar>
          </w:tcPr>
          <w:p>
            <w:pPr>
              <w:spacing w:after="20" w:before="20" w:line="240"/>
            </w:pPr>
            <w:r>
              <w:rPr>
                <w:rFonts w:ascii="Arial" w:cs="Arial" w:eastAsia="Arial" w:hAnsi="Arial"/>
                <w:b/>
                <w:bCs/>
                <w:color w:val="FFFFFF"/>
                <w:sz w:val="17"/>
                <w:szCs w:val="17"/>
              </w:rPr>
              <w:t xml:space="preserve">Data sheet</w:t>
            </w:r>
          </w:p>
        </w:tc>
      </w:tr>
      <w:tr>
        <w:tc>
          <w:tcPr>
            <w:tcW w:type="dxa" w:w="11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7"/>
                <w:szCs w:val="17"/>
              </w:rPr>
              <w:t xml:space="preserve">RT-01</w:t>
            </w:r>
          </w:p>
        </w:tc>
        <w:tc>
          <w:tcPr>
            <w:tcW w:type="dxa" w:w="52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color w:val="14181D"/>
                <w:sz w:val="17"/>
                <w:szCs w:val="17"/>
              </w:rPr>
              <w:t xml:space="preserve">Standard bedroom with ensuite shower room</w:t>
            </w:r>
          </w:p>
          <w:p>
            <w:pPr>
              <w:spacing w:after="20" w:before="20" w:line="240"/>
            </w:pPr>
            <w:r>
              <w:rPr>
                <w:rFonts w:ascii="Arial" w:cs="Arial" w:eastAsia="Arial" w:hAnsi="Arial"/>
                <w:color w:val="14181D"/>
                <w:sz w:val="17"/>
                <w:szCs w:val="17"/>
              </w:rPr>
              <w:t xml:space="preserve">The base room. Every deviation is priced against this one.</w:t>
            </w:r>
          </w:p>
        </w:tc>
        <w:tc>
          <w:tcPr>
            <w:tcW w:type="dxa" w:w="10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color w:val="14181D"/>
                <w:sz w:val="17"/>
                <w:szCs w:val="17"/>
              </w:rPr>
              <w:t xml:space="preserve">199</w:t>
            </w:r>
          </w:p>
        </w:tc>
        <w:tc>
          <w:tcPr>
            <w:tcW w:type="dxa" w:w="17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color w:val="14181D"/>
                <w:sz w:val="17"/>
                <w:szCs w:val="17"/>
              </w:rPr>
              <w:t xml:space="preserve">Section 3</w:t>
            </w:r>
          </w:p>
        </w:tc>
      </w:tr>
      <w:tr>
        <w:tc>
          <w:tcPr>
            <w:tcW w:type="dxa" w:w="11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7"/>
                <w:szCs w:val="17"/>
              </w:rPr>
              <w:t xml:space="preserve">RT-02</w:t>
            </w:r>
          </w:p>
        </w:tc>
        <w:tc>
          <w:tcPr>
            <w:tcW w:type="dxa" w:w="52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color w:val="14181D"/>
                <w:sz w:val="17"/>
                <w:szCs w:val="17"/>
              </w:rPr>
              <w:t xml:space="preserve">Accessible bedroom with ensuite wet room</w:t>
            </w:r>
          </w:p>
          <w:p>
            <w:pPr>
              <w:spacing w:after="20" w:before="20" w:line="240"/>
            </w:pPr>
            <w:r>
              <w:rPr>
                <w:rFonts w:ascii="Arial" w:cs="Arial" w:eastAsia="Arial" w:hAnsi="Arial"/>
                <w:color w:val="14181D"/>
                <w:sz w:val="17"/>
                <w:szCs w:val="17"/>
              </w:rPr>
              <w:t xml:space="preserve">Wheelchair accessible. Layout to be confirmed with Building Control.</w:t>
            </w:r>
          </w:p>
        </w:tc>
        <w:tc>
          <w:tcPr>
            <w:tcW w:type="dxa" w:w="10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color w:val="14181D"/>
                <w:sz w:val="17"/>
                <w:szCs w:val="17"/>
              </w:rPr>
              <w:t xml:space="preserve">12</w:t>
            </w:r>
          </w:p>
        </w:tc>
        <w:tc>
          <w:tcPr>
            <w:tcW w:type="dxa" w:w="17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color w:val="14181D"/>
                <w:sz w:val="17"/>
                <w:szCs w:val="17"/>
              </w:rPr>
              <w:t xml:space="preserve">Section 3</w:t>
            </w:r>
          </w:p>
        </w:tc>
      </w:tr>
      <w:tr>
        <w:tc>
          <w:tcPr>
            <w:tcW w:type="dxa" w:w="11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7"/>
                <w:szCs w:val="17"/>
              </w:rPr>
              <w:t xml:space="preserve">RT-03</w:t>
            </w:r>
          </w:p>
        </w:tc>
        <w:tc>
          <w:tcPr>
            <w:tcW w:type="dxa" w:w="52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color w:val="14181D"/>
                <w:sz w:val="17"/>
                <w:szCs w:val="17"/>
              </w:rPr>
              <w:t xml:space="preserve">Senior / long-stay bedroom with ensuite shower room</w:t>
            </w:r>
          </w:p>
          <w:p>
            <w:pPr>
              <w:spacing w:after="20" w:before="20" w:line="240"/>
            </w:pPr>
            <w:r>
              <w:rPr>
                <w:rFonts w:ascii="Arial" w:cs="Arial" w:eastAsia="Arial" w:hAnsi="Arial"/>
                <w:color w:val="14181D"/>
                <w:sz w:val="17"/>
                <w:szCs w:val="17"/>
              </w:rPr>
              <w:t xml:space="preserve">As RT-01 with an increased desk and storage provision.</w:t>
            </w:r>
          </w:p>
        </w:tc>
        <w:tc>
          <w:tcPr>
            <w:tcW w:type="dxa" w:w="10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color w:val="14181D"/>
                <w:sz w:val="17"/>
                <w:szCs w:val="17"/>
              </w:rPr>
              <w:t xml:space="preserve">14</w:t>
            </w:r>
          </w:p>
        </w:tc>
        <w:tc>
          <w:tcPr>
            <w:tcW w:type="dxa" w:w="17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color w:val="14181D"/>
                <w:sz w:val="17"/>
                <w:szCs w:val="17"/>
              </w:rPr>
              <w:t xml:space="preserve">Section 3</w:t>
            </w:r>
          </w:p>
        </w:tc>
      </w:tr>
    </w:tbl>
    <w:p>
      <w:pPr>
        <w:spacing w:after="60" w:before="60" w:line="260"/>
      </w:pPr>
      <w:r>
        <w:rPr>
          <w:rFonts w:ascii="Arial" w:cs="Arial" w:eastAsia="Arial" w:hAnsi="Arial"/>
          <w:i/>
          <w:iCs/>
          <w:color w:val="5B6672"/>
          <w:sz w:val="19"/>
          <w:szCs w:val="19"/>
        </w:rPr>
        <w:t xml:space="preserve">Quantities are as scheduled and are subject to remeasurement only where this document expressly permits it. The tenderer shall satisfy itself as to quantities from the drawings listed at section 11.</w:t>
      </w:r>
    </w:p>
    <w:p>
      <w:r>
        <w:br w:type="page"/>
      </w:r>
    </w:p>
    <w:p>
      <w:pPr>
        <w:pStyle w:val="Heading1"/>
        <w:spacing w:after="140" w:before="360"/>
      </w:pPr>
      <w:r>
        <w:rPr>
          <w:rFonts w:ascii="Arial" w:cs="Arial" w:eastAsia="Arial" w:hAnsi="Arial"/>
          <w:b/>
          <w:bCs/>
          <w:color w:val="14181D"/>
          <w:sz w:val="28"/>
          <w:szCs w:val="28"/>
        </w:rPr>
        <w:t xml:space="preserve">3  Room data sheets</w:t>
      </w:r>
    </w:p>
    <w:p>
      <w:pPr>
        <w:spacing w:after="60" w:before="60" w:line="260"/>
      </w:pPr>
      <w:r>
        <w:rPr>
          <w:rFonts w:ascii="Arial" w:cs="Arial" w:eastAsia="Arial" w:hAnsi="Arial"/>
          <w:color w:val="14181D"/>
          <w:sz w:val="19"/>
          <w:szCs w:val="19"/>
        </w:rPr>
        <w:t xml:space="preserve">Every line is a requirement. Where a cell reads “As RT-01” the requirement for RT-01 applies in full to that room type.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2740"/>
        <w:gridCol w:w="2140"/>
        <w:gridCol w:w="1940"/>
      </w:tblGrid>
      <w:tr>
        <w:trPr>
          <w:tblHeader/>
        </w:trPr>
        <w:tc>
          <w:tcPr>
            <w:tcW w:type="dxa" w:w="2200"/>
            <w:tcBorders>
              <w:top w:val="single" w:color="D5D5D5" w:sz="2"/>
              <w:left w:val="single" w:color="D5D5D5" w:sz="2"/>
              <w:bottom w:val="single" w:color="D5D5D5" w:sz="2"/>
              <w:right w:val="single" w:color="D5D5D5" w:sz="2"/>
            </w:tcBorders>
            <w:shd w:fill="14181D" w:color="auto" w:val="clear"/>
            <w:tcMar>
              <w:top w:type="dxa" w:w="60"/>
              <w:left w:type="dxa" w:w="90"/>
              <w:bottom w:type="dxa" w:w="60"/>
              <w:right w:type="dxa" w:w="90"/>
            </w:tcMar>
          </w:tcPr>
          <w:p>
            <w:pPr>
              <w:spacing w:after="20" w:before="20" w:line="240"/>
            </w:pPr>
            <w:r>
              <w:rPr>
                <w:rFonts w:ascii="Arial" w:cs="Arial" w:eastAsia="Arial" w:hAnsi="Arial"/>
                <w:b/>
                <w:bCs/>
                <w:color w:val="FFFFFF"/>
                <w:sz w:val="17"/>
                <w:szCs w:val="17"/>
              </w:rPr>
              <w:t xml:space="preserve">Item</w:t>
            </w:r>
          </w:p>
        </w:tc>
        <w:tc>
          <w:tcPr>
            <w:tcW w:type="dxa" w:w="2740"/>
            <w:tcBorders>
              <w:top w:val="single" w:color="D5D5D5" w:sz="2"/>
              <w:left w:val="single" w:color="D5D5D5" w:sz="2"/>
              <w:bottom w:val="single" w:color="D5D5D5" w:sz="2"/>
              <w:right w:val="single" w:color="D5D5D5" w:sz="2"/>
            </w:tcBorders>
            <w:shd w:fill="14181D" w:color="auto" w:val="clear"/>
            <w:tcMar>
              <w:top w:type="dxa" w:w="60"/>
              <w:left w:type="dxa" w:w="90"/>
              <w:bottom w:type="dxa" w:w="60"/>
              <w:right w:type="dxa" w:w="90"/>
            </w:tcMar>
          </w:tcPr>
          <w:p>
            <w:pPr>
              <w:spacing w:after="20" w:before="20" w:line="240"/>
            </w:pPr>
            <w:r>
              <w:rPr>
                <w:rFonts w:ascii="Arial" w:cs="Arial" w:eastAsia="Arial" w:hAnsi="Arial"/>
                <w:b/>
                <w:bCs/>
                <w:color w:val="FFFFFF"/>
                <w:sz w:val="17"/>
                <w:szCs w:val="17"/>
              </w:rPr>
              <w:t xml:space="preserve">RT-01  Standard bedroom</w:t>
            </w:r>
          </w:p>
        </w:tc>
        <w:tc>
          <w:tcPr>
            <w:tcW w:type="dxa" w:w="2140"/>
            <w:tcBorders>
              <w:top w:val="single" w:color="D5D5D5" w:sz="2"/>
              <w:left w:val="single" w:color="D5D5D5" w:sz="2"/>
              <w:bottom w:val="single" w:color="D5D5D5" w:sz="2"/>
              <w:right w:val="single" w:color="D5D5D5" w:sz="2"/>
            </w:tcBorders>
            <w:shd w:fill="14181D" w:color="auto" w:val="clear"/>
            <w:tcMar>
              <w:top w:type="dxa" w:w="60"/>
              <w:left w:type="dxa" w:w="90"/>
              <w:bottom w:type="dxa" w:w="60"/>
              <w:right w:type="dxa" w:w="90"/>
            </w:tcMar>
          </w:tcPr>
          <w:p>
            <w:pPr>
              <w:spacing w:after="20" w:before="20" w:line="240"/>
            </w:pPr>
            <w:r>
              <w:rPr>
                <w:rFonts w:ascii="Arial" w:cs="Arial" w:eastAsia="Arial" w:hAnsi="Arial"/>
                <w:b/>
                <w:bCs/>
                <w:color w:val="FFFFFF"/>
                <w:sz w:val="17"/>
                <w:szCs w:val="17"/>
              </w:rPr>
              <w:t xml:space="preserve">RT-02  Accessible bedroom</w:t>
            </w:r>
          </w:p>
        </w:tc>
        <w:tc>
          <w:tcPr>
            <w:tcW w:type="dxa" w:w="1940"/>
            <w:tcBorders>
              <w:top w:val="single" w:color="D5D5D5" w:sz="2"/>
              <w:left w:val="single" w:color="D5D5D5" w:sz="2"/>
              <w:bottom w:val="single" w:color="D5D5D5" w:sz="2"/>
              <w:right w:val="single" w:color="D5D5D5" w:sz="2"/>
            </w:tcBorders>
            <w:shd w:fill="14181D" w:color="auto" w:val="clear"/>
            <w:tcMar>
              <w:top w:type="dxa" w:w="60"/>
              <w:left w:type="dxa" w:w="90"/>
              <w:bottom w:type="dxa" w:w="60"/>
              <w:right w:type="dxa" w:w="90"/>
            </w:tcMar>
          </w:tcPr>
          <w:p>
            <w:pPr>
              <w:spacing w:after="20" w:before="20" w:line="240"/>
            </w:pPr>
            <w:r>
              <w:rPr>
                <w:rFonts w:ascii="Arial" w:cs="Arial" w:eastAsia="Arial" w:hAnsi="Arial"/>
                <w:b/>
                <w:bCs/>
                <w:color w:val="FFFFFF"/>
                <w:sz w:val="17"/>
                <w:szCs w:val="17"/>
              </w:rPr>
              <w:t xml:space="preserve">RT-03  Senior bedroom</w:t>
            </w:r>
          </w:p>
        </w:tc>
      </w:tr>
      <w:tr>
        <w:tc>
          <w:tcPr>
            <w:tcW w:type="dxa" w:w="9020"/>
            <w:gridSpan w:val="4"/>
            <w:tcBorders>
              <w:top w:val="single" w:color="D5D5D5" w:sz="2"/>
              <w:left w:val="single" w:color="D5D5D5" w:sz="2"/>
              <w:bottom w:val="single" w:color="D5D5D5" w:sz="2"/>
              <w:right w:val="single" w:color="D5D5D5" w:sz="2"/>
            </w:tcBorders>
            <w:shd w:fill="F2EFE7" w:color="auto" w:val="clear"/>
            <w:tcMar>
              <w:top w:type="dxa" w:w="60"/>
              <w:left w:type="dxa" w:w="90"/>
              <w:bottom w:type="dxa" w:w="60"/>
              <w:right w:type="dxa" w:w="90"/>
            </w:tcMar>
          </w:tcPr>
          <w:p>
            <w:pPr>
              <w:spacing w:after="20" w:before="20" w:line="240"/>
            </w:pPr>
            <w:r>
              <w:rPr>
                <w:rFonts w:ascii="Arial" w:cs="Arial" w:eastAsia="Arial" w:hAnsi="Arial"/>
                <w:b/>
                <w:bCs/>
                <w:color w:val="14181D"/>
                <w:sz w:val="17"/>
                <w:szCs w:val="17"/>
              </w:rPr>
              <w:t xml:space="preserve">GENERAL</w:t>
            </w:r>
          </w:p>
        </w:tc>
      </w:tr>
      <w:tr>
        <w:tc>
          <w:tcPr>
            <w:tcW w:type="dxa" w:w="22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Nominal internal floor area</w:t>
            </w:r>
          </w:p>
        </w:tc>
        <w:tc>
          <w:tcPr>
            <w:tcW w:type="dxa" w:w="27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11.0 m² minimum</w:t>
            </w:r>
          </w:p>
        </w:tc>
        <w:tc>
          <w:tcPr>
            <w:tcW w:type="dxa" w:w="21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16.0 m² minimum</w:t>
            </w:r>
          </w:p>
        </w:tc>
        <w:tc>
          <w:tcPr>
            <w:tcW w:type="dxa" w:w="19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14.0 m² minimum</w:t>
            </w:r>
          </w:p>
        </w:tc>
      </w:tr>
      <w:tr>
        <w:tc>
          <w:tcPr>
            <w:tcW w:type="dxa" w:w="22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Nominal internal width</w:t>
            </w:r>
          </w:p>
        </w:tc>
        <w:tc>
          <w:tcPr>
            <w:tcW w:type="dxa" w:w="27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2.85 m minimum</w:t>
            </w:r>
          </w:p>
        </w:tc>
        <w:tc>
          <w:tcPr>
            <w:tcW w:type="dxa" w:w="21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3.30 m minimum</w:t>
            </w:r>
          </w:p>
        </w:tc>
        <w:tc>
          <w:tcPr>
            <w:tcW w:type="dxa" w:w="19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3.10 m minimum</w:t>
            </w:r>
          </w:p>
        </w:tc>
      </w:tr>
      <w:tr>
        <w:tc>
          <w:tcPr>
            <w:tcW w:type="dxa" w:w="22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Clear floor-to-ceiling height</w:t>
            </w:r>
          </w:p>
        </w:tc>
        <w:tc>
          <w:tcPr>
            <w:tcW w:type="dxa" w:w="27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2.40 m minimum throughout, 2.30 m minimum beneath any bulkhead</w:t>
            </w:r>
          </w:p>
        </w:tc>
        <w:tc>
          <w:tcPr>
            <w:tcW w:type="dxa" w:w="21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2.40 m minimum</w:t>
            </w:r>
          </w:p>
        </w:tc>
        <w:tc>
          <w:tcPr>
            <w:tcW w:type="dxa" w:w="19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2.40 m minimum</w:t>
            </w:r>
          </w:p>
        </w:tc>
      </w:tr>
      <w:tr>
        <w:tc>
          <w:tcPr>
            <w:tcW w:type="dxa" w:w="22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Design occupancy</w:t>
            </w:r>
          </w:p>
        </w:tc>
        <w:tc>
          <w:tcPr>
            <w:tcW w:type="dxa" w:w="27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1 person, single occupancy</w:t>
            </w:r>
          </w:p>
        </w:tc>
        <w:tc>
          <w:tcPr>
            <w:tcW w:type="dxa" w:w="21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1 person, single occupancy</w:t>
            </w:r>
          </w:p>
        </w:tc>
        <w:tc>
          <w:tcPr>
            <w:tcW w:type="dxa" w:w="19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1 person, single occupancy</w:t>
            </w:r>
          </w:p>
        </w:tc>
      </w:tr>
      <w:tr>
        <w:tc>
          <w:tcPr>
            <w:tcW w:type="dxa" w:w="22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Ensuite floor area</w:t>
            </w:r>
          </w:p>
        </w:tc>
        <w:tc>
          <w:tcPr>
            <w:tcW w:type="dxa" w:w="27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2.6 m² minimum</w:t>
            </w:r>
          </w:p>
        </w:tc>
        <w:tc>
          <w:tcPr>
            <w:tcW w:type="dxa" w:w="21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4.5 m² minimum, level access wet room</w:t>
            </w:r>
          </w:p>
        </w:tc>
        <w:tc>
          <w:tcPr>
            <w:tcW w:type="dxa" w:w="19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2.6 m² minimum</w:t>
            </w:r>
          </w:p>
        </w:tc>
      </w:tr>
      <w:tr>
        <w:tc>
          <w:tcPr>
            <w:tcW w:type="dxa" w:w="9020"/>
            <w:gridSpan w:val="4"/>
            <w:tcBorders>
              <w:top w:val="single" w:color="D5D5D5" w:sz="2"/>
              <w:left w:val="single" w:color="D5D5D5" w:sz="2"/>
              <w:bottom w:val="single" w:color="D5D5D5" w:sz="2"/>
              <w:right w:val="single" w:color="D5D5D5" w:sz="2"/>
            </w:tcBorders>
            <w:shd w:fill="F2EFE7" w:color="auto" w:val="clear"/>
            <w:tcMar>
              <w:top w:type="dxa" w:w="60"/>
              <w:left w:type="dxa" w:w="90"/>
              <w:bottom w:type="dxa" w:w="60"/>
              <w:right w:type="dxa" w:w="90"/>
            </w:tcMar>
          </w:tcPr>
          <w:p>
            <w:pPr>
              <w:spacing w:after="20" w:before="20" w:line="240"/>
            </w:pPr>
            <w:r>
              <w:rPr>
                <w:rFonts w:ascii="Arial" w:cs="Arial" w:eastAsia="Arial" w:hAnsi="Arial"/>
                <w:b/>
                <w:bCs/>
                <w:color w:val="14181D"/>
                <w:sz w:val="17"/>
                <w:szCs w:val="17"/>
              </w:rPr>
              <w:t xml:space="preserve">ENTRANCE DOOR</w:t>
            </w:r>
          </w:p>
        </w:tc>
      </w:tr>
      <w:tr>
        <w:tc>
          <w:tcPr>
            <w:tcW w:type="dxa" w:w="22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Leaf size</w:t>
            </w:r>
          </w:p>
        </w:tc>
        <w:tc>
          <w:tcPr>
            <w:tcW w:type="dxa" w:w="27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926 × 2040 × 44 mm</w:t>
            </w:r>
          </w:p>
        </w:tc>
        <w:tc>
          <w:tcPr>
            <w:tcW w:type="dxa" w:w="21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926 × 2040 × 44 mm, 900 mm clear opening minimum</w:t>
            </w:r>
          </w:p>
        </w:tc>
        <w:tc>
          <w:tcPr>
            <w:tcW w:type="dxa" w:w="19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926 × 2040 × 44 mm</w:t>
            </w:r>
          </w:p>
        </w:tc>
      </w:tr>
      <w:tr>
        <w:tc>
          <w:tcPr>
            <w:tcW w:type="dxa" w:w="22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Fire rating</w:t>
            </w:r>
          </w:p>
        </w:tc>
        <w:tc>
          <w:tcPr>
            <w:tcW w:type="dxa" w:w="27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FD30S, intumescent and cold smoke seals to head and both jambs</w:t>
            </w:r>
          </w:p>
        </w:tc>
        <w:tc>
          <w:tcPr>
            <w:tcW w:type="dxa" w:w="21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FD30S</w:t>
            </w:r>
          </w:p>
        </w:tc>
        <w:tc>
          <w:tcPr>
            <w:tcW w:type="dxa" w:w="19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FD30S</w:t>
            </w:r>
          </w:p>
        </w:tc>
      </w:tr>
      <w:tr>
        <w:tc>
          <w:tcPr>
            <w:tcW w:type="dxa" w:w="22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Finish</w:t>
            </w:r>
          </w:p>
        </w:tc>
        <w:tc>
          <w:tcPr>
            <w:tcW w:type="dxa" w:w="27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Factory-finished laminate, colour from the approved range</w:t>
            </w:r>
          </w:p>
        </w:tc>
        <w:tc>
          <w:tcPr>
            <w:tcW w:type="dxa" w:w="21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As RT-01</w:t>
            </w:r>
          </w:p>
        </w:tc>
        <w:tc>
          <w:tcPr>
            <w:tcW w:type="dxa" w:w="19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As RT-01</w:t>
            </w:r>
          </w:p>
        </w:tc>
      </w:tr>
      <w:tr>
        <w:tc>
          <w:tcPr>
            <w:tcW w:type="dxa" w:w="22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Ironmongery</w:t>
            </w:r>
          </w:p>
        </w:tc>
        <w:tc>
          <w:tcPr>
            <w:tcW w:type="dxa" w:w="27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Lever furniture, satin stainless; overhead closer to EN 1154 power size 3; hinges 3 no. per leaf to EN 1935 Grade 13</w:t>
            </w:r>
          </w:p>
        </w:tc>
        <w:tc>
          <w:tcPr>
            <w:tcW w:type="dxa" w:w="21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As RT-01, with closer force adjusted to 20 N maximum opening force</w:t>
            </w:r>
          </w:p>
        </w:tc>
        <w:tc>
          <w:tcPr>
            <w:tcW w:type="dxa" w:w="19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As RT-01</w:t>
            </w:r>
          </w:p>
        </w:tc>
      </w:tr>
      <w:tr>
        <w:tc>
          <w:tcPr>
            <w:tcW w:type="dxa" w:w="22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Lock</w:t>
            </w:r>
          </w:p>
        </w:tc>
        <w:tc>
          <w:tcPr>
            <w:tcW w:type="dxa" w:w="27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Electronic access control, offline battery lock, mechanical override; keyed to the village master suite</w:t>
            </w:r>
          </w:p>
        </w:tc>
        <w:tc>
          <w:tcPr>
            <w:tcW w:type="dxa" w:w="21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As RT-01, lever handle inside, no thumbturn requiring a pinch grip</w:t>
            </w:r>
          </w:p>
        </w:tc>
        <w:tc>
          <w:tcPr>
            <w:tcW w:type="dxa" w:w="19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As RT-01</w:t>
            </w:r>
          </w:p>
        </w:tc>
      </w:tr>
      <w:tr>
        <w:tc>
          <w:tcPr>
            <w:tcW w:type="dxa" w:w="22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Vision panel</w:t>
            </w:r>
          </w:p>
        </w:tc>
        <w:tc>
          <w:tcPr>
            <w:tcW w:type="dxa" w:w="27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None</w:t>
            </w:r>
          </w:p>
        </w:tc>
        <w:tc>
          <w:tcPr>
            <w:tcW w:type="dxa" w:w="21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None</w:t>
            </w:r>
          </w:p>
        </w:tc>
        <w:tc>
          <w:tcPr>
            <w:tcW w:type="dxa" w:w="19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None</w:t>
            </w:r>
          </w:p>
        </w:tc>
      </w:tr>
      <w:tr>
        <w:tc>
          <w:tcPr>
            <w:tcW w:type="dxa" w:w="22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Door number</w:t>
            </w:r>
          </w:p>
        </w:tc>
        <w:tc>
          <w:tcPr>
            <w:tcW w:type="dxa" w:w="27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Engraved sign, 40 mm characters, tactile, mounted 1400–1600 mm AFFL on the wall to the leading edge</w:t>
            </w:r>
          </w:p>
        </w:tc>
        <w:tc>
          <w:tcPr>
            <w:tcW w:type="dxa" w:w="21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As RT-01, with tactile and braille characters</w:t>
            </w:r>
          </w:p>
        </w:tc>
        <w:tc>
          <w:tcPr>
            <w:tcW w:type="dxa" w:w="19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As RT-01</w:t>
            </w:r>
          </w:p>
        </w:tc>
      </w:tr>
      <w:tr>
        <w:tc>
          <w:tcPr>
            <w:tcW w:type="dxa" w:w="9020"/>
            <w:gridSpan w:val="4"/>
            <w:tcBorders>
              <w:top w:val="single" w:color="D5D5D5" w:sz="2"/>
              <w:left w:val="single" w:color="D5D5D5" w:sz="2"/>
              <w:bottom w:val="single" w:color="D5D5D5" w:sz="2"/>
              <w:right w:val="single" w:color="D5D5D5" w:sz="2"/>
            </w:tcBorders>
            <w:shd w:fill="F2EFE7" w:color="auto" w:val="clear"/>
            <w:tcMar>
              <w:top w:type="dxa" w:w="60"/>
              <w:left w:type="dxa" w:w="90"/>
              <w:bottom w:type="dxa" w:w="60"/>
              <w:right w:type="dxa" w:w="90"/>
            </w:tcMar>
          </w:tcPr>
          <w:p>
            <w:pPr>
              <w:spacing w:after="20" w:before="20" w:line="240"/>
            </w:pPr>
            <w:r>
              <w:rPr>
                <w:rFonts w:ascii="Arial" w:cs="Arial" w:eastAsia="Arial" w:hAnsi="Arial"/>
                <w:b/>
                <w:bCs/>
                <w:color w:val="14181D"/>
                <w:sz w:val="17"/>
                <w:szCs w:val="17"/>
              </w:rPr>
              <w:t xml:space="preserve">WINDOW</w:t>
            </w:r>
          </w:p>
        </w:tc>
      </w:tr>
      <w:tr>
        <w:tc>
          <w:tcPr>
            <w:tcW w:type="dxa" w:w="22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Type</w:t>
            </w:r>
          </w:p>
        </w:tc>
        <w:tc>
          <w:tcPr>
            <w:tcW w:type="dxa" w:w="27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Aluminium or uPVC, thermally broken, top-hung opening light</w:t>
            </w:r>
          </w:p>
        </w:tc>
        <w:tc>
          <w:tcPr>
            <w:tcW w:type="dxa" w:w="21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As RT-01, opening light operable from a seated position, cill height 800 mm maximum</w:t>
            </w:r>
          </w:p>
        </w:tc>
        <w:tc>
          <w:tcPr>
            <w:tcW w:type="dxa" w:w="19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As RT-01</w:t>
            </w:r>
          </w:p>
        </w:tc>
      </w:tr>
      <w:tr>
        <w:tc>
          <w:tcPr>
            <w:tcW w:type="dxa" w:w="22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Nominal size</w:t>
            </w:r>
          </w:p>
        </w:tc>
        <w:tc>
          <w:tcPr>
            <w:tcW w:type="dxa" w:w="27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1200 × 1100 mm</w:t>
            </w:r>
          </w:p>
        </w:tc>
        <w:tc>
          <w:tcPr>
            <w:tcW w:type="dxa" w:w="21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1200 × 1100 mm</w:t>
            </w:r>
          </w:p>
        </w:tc>
        <w:tc>
          <w:tcPr>
            <w:tcW w:type="dxa" w:w="19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1200 × 1100 mm</w:t>
            </w:r>
          </w:p>
        </w:tc>
      </w:tr>
      <w:tr>
        <w:tc>
          <w:tcPr>
            <w:tcW w:type="dxa" w:w="22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Glazing</w:t>
            </w:r>
          </w:p>
        </w:tc>
        <w:tc>
          <w:tcPr>
            <w:tcW w:type="dxa" w:w="27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Double glazed sealed unit, low-e, argon filled; toughened to BS 6206 Class A where within 800 mm of finished floor level</w:t>
            </w:r>
          </w:p>
        </w:tc>
        <w:tc>
          <w:tcPr>
            <w:tcW w:type="dxa" w:w="21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As RT-01</w:t>
            </w:r>
          </w:p>
        </w:tc>
        <w:tc>
          <w:tcPr>
            <w:tcW w:type="dxa" w:w="19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As RT-01</w:t>
            </w:r>
          </w:p>
        </w:tc>
      </w:tr>
      <w:tr>
        <w:tc>
          <w:tcPr>
            <w:tcW w:type="dxa" w:w="22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Restrictor</w:t>
            </w:r>
          </w:p>
        </w:tc>
        <w:tc>
          <w:tcPr>
            <w:tcW w:type="dxa" w:w="27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Opening restricted to 100 mm, key-released, to prevent falls</w:t>
            </w:r>
          </w:p>
        </w:tc>
        <w:tc>
          <w:tcPr>
            <w:tcW w:type="dxa" w:w="21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As RT-01</w:t>
            </w:r>
          </w:p>
        </w:tc>
        <w:tc>
          <w:tcPr>
            <w:tcW w:type="dxa" w:w="19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As RT-01</w:t>
            </w:r>
          </w:p>
        </w:tc>
      </w:tr>
      <w:tr>
        <w:tc>
          <w:tcPr>
            <w:tcW w:type="dxa" w:w="22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Trickle ventilation</w:t>
            </w:r>
          </w:p>
        </w:tc>
        <w:tc>
          <w:tcPr>
            <w:tcW w:type="dxa" w:w="27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5,000 mm² equivalent area per room minimum</w:t>
            </w:r>
          </w:p>
        </w:tc>
        <w:tc>
          <w:tcPr>
            <w:tcW w:type="dxa" w:w="21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As RT-01</w:t>
            </w:r>
          </w:p>
        </w:tc>
        <w:tc>
          <w:tcPr>
            <w:tcW w:type="dxa" w:w="19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As RT-01</w:t>
            </w:r>
          </w:p>
        </w:tc>
      </w:tr>
      <w:tr>
        <w:tc>
          <w:tcPr>
            <w:tcW w:type="dxa" w:w="22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Internal blind</w:t>
            </w:r>
          </w:p>
        </w:tc>
        <w:tc>
          <w:tcPr>
            <w:tcW w:type="dxa" w:w="27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Fitted roller blind, blackout, chain-operated with a breakaway connector</w:t>
            </w:r>
          </w:p>
        </w:tc>
        <w:tc>
          <w:tcPr>
            <w:tcW w:type="dxa" w:w="21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As RT-01, wand or motorised operation</w:t>
            </w:r>
          </w:p>
        </w:tc>
        <w:tc>
          <w:tcPr>
            <w:tcW w:type="dxa" w:w="19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As RT-01</w:t>
            </w:r>
          </w:p>
        </w:tc>
      </w:tr>
      <w:tr>
        <w:tc>
          <w:tcPr>
            <w:tcW w:type="dxa" w:w="9020"/>
            <w:gridSpan w:val="4"/>
            <w:tcBorders>
              <w:top w:val="single" w:color="D5D5D5" w:sz="2"/>
              <w:left w:val="single" w:color="D5D5D5" w:sz="2"/>
              <w:bottom w:val="single" w:color="D5D5D5" w:sz="2"/>
              <w:right w:val="single" w:color="D5D5D5" w:sz="2"/>
            </w:tcBorders>
            <w:shd w:fill="F2EFE7" w:color="auto" w:val="clear"/>
            <w:tcMar>
              <w:top w:type="dxa" w:w="60"/>
              <w:left w:type="dxa" w:w="90"/>
              <w:bottom w:type="dxa" w:w="60"/>
              <w:right w:type="dxa" w:w="90"/>
            </w:tcMar>
          </w:tcPr>
          <w:p>
            <w:pPr>
              <w:spacing w:after="20" w:before="20" w:line="240"/>
            </w:pPr>
            <w:r>
              <w:rPr>
                <w:rFonts w:ascii="Arial" w:cs="Arial" w:eastAsia="Arial" w:hAnsi="Arial"/>
                <w:b/>
                <w:bCs/>
                <w:color w:val="14181D"/>
                <w:sz w:val="17"/>
                <w:szCs w:val="17"/>
              </w:rPr>
              <w:t xml:space="preserve">FINISHES — ROOM</w:t>
            </w:r>
          </w:p>
        </w:tc>
      </w:tr>
      <w:tr>
        <w:tc>
          <w:tcPr>
            <w:tcW w:type="dxa" w:w="22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Floor</w:t>
            </w:r>
          </w:p>
        </w:tc>
        <w:tc>
          <w:tcPr>
            <w:tcW w:type="dxa" w:w="27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Cushioned vinyl sheet, 2.0 mm minimum, welded seams, slip resistance PTV ≥ 36 dry</w:t>
            </w:r>
          </w:p>
        </w:tc>
        <w:tc>
          <w:tcPr>
            <w:tcW w:type="dxa" w:w="21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As RT-01, slip resistance PTV ≥ 36 wet and dry throughout</w:t>
            </w:r>
          </w:p>
        </w:tc>
        <w:tc>
          <w:tcPr>
            <w:tcW w:type="dxa" w:w="19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As RT-01</w:t>
            </w:r>
          </w:p>
        </w:tc>
      </w:tr>
      <w:tr>
        <w:tc>
          <w:tcPr>
            <w:tcW w:type="dxa" w:w="22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Skirting</w:t>
            </w:r>
          </w:p>
        </w:tc>
        <w:tc>
          <w:tcPr>
            <w:tcW w:type="dxa" w:w="27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Coved and welded to the wall finish, 100 mm, integral with the floor covering</w:t>
            </w:r>
          </w:p>
        </w:tc>
        <w:tc>
          <w:tcPr>
            <w:tcW w:type="dxa" w:w="21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As RT-01</w:t>
            </w:r>
          </w:p>
        </w:tc>
        <w:tc>
          <w:tcPr>
            <w:tcW w:type="dxa" w:w="19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As RT-01</w:t>
            </w:r>
          </w:p>
        </w:tc>
      </w:tr>
      <w:tr>
        <w:tc>
          <w:tcPr>
            <w:tcW w:type="dxa" w:w="22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Walls</w:t>
            </w:r>
          </w:p>
        </w:tc>
        <w:tc>
          <w:tcPr>
            <w:tcW w:type="dxa" w:w="27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Factory-applied vinyl faced plasterboard or equivalent wipe-clean finish; impact resistant to 1200 mm AFFL</w:t>
            </w:r>
          </w:p>
        </w:tc>
        <w:tc>
          <w:tcPr>
            <w:tcW w:type="dxa" w:w="21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As RT-01</w:t>
            </w:r>
          </w:p>
        </w:tc>
        <w:tc>
          <w:tcPr>
            <w:tcW w:type="dxa" w:w="19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As RT-01</w:t>
            </w:r>
          </w:p>
        </w:tc>
      </w:tr>
      <w:tr>
        <w:tc>
          <w:tcPr>
            <w:tcW w:type="dxa" w:w="22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Ceiling</w:t>
            </w:r>
          </w:p>
        </w:tc>
        <w:tc>
          <w:tcPr>
            <w:tcW w:type="dxa" w:w="27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Factory-finished board, matt white, no accessible void within the room</w:t>
            </w:r>
          </w:p>
        </w:tc>
        <w:tc>
          <w:tcPr>
            <w:tcW w:type="dxa" w:w="21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As RT-01</w:t>
            </w:r>
          </w:p>
        </w:tc>
        <w:tc>
          <w:tcPr>
            <w:tcW w:type="dxa" w:w="19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As RT-01</w:t>
            </w:r>
          </w:p>
        </w:tc>
      </w:tr>
      <w:tr>
        <w:tc>
          <w:tcPr>
            <w:tcW w:type="dxa" w:w="9020"/>
            <w:gridSpan w:val="4"/>
            <w:tcBorders>
              <w:top w:val="single" w:color="D5D5D5" w:sz="2"/>
              <w:left w:val="single" w:color="D5D5D5" w:sz="2"/>
              <w:bottom w:val="single" w:color="D5D5D5" w:sz="2"/>
              <w:right w:val="single" w:color="D5D5D5" w:sz="2"/>
            </w:tcBorders>
            <w:shd w:fill="F2EFE7" w:color="auto" w:val="clear"/>
            <w:tcMar>
              <w:top w:type="dxa" w:w="60"/>
              <w:left w:type="dxa" w:w="90"/>
              <w:bottom w:type="dxa" w:w="60"/>
              <w:right w:type="dxa" w:w="90"/>
            </w:tcMar>
          </w:tcPr>
          <w:p>
            <w:pPr>
              <w:spacing w:after="20" w:before="20" w:line="240"/>
            </w:pPr>
            <w:r>
              <w:rPr>
                <w:rFonts w:ascii="Arial" w:cs="Arial" w:eastAsia="Arial" w:hAnsi="Arial"/>
                <w:b/>
                <w:bCs/>
                <w:color w:val="14181D"/>
                <w:sz w:val="17"/>
                <w:szCs w:val="17"/>
              </w:rPr>
              <w:t xml:space="preserve">FINISHES — ENSUITE</w:t>
            </w:r>
          </w:p>
        </w:tc>
      </w:tr>
      <w:tr>
        <w:tc>
          <w:tcPr>
            <w:tcW w:type="dxa" w:w="22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Floor</w:t>
            </w:r>
          </w:p>
        </w:tc>
        <w:tc>
          <w:tcPr>
            <w:tcW w:type="dxa" w:w="27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Slip-resistant vinyl, PTV ≥ 36 wet, coved 150 mm to all walls, falls to gully</w:t>
            </w:r>
          </w:p>
        </w:tc>
        <w:tc>
          <w:tcPr>
            <w:tcW w:type="dxa" w:w="21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As RT-01, falls across the whole wet room floor to a level-access gully</w:t>
            </w:r>
          </w:p>
        </w:tc>
        <w:tc>
          <w:tcPr>
            <w:tcW w:type="dxa" w:w="19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As RT-01</w:t>
            </w:r>
          </w:p>
        </w:tc>
      </w:tr>
      <w:tr>
        <w:tc>
          <w:tcPr>
            <w:tcW w:type="dxa" w:w="22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Walls</w:t>
            </w:r>
          </w:p>
        </w:tc>
        <w:tc>
          <w:tcPr>
            <w:tcW w:type="dxa" w:w="27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Fully sealed impervious panel system, full height, no tiled joints below 2.0 m</w:t>
            </w:r>
          </w:p>
        </w:tc>
        <w:tc>
          <w:tcPr>
            <w:tcW w:type="dxa" w:w="21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As RT-01</w:t>
            </w:r>
          </w:p>
        </w:tc>
        <w:tc>
          <w:tcPr>
            <w:tcW w:type="dxa" w:w="19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As RT-01</w:t>
            </w:r>
          </w:p>
        </w:tc>
      </w:tr>
      <w:tr>
        <w:tc>
          <w:tcPr>
            <w:tcW w:type="dxa" w:w="22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Ceiling</w:t>
            </w:r>
          </w:p>
        </w:tc>
        <w:tc>
          <w:tcPr>
            <w:tcW w:type="dxa" w:w="27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Moisture-resistant, factory-finished</w:t>
            </w:r>
          </w:p>
        </w:tc>
        <w:tc>
          <w:tcPr>
            <w:tcW w:type="dxa" w:w="21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As RT-01</w:t>
            </w:r>
          </w:p>
        </w:tc>
        <w:tc>
          <w:tcPr>
            <w:tcW w:type="dxa" w:w="19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As RT-01</w:t>
            </w:r>
          </w:p>
        </w:tc>
      </w:tr>
      <w:tr>
        <w:tc>
          <w:tcPr>
            <w:tcW w:type="dxa" w:w="9020"/>
            <w:gridSpan w:val="4"/>
            <w:tcBorders>
              <w:top w:val="single" w:color="D5D5D5" w:sz="2"/>
              <w:left w:val="single" w:color="D5D5D5" w:sz="2"/>
              <w:bottom w:val="single" w:color="D5D5D5" w:sz="2"/>
              <w:right w:val="single" w:color="D5D5D5" w:sz="2"/>
            </w:tcBorders>
            <w:shd w:fill="F2EFE7" w:color="auto" w:val="clear"/>
            <w:tcMar>
              <w:top w:type="dxa" w:w="60"/>
              <w:left w:type="dxa" w:w="90"/>
              <w:bottom w:type="dxa" w:w="60"/>
              <w:right w:type="dxa" w:w="90"/>
            </w:tcMar>
          </w:tcPr>
          <w:p>
            <w:pPr>
              <w:spacing w:after="20" w:before="20" w:line="240"/>
            </w:pPr>
            <w:r>
              <w:rPr>
                <w:rFonts w:ascii="Arial" w:cs="Arial" w:eastAsia="Arial" w:hAnsi="Arial"/>
                <w:b/>
                <w:bCs/>
                <w:color w:val="14181D"/>
                <w:sz w:val="17"/>
                <w:szCs w:val="17"/>
              </w:rPr>
              <w:t xml:space="preserve">SANITARYWARE</w:t>
            </w:r>
          </w:p>
        </w:tc>
      </w:tr>
      <w:tr>
        <w:tc>
          <w:tcPr>
            <w:tcW w:type="dxa" w:w="22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Shower</w:t>
            </w:r>
          </w:p>
        </w:tc>
        <w:tc>
          <w:tcPr>
            <w:tcW w:type="dxa" w:w="27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Thermostatic mixer to BS EN 1111, maximum outlet 41 °C, riser rail, hose, integral shower tray or moulded pod</w:t>
            </w:r>
          </w:p>
        </w:tc>
        <w:tc>
          <w:tcPr>
            <w:tcW w:type="dxa" w:w="21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Level-access shower, thermostatic mixer, fixed and handheld head, drop-down seat, grab rails to BS 8300</w:t>
            </w:r>
          </w:p>
        </w:tc>
        <w:tc>
          <w:tcPr>
            <w:tcW w:type="dxa" w:w="19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As RT-01</w:t>
            </w:r>
          </w:p>
        </w:tc>
      </w:tr>
      <w:tr>
        <w:tc>
          <w:tcPr>
            <w:tcW w:type="dxa" w:w="22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WC</w:t>
            </w:r>
          </w:p>
        </w:tc>
        <w:tc>
          <w:tcPr>
            <w:tcW w:type="dxa" w:w="27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Close-coupled, dual flush 6/4 litre maximum, soft-close seat</w:t>
            </w:r>
          </w:p>
        </w:tc>
        <w:tc>
          <w:tcPr>
            <w:tcW w:type="dxa" w:w="21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Doc M compliant pan, 480 mm seat height, drop-down and fixed grab rails, spatula flush</w:t>
            </w:r>
          </w:p>
        </w:tc>
        <w:tc>
          <w:tcPr>
            <w:tcW w:type="dxa" w:w="19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As RT-01</w:t>
            </w:r>
          </w:p>
        </w:tc>
      </w:tr>
      <w:tr>
        <w:tc>
          <w:tcPr>
            <w:tcW w:type="dxa" w:w="22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Basin</w:t>
            </w:r>
          </w:p>
        </w:tc>
        <w:tc>
          <w:tcPr>
            <w:tcW w:type="dxa" w:w="27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Wall-hung, 500 mm, single lever mixer, integral overflow</w:t>
            </w:r>
          </w:p>
        </w:tc>
        <w:tc>
          <w:tcPr>
            <w:tcW w:type="dxa" w:w="21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Doc M compliant, lever mixer, clearance for a seated user</w:t>
            </w:r>
          </w:p>
        </w:tc>
        <w:tc>
          <w:tcPr>
            <w:tcW w:type="dxa" w:w="19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As RT-01</w:t>
            </w:r>
          </w:p>
        </w:tc>
      </w:tr>
      <w:tr>
        <w:tc>
          <w:tcPr>
            <w:tcW w:type="dxa" w:w="22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Accessories</w:t>
            </w:r>
          </w:p>
        </w:tc>
        <w:tc>
          <w:tcPr>
            <w:tcW w:type="dxa" w:w="27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Mirror, glass shelf, toilet roll holder, robe hook, heated towel rail 200 W</w:t>
            </w:r>
          </w:p>
        </w:tc>
        <w:tc>
          <w:tcPr>
            <w:tcW w:type="dxa" w:w="21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As RT-01 plus emergency assistance alarm — pull cord to floor level, reset within the room, indicator outside the door and repeat to reception</w:t>
            </w:r>
          </w:p>
        </w:tc>
        <w:tc>
          <w:tcPr>
            <w:tcW w:type="dxa" w:w="19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As RT-01</w:t>
            </w:r>
          </w:p>
        </w:tc>
      </w:tr>
      <w:tr>
        <w:tc>
          <w:tcPr>
            <w:tcW w:type="dxa" w:w="9020"/>
            <w:gridSpan w:val="4"/>
            <w:tcBorders>
              <w:top w:val="single" w:color="D5D5D5" w:sz="2"/>
              <w:left w:val="single" w:color="D5D5D5" w:sz="2"/>
              <w:bottom w:val="single" w:color="D5D5D5" w:sz="2"/>
              <w:right w:val="single" w:color="D5D5D5" w:sz="2"/>
            </w:tcBorders>
            <w:shd w:fill="F2EFE7" w:color="auto" w:val="clear"/>
            <w:tcMar>
              <w:top w:type="dxa" w:w="60"/>
              <w:left w:type="dxa" w:w="90"/>
              <w:bottom w:type="dxa" w:w="60"/>
              <w:right w:type="dxa" w:w="90"/>
            </w:tcMar>
          </w:tcPr>
          <w:p>
            <w:pPr>
              <w:spacing w:after="20" w:before="20" w:line="240"/>
            </w:pPr>
            <w:r>
              <w:rPr>
                <w:rFonts w:ascii="Arial" w:cs="Arial" w:eastAsia="Arial" w:hAnsi="Arial"/>
                <w:b/>
                <w:bCs/>
                <w:color w:val="14181D"/>
                <w:sz w:val="17"/>
                <w:szCs w:val="17"/>
              </w:rPr>
              <w:t xml:space="preserve">FITTED JOINERY — SUPPLIED UNDER THIS PACKAGE</w:t>
            </w:r>
          </w:p>
        </w:tc>
      </w:tr>
      <w:tr>
        <w:tc>
          <w:tcPr>
            <w:tcW w:type="dxa" w:w="22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Wardrobe</w:t>
            </w:r>
          </w:p>
        </w:tc>
        <w:tc>
          <w:tcPr>
            <w:tcW w:type="dxa" w:w="27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Fitted, 600 × 600 × 1950 mm, hanging rail and one shelf, lockable</w:t>
            </w:r>
          </w:p>
        </w:tc>
        <w:tc>
          <w:tcPr>
            <w:tcW w:type="dxa" w:w="21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As RT-01, rail at 1050 mm maximum</w:t>
            </w:r>
          </w:p>
        </w:tc>
        <w:tc>
          <w:tcPr>
            <w:tcW w:type="dxa" w:w="19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Fitted, 900 mm wide, hanging rail and three shelves, lockable</w:t>
            </w:r>
          </w:p>
        </w:tc>
      </w:tr>
      <w:tr>
        <w:tc>
          <w:tcPr>
            <w:tcW w:type="dxa" w:w="22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Desk / worktop</w:t>
            </w:r>
          </w:p>
        </w:tc>
        <w:tc>
          <w:tcPr>
            <w:tcW w:type="dxa" w:w="27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Fitted worktop 1000 × 500 mm at 730 mm AFFL, with cable grommet</w:t>
            </w:r>
          </w:p>
        </w:tc>
        <w:tc>
          <w:tcPr>
            <w:tcW w:type="dxa" w:w="21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As RT-01, knee clearance 750 mm minimum, no fixed pedestal</w:t>
            </w:r>
          </w:p>
        </w:tc>
        <w:tc>
          <w:tcPr>
            <w:tcW w:type="dxa" w:w="19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Fitted worktop 1400 × 600 mm with a two-drawer fixed pedestal</w:t>
            </w:r>
          </w:p>
        </w:tc>
      </w:tr>
      <w:tr>
        <w:tc>
          <w:tcPr>
            <w:tcW w:type="dxa" w:w="22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Shelving</w:t>
            </w:r>
          </w:p>
        </w:tc>
        <w:tc>
          <w:tcPr>
            <w:tcW w:type="dxa" w:w="27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One shelf over the desk, 900 mm</w:t>
            </w:r>
          </w:p>
        </w:tc>
        <w:tc>
          <w:tcPr>
            <w:tcW w:type="dxa" w:w="21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As RT-01 at reachable height</w:t>
            </w:r>
          </w:p>
        </w:tc>
        <w:tc>
          <w:tcPr>
            <w:tcW w:type="dxa" w:w="19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Two shelves over the desk</w:t>
            </w:r>
          </w:p>
        </w:tc>
      </w:tr>
      <w:tr>
        <w:tc>
          <w:tcPr>
            <w:tcW w:type="dxa" w:w="22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Note</w:t>
            </w:r>
          </w:p>
        </w:tc>
        <w:tc>
          <w:tcPr>
            <w:tcW w:type="dxa" w:w="27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Bed, mattress, chair, bin and soft furnishings are supplied under P4 Furniture and are NOT in this package. The interface is scheduled at IF-05.</w:t>
            </w:r>
          </w:p>
        </w:tc>
        <w:tc>
          <w:tcPr>
            <w:tcW w:type="dxa" w:w="21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As RT-01</w:t>
            </w:r>
          </w:p>
        </w:tc>
        <w:tc>
          <w:tcPr>
            <w:tcW w:type="dxa" w:w="19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As RT-01</w:t>
            </w:r>
          </w:p>
        </w:tc>
      </w:tr>
      <w:tr>
        <w:tc>
          <w:tcPr>
            <w:tcW w:type="dxa" w:w="9020"/>
            <w:gridSpan w:val="4"/>
            <w:tcBorders>
              <w:top w:val="single" w:color="D5D5D5" w:sz="2"/>
              <w:left w:val="single" w:color="D5D5D5" w:sz="2"/>
              <w:bottom w:val="single" w:color="D5D5D5" w:sz="2"/>
              <w:right w:val="single" w:color="D5D5D5" w:sz="2"/>
            </w:tcBorders>
            <w:shd w:fill="F2EFE7" w:color="auto" w:val="clear"/>
            <w:tcMar>
              <w:top w:type="dxa" w:w="60"/>
              <w:left w:type="dxa" w:w="90"/>
              <w:bottom w:type="dxa" w:w="60"/>
              <w:right w:type="dxa" w:w="90"/>
            </w:tcMar>
          </w:tcPr>
          <w:p>
            <w:pPr>
              <w:spacing w:after="20" w:before="20" w:line="240"/>
            </w:pPr>
            <w:r>
              <w:rPr>
                <w:rFonts w:ascii="Arial" w:cs="Arial" w:eastAsia="Arial" w:hAnsi="Arial"/>
                <w:b/>
                <w:bCs/>
                <w:color w:val="14181D"/>
                <w:sz w:val="17"/>
                <w:szCs w:val="17"/>
              </w:rPr>
              <w:t xml:space="preserve">MECHANICAL</w:t>
            </w:r>
          </w:p>
        </w:tc>
      </w:tr>
      <w:tr>
        <w:tc>
          <w:tcPr>
            <w:tcW w:type="dxa" w:w="22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Space heating</w:t>
            </w:r>
          </w:p>
        </w:tc>
        <w:tc>
          <w:tcPr>
            <w:tcW w:type="dxa" w:w="27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Electric panel heater, 1.0 kW, thermostatically controlled, tamper-resistant, set-point limited 16–24 °C</w:t>
            </w:r>
          </w:p>
        </w:tc>
        <w:tc>
          <w:tcPr>
            <w:tcW w:type="dxa" w:w="21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As RT-01, controls at 1000 mm AFFL maximum</w:t>
            </w:r>
          </w:p>
        </w:tc>
        <w:tc>
          <w:tcPr>
            <w:tcW w:type="dxa" w:w="19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As RT-01</w:t>
            </w:r>
          </w:p>
        </w:tc>
      </w:tr>
      <w:tr>
        <w:tc>
          <w:tcPr>
            <w:tcW w:type="dxa" w:w="22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Ventilation — room</w:t>
            </w:r>
          </w:p>
        </w:tc>
        <w:tc>
          <w:tcPr>
            <w:tcW w:type="dxa" w:w="27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Trickle ventilation as scheduled, plus mechanical extract from the ensuite providing whole-room air change</w:t>
            </w:r>
          </w:p>
        </w:tc>
        <w:tc>
          <w:tcPr>
            <w:tcW w:type="dxa" w:w="21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As RT-01</w:t>
            </w:r>
          </w:p>
        </w:tc>
        <w:tc>
          <w:tcPr>
            <w:tcW w:type="dxa" w:w="19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As RT-01</w:t>
            </w:r>
          </w:p>
        </w:tc>
      </w:tr>
      <w:tr>
        <w:tc>
          <w:tcPr>
            <w:tcW w:type="dxa" w:w="22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Ventilation — ensuite extract</w:t>
            </w:r>
          </w:p>
        </w:tc>
        <w:tc>
          <w:tcPr>
            <w:tcW w:type="dxa" w:w="27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15 litres/second minimum, humidity sensing with 15-minute overrun, ducted to outside</w:t>
            </w:r>
          </w:p>
        </w:tc>
        <w:tc>
          <w:tcPr>
            <w:tcW w:type="dxa" w:w="21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As RT-01</w:t>
            </w:r>
          </w:p>
        </w:tc>
        <w:tc>
          <w:tcPr>
            <w:tcW w:type="dxa" w:w="19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As RT-01</w:t>
            </w:r>
          </w:p>
        </w:tc>
      </w:tr>
      <w:tr>
        <w:tc>
          <w:tcPr>
            <w:tcW w:type="dxa" w:w="22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Hot water</w:t>
            </w:r>
          </w:p>
        </w:tc>
        <w:tc>
          <w:tcPr>
            <w:tcW w:type="dxa" w:w="27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From the central system; outlet temperature at basin and shower limited to 41 °C by TMV3 valve</w:t>
            </w:r>
          </w:p>
        </w:tc>
        <w:tc>
          <w:tcPr>
            <w:tcW w:type="dxa" w:w="21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As RT-01</w:t>
            </w:r>
          </w:p>
        </w:tc>
        <w:tc>
          <w:tcPr>
            <w:tcW w:type="dxa" w:w="19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As RT-01</w:t>
            </w:r>
          </w:p>
        </w:tc>
      </w:tr>
      <w:tr>
        <w:tc>
          <w:tcPr>
            <w:tcW w:type="dxa" w:w="22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Cold water</w:t>
            </w:r>
          </w:p>
        </w:tc>
        <w:tc>
          <w:tcPr>
            <w:tcW w:type="dxa" w:w="27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From the central system; no storage within the room</w:t>
            </w:r>
          </w:p>
        </w:tc>
        <w:tc>
          <w:tcPr>
            <w:tcW w:type="dxa" w:w="21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As RT-01</w:t>
            </w:r>
          </w:p>
        </w:tc>
        <w:tc>
          <w:tcPr>
            <w:tcW w:type="dxa" w:w="19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As RT-01</w:t>
            </w:r>
          </w:p>
        </w:tc>
      </w:tr>
      <w:tr>
        <w:tc>
          <w:tcPr>
            <w:tcW w:type="dxa" w:w="22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Pipework insulation</w:t>
            </w:r>
          </w:p>
        </w:tc>
        <w:tc>
          <w:tcPr>
            <w:tcW w:type="dxa" w:w="27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All hot and cold pipework insulated within the room and ensuite</w:t>
            </w:r>
          </w:p>
        </w:tc>
        <w:tc>
          <w:tcPr>
            <w:tcW w:type="dxa" w:w="21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As RT-01</w:t>
            </w:r>
          </w:p>
        </w:tc>
        <w:tc>
          <w:tcPr>
            <w:tcW w:type="dxa" w:w="19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As RT-01</w:t>
            </w:r>
          </w:p>
        </w:tc>
      </w:tr>
      <w:tr>
        <w:tc>
          <w:tcPr>
            <w:tcW w:type="dxa" w:w="9020"/>
            <w:gridSpan w:val="4"/>
            <w:tcBorders>
              <w:top w:val="single" w:color="D5D5D5" w:sz="2"/>
              <w:left w:val="single" w:color="D5D5D5" w:sz="2"/>
              <w:bottom w:val="single" w:color="D5D5D5" w:sz="2"/>
              <w:right w:val="single" w:color="D5D5D5" w:sz="2"/>
            </w:tcBorders>
            <w:shd w:fill="F2EFE7" w:color="auto" w:val="clear"/>
            <w:tcMar>
              <w:top w:type="dxa" w:w="60"/>
              <w:left w:type="dxa" w:w="90"/>
              <w:bottom w:type="dxa" w:w="60"/>
              <w:right w:type="dxa" w:w="90"/>
            </w:tcMar>
          </w:tcPr>
          <w:p>
            <w:pPr>
              <w:spacing w:after="20" w:before="20" w:line="240"/>
            </w:pPr>
            <w:r>
              <w:rPr>
                <w:rFonts w:ascii="Arial" w:cs="Arial" w:eastAsia="Arial" w:hAnsi="Arial"/>
                <w:b/>
                <w:bCs/>
                <w:color w:val="14181D"/>
                <w:sz w:val="17"/>
                <w:szCs w:val="17"/>
              </w:rPr>
              <w:t xml:space="preserve">ELECTRICAL</w:t>
            </w:r>
          </w:p>
        </w:tc>
      </w:tr>
      <w:tr>
        <w:tc>
          <w:tcPr>
            <w:tcW w:type="dxa" w:w="22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Socket outlets</w:t>
            </w:r>
          </w:p>
        </w:tc>
        <w:tc>
          <w:tcPr>
            <w:tcW w:type="dxa" w:w="27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4 no. twin switched 13 A: 2 at desk height, 1 at bedside, 1 at low level; each with integral USB-A and USB-C</w:t>
            </w:r>
          </w:p>
        </w:tc>
        <w:tc>
          <w:tcPr>
            <w:tcW w:type="dxa" w:w="21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As RT-01, all outlets 700–1000 mm AFFL</w:t>
            </w:r>
          </w:p>
        </w:tc>
        <w:tc>
          <w:tcPr>
            <w:tcW w:type="dxa" w:w="19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6 no. twin switched 13 A</w:t>
            </w:r>
          </w:p>
        </w:tc>
      </w:tr>
      <w:tr>
        <w:tc>
          <w:tcPr>
            <w:tcW w:type="dxa" w:w="22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Lighting — room</w:t>
            </w:r>
          </w:p>
        </w:tc>
        <w:tc>
          <w:tcPr>
            <w:tcW w:type="dxa" w:w="27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LED ceiling luminaire, 300 lux at desk, switched at the door and at the bedside</w:t>
            </w:r>
          </w:p>
        </w:tc>
        <w:tc>
          <w:tcPr>
            <w:tcW w:type="dxa" w:w="21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As RT-01, switches 900–1100 mm AFFL</w:t>
            </w:r>
          </w:p>
        </w:tc>
        <w:tc>
          <w:tcPr>
            <w:tcW w:type="dxa" w:w="19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As RT-01</w:t>
            </w:r>
          </w:p>
        </w:tc>
      </w:tr>
      <w:tr>
        <w:tc>
          <w:tcPr>
            <w:tcW w:type="dxa" w:w="22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Lighting — ensuite</w:t>
            </w:r>
          </w:p>
        </w:tc>
        <w:tc>
          <w:tcPr>
            <w:tcW w:type="dxa" w:w="27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LED, IP44, 200 lux, switched with the extract</w:t>
            </w:r>
          </w:p>
        </w:tc>
        <w:tc>
          <w:tcPr>
            <w:tcW w:type="dxa" w:w="21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As RT-01</w:t>
            </w:r>
          </w:p>
        </w:tc>
        <w:tc>
          <w:tcPr>
            <w:tcW w:type="dxa" w:w="19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As RT-01</w:t>
            </w:r>
          </w:p>
        </w:tc>
      </w:tr>
      <w:tr>
        <w:tc>
          <w:tcPr>
            <w:tcW w:type="dxa" w:w="22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Reading light</w:t>
            </w:r>
          </w:p>
        </w:tc>
        <w:tc>
          <w:tcPr>
            <w:tcW w:type="dxa" w:w="27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LED over the bed head, independently switched</w:t>
            </w:r>
          </w:p>
        </w:tc>
        <w:tc>
          <w:tcPr>
            <w:tcW w:type="dxa" w:w="21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As RT-01</w:t>
            </w:r>
          </w:p>
        </w:tc>
        <w:tc>
          <w:tcPr>
            <w:tcW w:type="dxa" w:w="19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As RT-01</w:t>
            </w:r>
          </w:p>
        </w:tc>
      </w:tr>
      <w:tr>
        <w:tc>
          <w:tcPr>
            <w:tcW w:type="dxa" w:w="22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Data</w:t>
            </w:r>
          </w:p>
        </w:tc>
        <w:tc>
          <w:tcPr>
            <w:tcW w:type="dxa" w:w="27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1 no. RJ45 Cat 6 outlet at desk position, terminated and tested</w:t>
            </w:r>
          </w:p>
        </w:tc>
        <w:tc>
          <w:tcPr>
            <w:tcW w:type="dxa" w:w="21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As RT-01</w:t>
            </w:r>
          </w:p>
        </w:tc>
        <w:tc>
          <w:tcPr>
            <w:tcW w:type="dxa" w:w="19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2 no. RJ45 Cat 6</w:t>
            </w:r>
          </w:p>
        </w:tc>
      </w:tr>
      <w:tr>
        <w:tc>
          <w:tcPr>
            <w:tcW w:type="dxa" w:w="22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Wireless</w:t>
            </w:r>
          </w:p>
        </w:tc>
        <w:tc>
          <w:tcPr>
            <w:tcW w:type="dxa" w:w="27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Room to be covered by the village wireless network; access points supplied under this package and commissioned to the coverage requirement at 7.4</w:t>
            </w:r>
          </w:p>
        </w:tc>
        <w:tc>
          <w:tcPr>
            <w:tcW w:type="dxa" w:w="21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As RT-01</w:t>
            </w:r>
          </w:p>
        </w:tc>
        <w:tc>
          <w:tcPr>
            <w:tcW w:type="dxa" w:w="19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As RT-01</w:t>
            </w:r>
          </w:p>
        </w:tc>
      </w:tr>
      <w:tr>
        <w:tc>
          <w:tcPr>
            <w:tcW w:type="dxa" w:w="22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Television</w:t>
            </w:r>
          </w:p>
        </w:tc>
        <w:tc>
          <w:tcPr>
            <w:tcW w:type="dxa" w:w="27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1 no. coaxial outlet at desk position</w:t>
            </w:r>
          </w:p>
        </w:tc>
        <w:tc>
          <w:tcPr>
            <w:tcW w:type="dxa" w:w="21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As RT-01</w:t>
            </w:r>
          </w:p>
        </w:tc>
        <w:tc>
          <w:tcPr>
            <w:tcW w:type="dxa" w:w="19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As RT-01</w:t>
            </w:r>
          </w:p>
        </w:tc>
      </w:tr>
      <w:tr>
        <w:tc>
          <w:tcPr>
            <w:tcW w:type="dxa" w:w="22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Shaver socket</w:t>
            </w:r>
          </w:p>
        </w:tc>
        <w:tc>
          <w:tcPr>
            <w:tcW w:type="dxa" w:w="27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1 no. in the ensuite, IP-rated, isolating transformer</w:t>
            </w:r>
          </w:p>
        </w:tc>
        <w:tc>
          <w:tcPr>
            <w:tcW w:type="dxa" w:w="21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As RT-01</w:t>
            </w:r>
          </w:p>
        </w:tc>
        <w:tc>
          <w:tcPr>
            <w:tcW w:type="dxa" w:w="19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As RT-01</w:t>
            </w:r>
          </w:p>
        </w:tc>
      </w:tr>
      <w:tr>
        <w:tc>
          <w:tcPr>
            <w:tcW w:type="dxa" w:w="22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Smoke detection</w:t>
            </w:r>
          </w:p>
        </w:tc>
        <w:tc>
          <w:tcPr>
            <w:tcW w:type="dxa" w:w="27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Optical detector to the room, addressable, connected to the village fire alarm system</w:t>
            </w:r>
          </w:p>
        </w:tc>
        <w:tc>
          <w:tcPr>
            <w:tcW w:type="dxa" w:w="21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As RT-01 plus a visual alarm device</w:t>
            </w:r>
          </w:p>
        </w:tc>
        <w:tc>
          <w:tcPr>
            <w:tcW w:type="dxa" w:w="19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As RT-01</w:t>
            </w:r>
          </w:p>
        </w:tc>
      </w:tr>
      <w:tr>
        <w:tc>
          <w:tcPr>
            <w:tcW w:type="dxa" w:w="22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Emergency lighting</w:t>
            </w:r>
          </w:p>
        </w:tc>
        <w:tc>
          <w:tcPr>
            <w:tcW w:type="dxa" w:w="27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Maintained emergency luminaire to the corridor side of the door; escape route lighting to 8.2</w:t>
            </w:r>
          </w:p>
        </w:tc>
        <w:tc>
          <w:tcPr>
            <w:tcW w:type="dxa" w:w="21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As RT-01</w:t>
            </w:r>
          </w:p>
        </w:tc>
        <w:tc>
          <w:tcPr>
            <w:tcW w:type="dxa" w:w="19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As RT-01</w:t>
            </w:r>
          </w:p>
        </w:tc>
      </w:tr>
      <w:tr>
        <w:tc>
          <w:tcPr>
            <w:tcW w:type="dxa" w:w="9020"/>
            <w:gridSpan w:val="4"/>
            <w:tcBorders>
              <w:top w:val="single" w:color="D5D5D5" w:sz="2"/>
              <w:left w:val="single" w:color="D5D5D5" w:sz="2"/>
              <w:bottom w:val="single" w:color="D5D5D5" w:sz="2"/>
              <w:right w:val="single" w:color="D5D5D5" w:sz="2"/>
            </w:tcBorders>
            <w:shd w:fill="F2EFE7" w:color="auto" w:val="clear"/>
            <w:tcMar>
              <w:top w:type="dxa" w:w="60"/>
              <w:left w:type="dxa" w:w="90"/>
              <w:bottom w:type="dxa" w:w="60"/>
              <w:right w:type="dxa" w:w="90"/>
            </w:tcMar>
          </w:tcPr>
          <w:p>
            <w:pPr>
              <w:spacing w:after="20" w:before="20" w:line="240"/>
            </w:pPr>
            <w:r>
              <w:rPr>
                <w:rFonts w:ascii="Arial" w:cs="Arial" w:eastAsia="Arial" w:hAnsi="Arial"/>
                <w:b/>
                <w:bCs/>
                <w:color w:val="14181D"/>
                <w:sz w:val="17"/>
                <w:szCs w:val="17"/>
              </w:rPr>
              <w:t xml:space="preserve">PERFORMANCE</w:t>
            </w:r>
          </w:p>
        </w:tc>
      </w:tr>
      <w:tr>
        <w:tc>
          <w:tcPr>
            <w:tcW w:type="dxa" w:w="22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Airborne sound — between bedrooms</w:t>
            </w:r>
          </w:p>
        </w:tc>
        <w:tc>
          <w:tcPr>
            <w:tcW w:type="dxa" w:w="27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DnT,w + Ctr 45 dB minimum, verified by pre-completion testing on the sample described at 9.3</w:t>
            </w:r>
          </w:p>
        </w:tc>
        <w:tc>
          <w:tcPr>
            <w:tcW w:type="dxa" w:w="21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As RT-01</w:t>
            </w:r>
          </w:p>
        </w:tc>
        <w:tc>
          <w:tcPr>
            <w:tcW w:type="dxa" w:w="19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As RT-01</w:t>
            </w:r>
          </w:p>
        </w:tc>
      </w:tr>
      <w:tr>
        <w:tc>
          <w:tcPr>
            <w:tcW w:type="dxa" w:w="22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Airborne sound — bedroom to corridor</w:t>
            </w:r>
          </w:p>
        </w:tc>
        <w:tc>
          <w:tcPr>
            <w:tcW w:type="dxa" w:w="27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DnT,w + Ctr 40 dB minimum, including the door</w:t>
            </w:r>
          </w:p>
        </w:tc>
        <w:tc>
          <w:tcPr>
            <w:tcW w:type="dxa" w:w="21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As RT-01</w:t>
            </w:r>
          </w:p>
        </w:tc>
        <w:tc>
          <w:tcPr>
            <w:tcW w:type="dxa" w:w="19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As RT-01</w:t>
            </w:r>
          </w:p>
        </w:tc>
      </w:tr>
      <w:tr>
        <w:tc>
          <w:tcPr>
            <w:tcW w:type="dxa" w:w="22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Impact sound — floor above</w:t>
            </w:r>
          </w:p>
        </w:tc>
        <w:tc>
          <w:tcPr>
            <w:tcW w:type="dxa" w:w="27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L'nT,w 62 dB maximum</w:t>
            </w:r>
          </w:p>
        </w:tc>
        <w:tc>
          <w:tcPr>
            <w:tcW w:type="dxa" w:w="21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As RT-01</w:t>
            </w:r>
          </w:p>
        </w:tc>
        <w:tc>
          <w:tcPr>
            <w:tcW w:type="dxa" w:w="19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As RT-01</w:t>
            </w:r>
          </w:p>
        </w:tc>
      </w:tr>
      <w:tr>
        <w:tc>
          <w:tcPr>
            <w:tcW w:type="dxa" w:w="22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Fire — separating construction</w:t>
            </w:r>
          </w:p>
        </w:tc>
        <w:tc>
          <w:tcPr>
            <w:tcW w:type="dxa" w:w="27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60 minutes integrity and insulation between rooms and to the corridor</w:t>
            </w:r>
          </w:p>
        </w:tc>
        <w:tc>
          <w:tcPr>
            <w:tcW w:type="dxa" w:w="21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As RT-01</w:t>
            </w:r>
          </w:p>
        </w:tc>
        <w:tc>
          <w:tcPr>
            <w:tcW w:type="dxa" w:w="19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As RT-01</w:t>
            </w:r>
          </w:p>
        </w:tc>
      </w:tr>
      <w:tr>
        <w:tc>
          <w:tcPr>
            <w:tcW w:type="dxa" w:w="22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Thermal — external wall</w:t>
            </w:r>
          </w:p>
        </w:tc>
        <w:tc>
          <w:tcPr>
            <w:tcW w:type="dxa" w:w="27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U-value 0.22 W/m²K maximum</w:t>
            </w:r>
          </w:p>
        </w:tc>
        <w:tc>
          <w:tcPr>
            <w:tcW w:type="dxa" w:w="21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As RT-01</w:t>
            </w:r>
          </w:p>
        </w:tc>
        <w:tc>
          <w:tcPr>
            <w:tcW w:type="dxa" w:w="19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As RT-01</w:t>
            </w:r>
          </w:p>
        </w:tc>
      </w:tr>
      <w:tr>
        <w:tc>
          <w:tcPr>
            <w:tcW w:type="dxa" w:w="22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Thermal — roof</w:t>
            </w:r>
          </w:p>
        </w:tc>
        <w:tc>
          <w:tcPr>
            <w:tcW w:type="dxa" w:w="27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U-value 0.16 W/m²K maximum</w:t>
            </w:r>
          </w:p>
        </w:tc>
        <w:tc>
          <w:tcPr>
            <w:tcW w:type="dxa" w:w="21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As RT-01</w:t>
            </w:r>
          </w:p>
        </w:tc>
        <w:tc>
          <w:tcPr>
            <w:tcW w:type="dxa" w:w="19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As RT-01</w:t>
            </w:r>
          </w:p>
        </w:tc>
      </w:tr>
      <w:tr>
        <w:tc>
          <w:tcPr>
            <w:tcW w:type="dxa" w:w="22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Thermal — glazing</w:t>
            </w:r>
          </w:p>
        </w:tc>
        <w:tc>
          <w:tcPr>
            <w:tcW w:type="dxa" w:w="27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U-value 1.4 W/m²K maximum, whole window</w:t>
            </w:r>
          </w:p>
        </w:tc>
        <w:tc>
          <w:tcPr>
            <w:tcW w:type="dxa" w:w="21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As RT-01</w:t>
            </w:r>
          </w:p>
        </w:tc>
        <w:tc>
          <w:tcPr>
            <w:tcW w:type="dxa" w:w="19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As RT-01</w:t>
            </w:r>
          </w:p>
        </w:tc>
      </w:tr>
      <w:tr>
        <w:tc>
          <w:tcPr>
            <w:tcW w:type="dxa" w:w="22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Air permeability</w:t>
            </w:r>
          </w:p>
        </w:tc>
        <w:tc>
          <w:tcPr>
            <w:tcW w:type="dxa" w:w="27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5.0 m³/(h·m²) at 50 Pa maximum, tested per 9.4</w:t>
            </w:r>
          </w:p>
        </w:tc>
        <w:tc>
          <w:tcPr>
            <w:tcW w:type="dxa" w:w="21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As RT-01</w:t>
            </w:r>
          </w:p>
        </w:tc>
        <w:tc>
          <w:tcPr>
            <w:tcW w:type="dxa" w:w="19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As RT-01</w:t>
            </w:r>
          </w:p>
        </w:tc>
      </w:tr>
      <w:tr>
        <w:tc>
          <w:tcPr>
            <w:tcW w:type="dxa" w:w="22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Overheating</w:t>
            </w:r>
          </w:p>
        </w:tc>
        <w:tc>
          <w:tcPr>
            <w:tcW w:type="dxa" w:w="27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Demonstrated compliance with the overheating criterion in the client's brief at Appendix 9, using the CIBSE TM59 methodology</w:t>
            </w:r>
          </w:p>
        </w:tc>
        <w:tc>
          <w:tcPr>
            <w:tcW w:type="dxa" w:w="21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As RT-01</w:t>
            </w:r>
          </w:p>
        </w:tc>
        <w:tc>
          <w:tcPr>
            <w:tcW w:type="dxa" w:w="19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As RT-01</w:t>
            </w:r>
          </w:p>
        </w:tc>
      </w:tr>
    </w:tbl>
    <w:p>
      <w:r>
        <w:br w:type="page"/>
      </w:r>
    </w:p>
    <w:p>
      <w:pPr>
        <w:pStyle w:val="Heading1"/>
        <w:spacing w:after="140" w:before="360"/>
      </w:pPr>
      <w:r>
        <w:rPr>
          <w:rFonts w:ascii="Arial" w:cs="Arial" w:eastAsia="Arial" w:hAnsi="Arial"/>
          <w:b/>
          <w:bCs/>
          <w:color w:val="14181D"/>
          <w:sz w:val="28"/>
          <w:szCs w:val="28"/>
        </w:rPr>
        <w:t xml:space="preserve">4  Technical specification, by element</w:t>
      </w:r>
    </w:p>
    <w:p>
      <w:pPr>
        <w:pStyle w:val="Heading2"/>
        <w:spacing w:after="100" w:before="240"/>
      </w:pPr>
      <w:r>
        <w:rPr>
          <w:rFonts w:ascii="Arial" w:cs="Arial" w:eastAsia="Arial" w:hAnsi="Arial"/>
          <w:b/>
          <w:bCs/>
          <w:color w:val="9C7A3C"/>
          <w:sz w:val="22"/>
          <w:szCs w:val="22"/>
        </w:rPr>
        <w:t xml:space="preserve">4.1  Interface with substructure</w:t>
      </w:r>
    </w:p>
    <w:p>
      <w:pPr>
        <w:spacing w:after="60" w:before="60" w:line="260"/>
      </w:pPr>
      <w:r>
        <w:rPr>
          <w:rFonts w:ascii="Arial" w:cs="Arial" w:eastAsia="Arial" w:hAnsi="Arial"/>
          <w:color w:val="14181D"/>
          <w:sz w:val="19"/>
          <w:szCs w:val="19"/>
        </w:rPr>
        <w:t xml:space="preserve">Modules are set on bases constructed under P1 Civil Works. The tenderer shall issue setting-out drawings and a base tolerance specification not later than eight weeks before the first delivery. Level tolerance across any single base: ±5 mm. Plan position tolerance: ±10 mm. Relative level between adjacent bases supporting one module: ±3 mm. The tenderer shall inspect and accept the bases in writing before delivery; delivery to unaccepted bases is at the tenderer's risk.</w:t>
      </w:r>
    </w:p>
    <w:p>
      <w:pPr>
        <w:pStyle w:val="Heading2"/>
        <w:spacing w:after="100" w:before="240"/>
      </w:pPr>
      <w:r>
        <w:rPr>
          <w:rFonts w:ascii="Arial" w:cs="Arial" w:eastAsia="Arial" w:hAnsi="Arial"/>
          <w:b/>
          <w:bCs/>
          <w:color w:val="9C7A3C"/>
          <w:sz w:val="22"/>
          <w:szCs w:val="22"/>
        </w:rPr>
        <w:t xml:space="preserve">4.2  Module frame and structure</w:t>
      </w:r>
    </w:p>
    <w:p>
      <w:pPr>
        <w:spacing w:after="60" w:before="60" w:line="260"/>
      </w:pPr>
      <w:r>
        <w:rPr>
          <w:rFonts w:ascii="Arial" w:cs="Arial" w:eastAsia="Arial" w:hAnsi="Arial"/>
          <w:color w:val="14181D"/>
          <w:sz w:val="19"/>
          <w:szCs w:val="19"/>
        </w:rPr>
        <w:t xml:space="preserve">Steel or timber framed volumetric modules, designed to BS EN 1990 and the relevant material Eurocode, for the loadings at Appendix 8. Design working life 25 years minimum notwithstanding the intended 38-month deployment, to permit relocation. All lifting points designed, certified and clearly marked; a lifting plan issued with each delivery.</w:t>
      </w:r>
    </w:p>
    <w:p>
      <w:pPr>
        <w:pStyle w:val="Heading2"/>
        <w:spacing w:after="100" w:before="240"/>
      </w:pPr>
      <w:r>
        <w:rPr>
          <w:rFonts w:ascii="Arial" w:cs="Arial" w:eastAsia="Arial" w:hAnsi="Arial"/>
          <w:b/>
          <w:bCs/>
          <w:color w:val="9C7A3C"/>
          <w:sz w:val="22"/>
          <w:szCs w:val="22"/>
        </w:rPr>
        <w:t xml:space="preserve">4.3  External walls</w:t>
      </w:r>
    </w:p>
    <w:p>
      <w:pPr>
        <w:spacing w:after="60" w:before="60" w:line="260"/>
      </w:pPr>
      <w:r>
        <w:rPr>
          <w:rFonts w:ascii="Arial" w:cs="Arial" w:eastAsia="Arial" w:hAnsi="Arial"/>
          <w:color w:val="14181D"/>
          <w:sz w:val="19"/>
          <w:szCs w:val="19"/>
        </w:rPr>
        <w:t xml:space="preserve">Composite panel or framed construction achieving the U-value at 6.1. External finish: factory-applied coated steel or fibre cement, colour from the approved range at Appendix 5. Impact resistance to withstand normal site traffic adjacent to haul routes. All penetrations sealed and weathered; no site-applied sealant relied upon as the primary weather line.</w:t>
      </w:r>
    </w:p>
    <w:p>
      <w:pPr>
        <w:pStyle w:val="Heading2"/>
        <w:spacing w:after="100" w:before="240"/>
      </w:pPr>
      <w:r>
        <w:rPr>
          <w:rFonts w:ascii="Arial" w:cs="Arial" w:eastAsia="Arial" w:hAnsi="Arial"/>
          <w:b/>
          <w:bCs/>
          <w:color w:val="9C7A3C"/>
          <w:sz w:val="22"/>
          <w:szCs w:val="22"/>
        </w:rPr>
        <w:t xml:space="preserve">4.4  Roof</w:t>
      </w:r>
    </w:p>
    <w:p>
      <w:pPr>
        <w:spacing w:after="60" w:before="60" w:line="260"/>
      </w:pPr>
      <w:r>
        <w:rPr>
          <w:rFonts w:ascii="Arial" w:cs="Arial" w:eastAsia="Arial" w:hAnsi="Arial"/>
          <w:color w:val="14181D"/>
          <w:sz w:val="19"/>
          <w:szCs w:val="19"/>
        </w:rPr>
        <w:t xml:space="preserve">Pitched or flat to falls not less than 1:80 after deflection. Single-ply membrane or profiled sheet, with a 20-year manufacturer's material warranty assigned to the client at handover. Rainwater goods sized to BS EN 12056-3 for the design rainfall at Appendix 8, discharging to the drainage provided under P1 at the termination points scheduled at 5.2.</w:t>
      </w:r>
    </w:p>
    <w:p>
      <w:pPr>
        <w:pStyle w:val="Heading2"/>
        <w:spacing w:after="100" w:before="240"/>
      </w:pPr>
      <w:r>
        <w:rPr>
          <w:rFonts w:ascii="Arial" w:cs="Arial" w:eastAsia="Arial" w:hAnsi="Arial"/>
          <w:b/>
          <w:bCs/>
          <w:color w:val="9C7A3C"/>
          <w:sz w:val="22"/>
          <w:szCs w:val="22"/>
        </w:rPr>
        <w:t xml:space="preserve">4.5  Windows and external doors</w:t>
      </w:r>
    </w:p>
    <w:p>
      <w:pPr>
        <w:spacing w:after="60" w:before="60" w:line="260"/>
      </w:pPr>
      <w:r>
        <w:rPr>
          <w:rFonts w:ascii="Arial" w:cs="Arial" w:eastAsia="Arial" w:hAnsi="Arial"/>
          <w:color w:val="14181D"/>
          <w:sz w:val="19"/>
          <w:szCs w:val="19"/>
        </w:rPr>
        <w:t xml:space="preserve">As the room data sheets. All external doors: 44 mm, weather-sealed, with a threshold not exceeding 15 mm. Escape doors to open in the direction of escape and be openable without a key from the inside at all times, in accordance with the fire strategy issued by the client's fire engineer at Appendix 2.</w:t>
      </w:r>
    </w:p>
    <w:p>
      <w:pPr>
        <w:pStyle w:val="Heading2"/>
        <w:spacing w:after="100" w:before="240"/>
      </w:pPr>
      <w:r>
        <w:rPr>
          <w:rFonts w:ascii="Arial" w:cs="Arial" w:eastAsia="Arial" w:hAnsi="Arial"/>
          <w:b/>
          <w:bCs/>
          <w:color w:val="9C7A3C"/>
          <w:sz w:val="22"/>
          <w:szCs w:val="22"/>
        </w:rPr>
        <w:t xml:space="preserve">4.6  Internal walls and partitions</w:t>
      </w:r>
    </w:p>
    <w:p>
      <w:pPr>
        <w:spacing w:after="60" w:before="60" w:line="260"/>
      </w:pPr>
      <w:r>
        <w:rPr>
          <w:rFonts w:ascii="Arial" w:cs="Arial" w:eastAsia="Arial" w:hAnsi="Arial"/>
          <w:color w:val="14181D"/>
          <w:sz w:val="19"/>
          <w:szCs w:val="19"/>
        </w:rPr>
        <w:t xml:space="preserve">Full height to the underside of the floor above, achieving the acoustic and fire performance scheduled at 6.2 and 6.3. No service penetration shall reduce the rated performance; all penetrations firestopped by a competent installer and recorded in the firestopping register required at 10.4.</w:t>
      </w:r>
    </w:p>
    <w:p>
      <w:pPr>
        <w:pStyle w:val="Heading2"/>
        <w:spacing w:after="100" w:before="240"/>
      </w:pPr>
      <w:r>
        <w:rPr>
          <w:rFonts w:ascii="Arial" w:cs="Arial" w:eastAsia="Arial" w:hAnsi="Arial"/>
          <w:b/>
          <w:bCs/>
          <w:color w:val="9C7A3C"/>
          <w:sz w:val="22"/>
          <w:szCs w:val="22"/>
        </w:rPr>
        <w:t xml:space="preserve">4.7  Corridors and circulation</w:t>
      </w:r>
    </w:p>
    <w:p>
      <w:pPr>
        <w:spacing w:after="60" w:before="60" w:line="260"/>
      </w:pPr>
      <w:r>
        <w:rPr>
          <w:rFonts w:ascii="Arial" w:cs="Arial" w:eastAsia="Arial" w:hAnsi="Arial"/>
          <w:color w:val="14181D"/>
          <w:sz w:val="19"/>
          <w:szCs w:val="19"/>
        </w:rPr>
        <w:t xml:space="preserve">Minimum clear corridor width 1200 mm, and 1500 mm where required by the fire strategy or by BS 8300 for accessible routes. Wall protection to 1200 mm AFFL throughout, and corner protection at every change of direction. Floor finish continuous, slip resistance PTV ≥ 36 wet and dry.</w:t>
      </w:r>
    </w:p>
    <w:p>
      <w:pPr>
        <w:pStyle w:val="Heading2"/>
        <w:spacing w:after="100" w:before="240"/>
      </w:pPr>
      <w:r>
        <w:rPr>
          <w:rFonts w:ascii="Arial" w:cs="Arial" w:eastAsia="Arial" w:hAnsi="Arial"/>
          <w:b/>
          <w:bCs/>
          <w:color w:val="9C7A3C"/>
          <w:sz w:val="22"/>
          <w:szCs w:val="22"/>
        </w:rPr>
        <w:t xml:space="preserve">4.8  Stairs</w:t>
      </w:r>
    </w:p>
    <w:p>
      <w:pPr>
        <w:spacing w:after="60" w:before="60" w:line="260"/>
      </w:pPr>
      <w:r>
        <w:rPr>
          <w:rFonts w:ascii="Arial" w:cs="Arial" w:eastAsia="Arial" w:hAnsi="Arial"/>
          <w:color w:val="14181D"/>
          <w:sz w:val="19"/>
          <w:szCs w:val="19"/>
        </w:rPr>
        <w:t xml:space="preserve">Where blocks are two storey: stairs to the fire strategy, minimum 1200 mm clear width between handrails, handrails both sides at 900–1000 mm, tactile and visual contrast to nosings. External stairs to have a slip resistance maintained when wet and a means of preventing ice accretion or a stated winter maintenance regime.</w:t>
      </w:r>
    </w:p>
    <w:p>
      <w:pPr>
        <w:pStyle w:val="Heading2"/>
        <w:spacing w:after="100" w:before="240"/>
      </w:pPr>
      <w:r>
        <w:rPr>
          <w:rFonts w:ascii="Arial" w:cs="Arial" w:eastAsia="Arial" w:hAnsi="Arial"/>
          <w:b/>
          <w:bCs/>
          <w:color w:val="9C7A3C"/>
          <w:sz w:val="22"/>
          <w:szCs w:val="22"/>
        </w:rPr>
        <w:t xml:space="preserve">4.9  Internal finishes</w:t>
      </w:r>
    </w:p>
    <w:p>
      <w:pPr>
        <w:spacing w:after="60" w:before="60" w:line="260"/>
      </w:pPr>
      <w:r>
        <w:rPr>
          <w:rFonts w:ascii="Arial" w:cs="Arial" w:eastAsia="Arial" w:hAnsi="Arial"/>
          <w:color w:val="14181D"/>
          <w:sz w:val="19"/>
          <w:szCs w:val="19"/>
        </w:rPr>
        <w:t xml:space="preserve">As the room data sheets for rooms and ensuites. Circulation and amenity areas: wall finishes wipe-clean to 1200 mm minimum; floors slip resistant and welded. No carpet in any circulation or amenity space. All finishes to be maintainable with standard commercial cleaning products, and a schedule of approved products issued in the O&amp;M manual.</w:t>
      </w:r>
    </w:p>
    <w:p>
      <w:pPr>
        <w:pStyle w:val="Heading2"/>
        <w:spacing w:after="100" w:before="240"/>
      </w:pPr>
      <w:r>
        <w:rPr>
          <w:rFonts w:ascii="Arial" w:cs="Arial" w:eastAsia="Arial" w:hAnsi="Arial"/>
          <w:b/>
          <w:bCs/>
          <w:color w:val="9C7A3C"/>
          <w:sz w:val="22"/>
          <w:szCs w:val="22"/>
        </w:rPr>
        <w:t xml:space="preserve">4.10  Mechanical services — heating</w:t>
      </w:r>
    </w:p>
    <w:p>
      <w:pPr>
        <w:spacing w:after="60" w:before="60" w:line="260"/>
      </w:pPr>
      <w:r>
        <w:rPr>
          <w:rFonts w:ascii="Arial" w:cs="Arial" w:eastAsia="Arial" w:hAnsi="Arial"/>
          <w:color w:val="14181D"/>
          <w:sz w:val="19"/>
          <w:szCs w:val="19"/>
        </w:rPr>
        <w:t xml:space="preserve">Electric panel heating as scheduled, or an alternative proposed by the tenderer and priced separately as a departure. Central plant, where offered, to be located, acoustically treated and access-provisioned to 4.14. Controls to prevent a room being heated with the window open shall be offered as a priced option.</w:t>
      </w:r>
    </w:p>
    <w:p>
      <w:pPr>
        <w:pStyle w:val="Heading2"/>
        <w:spacing w:after="100" w:before="240"/>
      </w:pPr>
      <w:r>
        <w:rPr>
          <w:rFonts w:ascii="Arial" w:cs="Arial" w:eastAsia="Arial" w:hAnsi="Arial"/>
          <w:b/>
          <w:bCs/>
          <w:color w:val="9C7A3C"/>
          <w:sz w:val="22"/>
          <w:szCs w:val="22"/>
        </w:rPr>
        <w:t xml:space="preserve">4.11  Mechanical services — water</w:t>
      </w:r>
    </w:p>
    <w:p>
      <w:pPr>
        <w:spacing w:after="60" w:before="60" w:line="260"/>
      </w:pPr>
      <w:r>
        <w:rPr>
          <w:rFonts w:ascii="Arial" w:cs="Arial" w:eastAsia="Arial" w:hAnsi="Arial"/>
          <w:color w:val="14181D"/>
          <w:sz w:val="19"/>
          <w:szCs w:val="19"/>
        </w:rPr>
        <w:t xml:space="preserve">Hot and cold water distribution from the central plant provided under this package. Design to CIBSE Guide G and the Water Supply (Water Fittings) Regulations. Dead legs minimised and recorded; every dead leg exceeding 3 pipe diameters to be scheduled in the O&amp;M. Hot water stored at 60 °C minimum and distributed at 50 °C minimum at every outlet within one minute, with outlet temperature limited to 41 °C by TMV3 valves at every basin and shower.</w:t>
      </w:r>
    </w:p>
    <w:p>
      <w:pPr>
        <w:pStyle w:val="Heading2"/>
        <w:spacing w:after="100" w:before="240"/>
      </w:pPr>
      <w:r>
        <w:rPr>
          <w:rFonts w:ascii="Arial" w:cs="Arial" w:eastAsia="Arial" w:hAnsi="Arial"/>
          <w:b/>
          <w:bCs/>
          <w:color w:val="9C7A3C"/>
          <w:sz w:val="22"/>
          <w:szCs w:val="22"/>
        </w:rPr>
        <w:t xml:space="preserve">4.12  Mechanical services — legionella</w:t>
      </w:r>
    </w:p>
    <w:p>
      <w:pPr>
        <w:spacing w:after="60" w:before="60" w:line="260"/>
      </w:pPr>
      <w:r>
        <w:rPr>
          <w:rFonts w:ascii="Arial" w:cs="Arial" w:eastAsia="Arial" w:hAnsi="Arial"/>
          <w:color w:val="14181D"/>
          <w:sz w:val="19"/>
          <w:szCs w:val="19"/>
        </w:rPr>
        <w:t xml:space="preserve">The tenderer shall prepare and hand over a written scheme of control to HSG274 Part 2 and ACOP L8. THE DUTY PASSES AT FIRST FILL, NOT AT FIRST OCCUPATION. Where the system is filled and then stands at low or nil occupancy before handover, the tenderer shall operate and record a flushing regime, and shall hand over the log with the O&amp;M manual. This is scheduled as interface IF-10 and is not a matter the tenderer may leave to the operator.</w:t>
      </w:r>
    </w:p>
    <w:p>
      <w:pPr>
        <w:pStyle w:val="Heading2"/>
        <w:spacing w:after="100" w:before="240"/>
      </w:pPr>
      <w:r>
        <w:rPr>
          <w:rFonts w:ascii="Arial" w:cs="Arial" w:eastAsia="Arial" w:hAnsi="Arial"/>
          <w:b/>
          <w:bCs/>
          <w:color w:val="9C7A3C"/>
          <w:sz w:val="22"/>
          <w:szCs w:val="22"/>
        </w:rPr>
        <w:t xml:space="preserve">4.13  Electrical services</w:t>
      </w:r>
    </w:p>
    <w:p>
      <w:pPr>
        <w:spacing w:after="60" w:before="60" w:line="260"/>
      </w:pPr>
      <w:r>
        <w:rPr>
          <w:rFonts w:ascii="Arial" w:cs="Arial" w:eastAsia="Arial" w:hAnsi="Arial"/>
          <w:color w:val="14181D"/>
          <w:sz w:val="19"/>
          <w:szCs w:val="19"/>
        </w:rPr>
        <w:t xml:space="preserve">Installation to BS 7671 as amended. Distribution boards accessible from circulation, not from bedrooms. Separate final circuits for lighting and power to each floor of each block. RCBO protection to every final circuit. Full test results, certificates and an as-installed schedule to be issued at handover; a certificate covering 'all circuits' without individual results will be rejected.</w:t>
      </w:r>
    </w:p>
    <w:p>
      <w:pPr>
        <w:pStyle w:val="Heading2"/>
        <w:spacing w:after="100" w:before="240"/>
      </w:pPr>
      <w:r>
        <w:rPr>
          <w:rFonts w:ascii="Arial" w:cs="Arial" w:eastAsia="Arial" w:hAnsi="Arial"/>
          <w:b/>
          <w:bCs/>
          <w:color w:val="9C7A3C"/>
          <w:sz w:val="22"/>
          <w:szCs w:val="22"/>
        </w:rPr>
        <w:t xml:space="preserve">4.14  Plant and access</w:t>
      </w:r>
    </w:p>
    <w:p>
      <w:pPr>
        <w:spacing w:after="60" w:before="60" w:line="260"/>
      </w:pPr>
      <w:r>
        <w:rPr>
          <w:rFonts w:ascii="Arial" w:cs="Arial" w:eastAsia="Arial" w:hAnsi="Arial"/>
          <w:color w:val="14181D"/>
          <w:sz w:val="19"/>
          <w:szCs w:val="19"/>
        </w:rPr>
        <w:t xml:space="preserve">All plant requiring inspection, servicing or replacement shall be accessible without entering a bedroom and without removing permanent construction. Safe access provided for work at height. A maintenance access strategy drawing shall be submitted with the tender.</w:t>
      </w:r>
    </w:p>
    <w:p>
      <w:pPr>
        <w:pStyle w:val="Heading2"/>
        <w:spacing w:after="100" w:before="240"/>
      </w:pPr>
      <w:r>
        <w:rPr>
          <w:rFonts w:ascii="Arial" w:cs="Arial" w:eastAsia="Arial" w:hAnsi="Arial"/>
          <w:b/>
          <w:bCs/>
          <w:color w:val="9C7A3C"/>
          <w:sz w:val="22"/>
          <w:szCs w:val="22"/>
        </w:rPr>
        <w:t xml:space="preserve">4.15  Fire detection and alarm</w:t>
      </w:r>
    </w:p>
    <w:p>
      <w:pPr>
        <w:spacing w:after="60" w:before="60" w:line="260"/>
      </w:pPr>
      <w:r>
        <w:rPr>
          <w:rFonts w:ascii="Arial" w:cs="Arial" w:eastAsia="Arial" w:hAnsi="Arial"/>
          <w:color w:val="14181D"/>
          <w:sz w:val="19"/>
          <w:szCs w:val="19"/>
        </w:rPr>
        <w:t xml:space="preserve">Category L1 system to BS 5839-1 unless the fire strategy at Appendix 2 requires otherwise. Addressable, with a repeat panel at reception and a mimic to the village management system. Zoning to the fire strategy. Cause and effect matrix submitted for approval before installation and demonstrated at commissioning.</w:t>
      </w:r>
    </w:p>
    <w:p>
      <w:pPr>
        <w:pStyle w:val="Heading2"/>
        <w:spacing w:after="100" w:before="240"/>
      </w:pPr>
      <w:r>
        <w:rPr>
          <w:rFonts w:ascii="Arial" w:cs="Arial" w:eastAsia="Arial" w:hAnsi="Arial"/>
          <w:b/>
          <w:bCs/>
          <w:color w:val="9C7A3C"/>
          <w:sz w:val="22"/>
          <w:szCs w:val="22"/>
        </w:rPr>
        <w:t xml:space="preserve">4.16  Emergency lighting</w:t>
      </w:r>
    </w:p>
    <w:p>
      <w:pPr>
        <w:spacing w:after="60" w:before="60" w:line="260"/>
      </w:pPr>
      <w:r>
        <w:rPr>
          <w:rFonts w:ascii="Arial" w:cs="Arial" w:eastAsia="Arial" w:hAnsi="Arial"/>
          <w:color w:val="14181D"/>
          <w:sz w:val="19"/>
          <w:szCs w:val="19"/>
        </w:rPr>
        <w:t xml:space="preserve">To BS 5266-1, three-hour duration, self-testing where offered. Escape route illumination to 1 lux minimum on the centre line, open areas 0.5 lux. Full photometric calculation submitted for approval.</w:t>
      </w:r>
    </w:p>
    <w:p>
      <w:pPr>
        <w:pStyle w:val="Heading2"/>
        <w:spacing w:after="100" w:before="240"/>
      </w:pPr>
      <w:r>
        <w:rPr>
          <w:rFonts w:ascii="Arial" w:cs="Arial" w:eastAsia="Arial" w:hAnsi="Arial"/>
          <w:b/>
          <w:bCs/>
          <w:color w:val="9C7A3C"/>
          <w:sz w:val="22"/>
          <w:szCs w:val="22"/>
        </w:rPr>
        <w:t xml:space="preserve">4.17  Lightning protection</w:t>
      </w:r>
    </w:p>
    <w:p>
      <w:pPr>
        <w:spacing w:after="60" w:before="60" w:line="260"/>
      </w:pPr>
      <w:r>
        <w:rPr>
          <w:rFonts w:ascii="Arial" w:cs="Arial" w:eastAsia="Arial" w:hAnsi="Arial"/>
          <w:color w:val="14181D"/>
          <w:sz w:val="19"/>
          <w:szCs w:val="19"/>
        </w:rPr>
        <w:t xml:space="preserve">Risk assessment to BS EN 62305 to be carried out by the tenderer for the village as sited, and protection installed where the assessment requires it. The assessment shall be issued whether or not it results in installation.</w:t>
      </w:r>
    </w:p>
    <w:p>
      <w:pPr>
        <w:pStyle w:val="Heading2"/>
        <w:spacing w:after="100" w:before="240"/>
      </w:pPr>
      <w:r>
        <w:rPr>
          <w:rFonts w:ascii="Arial" w:cs="Arial" w:eastAsia="Arial" w:hAnsi="Arial"/>
          <w:b/>
          <w:bCs/>
          <w:color w:val="9C7A3C"/>
          <w:sz w:val="22"/>
          <w:szCs w:val="22"/>
        </w:rPr>
        <w:t xml:space="preserve">4.18  Access control</w:t>
      </w:r>
    </w:p>
    <w:p>
      <w:pPr>
        <w:spacing w:after="60" w:before="60" w:line="260"/>
      </w:pPr>
      <w:r>
        <w:rPr>
          <w:rFonts w:ascii="Arial" w:cs="Arial" w:eastAsia="Arial" w:hAnsi="Arial"/>
          <w:color w:val="14181D"/>
          <w:sz w:val="19"/>
          <w:szCs w:val="19"/>
        </w:rPr>
        <w:t xml:space="preserve">Offline battery locks as the room data sheets, integrated with the village management system supplied under this package. Audit trail retained for 90 days minimum. Master, floor-master and housekeeping key hierarchies to be agreed with the client before commissioning. Mechanical override provided and its keys handed over under a documented key control procedure.</w:t>
      </w:r>
    </w:p>
    <w:p>
      <w:pPr>
        <w:pStyle w:val="Heading2"/>
        <w:spacing w:after="100" w:before="240"/>
      </w:pPr>
      <w:r>
        <w:rPr>
          <w:rFonts w:ascii="Arial" w:cs="Arial" w:eastAsia="Arial" w:hAnsi="Arial"/>
          <w:b/>
          <w:bCs/>
          <w:color w:val="9C7A3C"/>
          <w:sz w:val="22"/>
          <w:szCs w:val="22"/>
        </w:rPr>
        <w:t xml:space="preserve">4.19  Security and CCTV interface</w:t>
      </w:r>
    </w:p>
    <w:p>
      <w:pPr>
        <w:spacing w:after="60" w:before="60" w:line="260"/>
      </w:pPr>
      <w:r>
        <w:rPr>
          <w:rFonts w:ascii="Arial" w:cs="Arial" w:eastAsia="Arial" w:hAnsi="Arial"/>
          <w:color w:val="14181D"/>
          <w:sz w:val="19"/>
          <w:szCs w:val="19"/>
        </w:rPr>
        <w:t xml:space="preserve">Cabling, containment and power for external CCTV and the gatehouse interface are within this package to the termination points scheduled at 5.2. The cameras, recording and monitoring are supplied under P5 FM and Operation. Positions coordinated before installation, not after.</w:t>
      </w:r>
    </w:p>
    <w:p>
      <w:pPr>
        <w:pStyle w:val="Heading2"/>
        <w:spacing w:after="100" w:before="240"/>
      </w:pPr>
      <w:r>
        <w:rPr>
          <w:rFonts w:ascii="Arial" w:cs="Arial" w:eastAsia="Arial" w:hAnsi="Arial"/>
          <w:b/>
          <w:bCs/>
          <w:color w:val="9C7A3C"/>
          <w:sz w:val="22"/>
          <w:szCs w:val="22"/>
        </w:rPr>
        <w:t xml:space="preserve">4.20  Signage and wayfinding</w:t>
      </w:r>
    </w:p>
    <w:p>
      <w:pPr>
        <w:spacing w:after="60" w:before="60" w:line="260"/>
      </w:pPr>
      <w:r>
        <w:rPr>
          <w:rFonts w:ascii="Arial" w:cs="Arial" w:eastAsia="Arial" w:hAnsi="Arial"/>
          <w:color w:val="14181D"/>
          <w:sz w:val="19"/>
          <w:szCs w:val="19"/>
        </w:rPr>
        <w:t xml:space="preserve">Statutory and fire signage throughout. Room numbering, floor identification and directional signage to a scheme submitted for approval. Signage to be legible under emergency lighting conditions.</w:t>
      </w:r>
    </w:p>
    <w:p>
      <w:r>
        <w:br w:type="page"/>
      </w:r>
    </w:p>
    <w:p>
      <w:pPr>
        <w:pStyle w:val="Heading1"/>
        <w:spacing w:after="140" w:before="360"/>
      </w:pPr>
      <w:r>
        <w:rPr>
          <w:rFonts w:ascii="Arial" w:cs="Arial" w:eastAsia="Arial" w:hAnsi="Arial"/>
          <w:b/>
          <w:bCs/>
          <w:color w:val="14181D"/>
          <w:sz w:val="28"/>
          <w:szCs w:val="28"/>
        </w:rPr>
        <w:t xml:space="preserve">5  Interface schedule</w:t>
      </w:r>
    </w:p>
    <w:p>
      <w:pPr>
        <w:pStyle w:val="Heading2"/>
        <w:spacing w:after="100" w:before="240"/>
      </w:pPr>
      <w:r>
        <w:rPr>
          <w:rFonts w:ascii="Arial" w:cs="Arial" w:eastAsia="Arial" w:hAnsi="Arial"/>
          <w:b/>
          <w:bCs/>
          <w:color w:val="9C7A3C"/>
          <w:sz w:val="22"/>
          <w:szCs w:val="22"/>
        </w:rPr>
        <w:t xml:space="preserve">5.1  Why this section exists</w:t>
      </w:r>
    </w:p>
    <w:p>
      <w:pPr>
        <w:spacing w:after="60" w:before="60" w:line="260"/>
      </w:pPr>
      <w:r>
        <w:rPr>
          <w:rFonts w:ascii="Arial" w:cs="Arial" w:eastAsia="Arial" w:hAnsi="Arial"/>
          <w:color w:val="14181D"/>
          <w:sz w:val="19"/>
          <w:szCs w:val="19"/>
        </w:rPr>
        <w:t xml:space="preserve">A package fails at its boundaries, not in its middle. Each interface below states what is handed over, in what state, who certifies it and when. An interface that is not certified by the date stated is a notifiable event under the subcontract.</w:t>
      </w:r>
    </w:p>
    <w:p>
      <w:pPr>
        <w:pStyle w:val="Heading2"/>
        <w:spacing w:after="100" w:before="240"/>
      </w:pPr>
      <w:r>
        <w:rPr>
          <w:rFonts w:ascii="Arial" w:cs="Arial" w:eastAsia="Arial" w:hAnsi="Arial"/>
          <w:b/>
          <w:bCs/>
          <w:color w:val="9C7A3C"/>
          <w:sz w:val="22"/>
          <w:szCs w:val="22"/>
        </w:rPr>
        <w:t xml:space="preserve">5.2  The interfaces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900"/>
        <w:gridCol w:w="1700"/>
        <w:gridCol w:w="3020"/>
        <w:gridCol w:w="1900"/>
        <w:gridCol w:w="1500"/>
      </w:tblGrid>
      <w:tr>
        <w:trPr>
          <w:tblHeader/>
        </w:trPr>
        <w:tc>
          <w:tcPr>
            <w:tcW w:type="dxa" w:w="900"/>
            <w:tcBorders>
              <w:top w:val="single" w:color="D5D5D5" w:sz="2"/>
              <w:left w:val="single" w:color="D5D5D5" w:sz="2"/>
              <w:bottom w:val="single" w:color="D5D5D5" w:sz="2"/>
              <w:right w:val="single" w:color="D5D5D5" w:sz="2"/>
            </w:tcBorders>
            <w:shd w:fill="14181D" w:color="auto" w:val="clear"/>
            <w:tcMar>
              <w:top w:type="dxa" w:w="60"/>
              <w:left w:type="dxa" w:w="90"/>
              <w:bottom w:type="dxa" w:w="60"/>
              <w:right w:type="dxa" w:w="90"/>
            </w:tcMar>
          </w:tcPr>
          <w:p>
            <w:pPr>
              <w:spacing w:after="20" w:before="20" w:line="240"/>
            </w:pPr>
            <w:r>
              <w:rPr>
                <w:rFonts w:ascii="Arial" w:cs="Arial" w:eastAsia="Arial" w:hAnsi="Arial"/>
                <w:b/>
                <w:bCs/>
                <w:color w:val="FFFFFF"/>
                <w:sz w:val="17"/>
                <w:szCs w:val="17"/>
              </w:rPr>
              <w:t xml:space="preserve">Ref</w:t>
            </w:r>
          </w:p>
        </w:tc>
        <w:tc>
          <w:tcPr>
            <w:tcW w:type="dxa" w:w="1700"/>
            <w:tcBorders>
              <w:top w:val="single" w:color="D5D5D5" w:sz="2"/>
              <w:left w:val="single" w:color="D5D5D5" w:sz="2"/>
              <w:bottom w:val="single" w:color="D5D5D5" w:sz="2"/>
              <w:right w:val="single" w:color="D5D5D5" w:sz="2"/>
            </w:tcBorders>
            <w:shd w:fill="14181D" w:color="auto" w:val="clear"/>
            <w:tcMar>
              <w:top w:type="dxa" w:w="60"/>
              <w:left w:type="dxa" w:w="90"/>
              <w:bottom w:type="dxa" w:w="60"/>
              <w:right w:type="dxa" w:w="90"/>
            </w:tcMar>
          </w:tcPr>
          <w:p>
            <w:pPr>
              <w:spacing w:after="20" w:before="20" w:line="240"/>
            </w:pPr>
            <w:r>
              <w:rPr>
                <w:rFonts w:ascii="Arial" w:cs="Arial" w:eastAsia="Arial" w:hAnsi="Arial"/>
                <w:b/>
                <w:bCs/>
                <w:color w:val="FFFFFF"/>
                <w:sz w:val="17"/>
                <w:szCs w:val="17"/>
              </w:rPr>
              <w:t xml:space="preserve">With</w:t>
            </w:r>
          </w:p>
        </w:tc>
        <w:tc>
          <w:tcPr>
            <w:tcW w:type="dxa" w:w="3020"/>
            <w:tcBorders>
              <w:top w:val="single" w:color="D5D5D5" w:sz="2"/>
              <w:left w:val="single" w:color="D5D5D5" w:sz="2"/>
              <w:bottom w:val="single" w:color="D5D5D5" w:sz="2"/>
              <w:right w:val="single" w:color="D5D5D5" w:sz="2"/>
            </w:tcBorders>
            <w:shd w:fill="14181D" w:color="auto" w:val="clear"/>
            <w:tcMar>
              <w:top w:type="dxa" w:w="60"/>
              <w:left w:type="dxa" w:w="90"/>
              <w:bottom w:type="dxa" w:w="60"/>
              <w:right w:type="dxa" w:w="90"/>
            </w:tcMar>
          </w:tcPr>
          <w:p>
            <w:pPr>
              <w:spacing w:after="20" w:before="20" w:line="240"/>
            </w:pPr>
            <w:r>
              <w:rPr>
                <w:rFonts w:ascii="Arial" w:cs="Arial" w:eastAsia="Arial" w:hAnsi="Arial"/>
                <w:b/>
                <w:bCs/>
                <w:color w:val="FFFFFF"/>
                <w:sz w:val="17"/>
                <w:szCs w:val="17"/>
              </w:rPr>
              <w:t xml:space="preserve">What is handed over</w:t>
            </w:r>
          </w:p>
        </w:tc>
        <w:tc>
          <w:tcPr>
            <w:tcW w:type="dxa" w:w="1900"/>
            <w:tcBorders>
              <w:top w:val="single" w:color="D5D5D5" w:sz="2"/>
              <w:left w:val="single" w:color="D5D5D5" w:sz="2"/>
              <w:bottom w:val="single" w:color="D5D5D5" w:sz="2"/>
              <w:right w:val="single" w:color="D5D5D5" w:sz="2"/>
            </w:tcBorders>
            <w:shd w:fill="14181D" w:color="auto" w:val="clear"/>
            <w:tcMar>
              <w:top w:type="dxa" w:w="60"/>
              <w:left w:type="dxa" w:w="90"/>
              <w:bottom w:type="dxa" w:w="60"/>
              <w:right w:type="dxa" w:w="90"/>
            </w:tcMar>
          </w:tcPr>
          <w:p>
            <w:pPr>
              <w:spacing w:after="20" w:before="20" w:line="240"/>
            </w:pPr>
            <w:r>
              <w:rPr>
                <w:rFonts w:ascii="Arial" w:cs="Arial" w:eastAsia="Arial" w:hAnsi="Arial"/>
                <w:b/>
                <w:bCs/>
                <w:color w:val="FFFFFF"/>
                <w:sz w:val="17"/>
                <w:szCs w:val="17"/>
              </w:rPr>
              <w:t xml:space="preserve">Certified by</w:t>
            </w:r>
          </w:p>
        </w:tc>
        <w:tc>
          <w:tcPr>
            <w:tcW w:type="dxa" w:w="1500"/>
            <w:tcBorders>
              <w:top w:val="single" w:color="D5D5D5" w:sz="2"/>
              <w:left w:val="single" w:color="D5D5D5" w:sz="2"/>
              <w:bottom w:val="single" w:color="D5D5D5" w:sz="2"/>
              <w:right w:val="single" w:color="D5D5D5" w:sz="2"/>
            </w:tcBorders>
            <w:shd w:fill="14181D" w:color="auto" w:val="clear"/>
            <w:tcMar>
              <w:top w:type="dxa" w:w="60"/>
              <w:left w:type="dxa" w:w="90"/>
              <w:bottom w:type="dxa" w:w="60"/>
              <w:right w:type="dxa" w:w="90"/>
            </w:tcMar>
          </w:tcPr>
          <w:p>
            <w:pPr>
              <w:spacing w:after="20" w:before="20" w:line="240"/>
            </w:pPr>
            <w:r>
              <w:rPr>
                <w:rFonts w:ascii="Arial" w:cs="Arial" w:eastAsia="Arial" w:hAnsi="Arial"/>
                <w:b/>
                <w:bCs/>
                <w:color w:val="FFFFFF"/>
                <w:sz w:val="17"/>
                <w:szCs w:val="17"/>
              </w:rPr>
              <w:t xml:space="preserve">When</w:t>
            </w:r>
          </w:p>
        </w:tc>
      </w:tr>
      <w:tr>
        <w:tc>
          <w:tcPr>
            <w:tcW w:type="dxa" w:w="9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IF-01</w:t>
            </w:r>
          </w:p>
        </w:tc>
        <w:tc>
          <w:tcPr>
            <w:tcW w:type="dxa" w:w="17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P1 Civil Works</w:t>
            </w:r>
          </w:p>
        </w:tc>
        <w:tc>
          <w:tcPr>
            <w:tcW w:type="dxa" w:w="30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Bases set out, constructed and surveyed to the tolerance at 4.1</w:t>
            </w:r>
          </w:p>
        </w:tc>
        <w:tc>
          <w:tcPr>
            <w:tcW w:type="dxa" w:w="19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P1 issues the survey; this tenderer accepts it in writing</w:t>
            </w:r>
          </w:p>
        </w:tc>
        <w:tc>
          <w:tcPr>
            <w:tcW w:type="dxa" w:w="15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Not later than 2 weeks before each delivery</w:t>
            </w:r>
          </w:p>
        </w:tc>
      </w:tr>
      <w:tr>
        <w:tc>
          <w:tcPr>
            <w:tcW w:type="dxa" w:w="9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IF-02</w:t>
            </w:r>
          </w:p>
        </w:tc>
        <w:tc>
          <w:tcPr>
            <w:tcW w:type="dxa" w:w="17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P1 Civil Works</w:t>
            </w:r>
          </w:p>
        </w:tc>
        <w:tc>
          <w:tcPr>
            <w:tcW w:type="dxa" w:w="30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One termination point per service per block — water, foul, power, data — at the position and invert on the coordination drawing</w:t>
            </w:r>
          </w:p>
        </w:tc>
        <w:tc>
          <w:tcPr>
            <w:tcW w:type="dxa" w:w="19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Joint drawing signed by both parties before either orders materials</w:t>
            </w:r>
          </w:p>
        </w:tc>
        <w:tc>
          <w:tcPr>
            <w:tcW w:type="dxa" w:w="15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Before P1 commences drainage</w:t>
            </w:r>
          </w:p>
        </w:tc>
      </w:tr>
      <w:tr>
        <w:tc>
          <w:tcPr>
            <w:tcW w:type="dxa" w:w="9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IF-03</w:t>
            </w:r>
          </w:p>
        </w:tc>
        <w:tc>
          <w:tcPr>
            <w:tcW w:type="dxa" w:w="17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P1 Civil Works</w:t>
            </w:r>
          </w:p>
        </w:tc>
        <w:tc>
          <w:tcPr>
            <w:tcW w:type="dxa" w:w="30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Craneage hardstanding, access route and turning provision for the delivery vehicles and crane</w:t>
            </w:r>
          </w:p>
        </w:tc>
        <w:tc>
          <w:tcPr>
            <w:tcW w:type="dxa" w:w="19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P1, against this tenderer's stated loadings and swept path</w:t>
            </w:r>
          </w:p>
        </w:tc>
        <w:tc>
          <w:tcPr>
            <w:tcW w:type="dxa" w:w="15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4 weeks before first delivery</w:t>
            </w:r>
          </w:p>
        </w:tc>
      </w:tr>
      <w:tr>
        <w:tc>
          <w:tcPr>
            <w:tcW w:type="dxa" w:w="9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IF-04</w:t>
            </w:r>
          </w:p>
        </w:tc>
        <w:tc>
          <w:tcPr>
            <w:tcW w:type="dxa" w:w="17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P3 Kitchen</w:t>
            </w:r>
          </w:p>
        </w:tc>
        <w:tc>
          <w:tcPr>
            <w:tcW w:type="dxa" w:w="30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Kitchen and dining building shell, with agreed penetrations, floor loading, drainage falls and extract routes</w:t>
            </w:r>
          </w:p>
        </w:tc>
        <w:tc>
          <w:tcPr>
            <w:tcW w:type="dxa" w:w="19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This tenderer supplies the shell; P3 confirms the penetration schedule before manufacture</w:t>
            </w:r>
          </w:p>
        </w:tc>
        <w:tc>
          <w:tcPr>
            <w:tcW w:type="dxa" w:w="15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Before module manufacture commences</w:t>
            </w:r>
          </w:p>
        </w:tc>
      </w:tr>
      <w:tr>
        <w:tc>
          <w:tcPr>
            <w:tcW w:type="dxa" w:w="9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IF-05</w:t>
            </w:r>
          </w:p>
        </w:tc>
        <w:tc>
          <w:tcPr>
            <w:tcW w:type="dxa" w:w="17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P4 Furniture</w:t>
            </w:r>
          </w:p>
        </w:tc>
        <w:tc>
          <w:tcPr>
            <w:tcW w:type="dxa" w:w="30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The bedroom specification, item by item, dividing fixed joinery from loose furniture</w:t>
            </w:r>
          </w:p>
        </w:tc>
        <w:tc>
          <w:tcPr>
            <w:tcW w:type="dxa" w:w="19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Both parties against a single common schedule issued by the client</w:t>
            </w:r>
          </w:p>
        </w:tc>
        <w:tc>
          <w:tcPr>
            <w:tcW w:type="dxa" w:w="15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Before either package is let</w:t>
            </w:r>
          </w:p>
        </w:tc>
      </w:tr>
      <w:tr>
        <w:tc>
          <w:tcPr>
            <w:tcW w:type="dxa" w:w="9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IF-06</w:t>
            </w:r>
          </w:p>
        </w:tc>
        <w:tc>
          <w:tcPr>
            <w:tcW w:type="dxa" w:w="17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P4 Furniture</w:t>
            </w:r>
          </w:p>
        </w:tc>
        <w:tc>
          <w:tcPr>
            <w:tcW w:type="dxa" w:w="30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Access for furniture installation after module setting and before handover</w:t>
            </w:r>
          </w:p>
        </w:tc>
        <w:tc>
          <w:tcPr>
            <w:tcW w:type="dxa" w:w="19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Programme coordination; this tenderer provides secure storage if the sequence slips</w:t>
            </w:r>
          </w:p>
        </w:tc>
        <w:tc>
          <w:tcPr>
            <w:tcW w:type="dxa" w:w="15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Per the agreed installation programme</w:t>
            </w:r>
          </w:p>
        </w:tc>
      </w:tr>
      <w:tr>
        <w:tc>
          <w:tcPr>
            <w:tcW w:type="dxa" w:w="9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IF-07</w:t>
            </w:r>
          </w:p>
        </w:tc>
        <w:tc>
          <w:tcPr>
            <w:tcW w:type="dxa" w:w="17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P5 FM and Operation</w:t>
            </w:r>
          </w:p>
        </w:tc>
        <w:tc>
          <w:tcPr>
            <w:tcW w:type="dxa" w:w="30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Building services commissioning complete and demonstrated before any occupation</w:t>
            </w:r>
          </w:p>
        </w:tc>
        <w:tc>
          <w:tcPr>
            <w:tcW w:type="dxa" w:w="19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This tenderer, witnessed by P5 and by the client</w:t>
            </w:r>
          </w:p>
        </w:tc>
        <w:tc>
          <w:tcPr>
            <w:tcW w:type="dxa" w:w="15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Before the first resident arrives</w:t>
            </w:r>
          </w:p>
        </w:tc>
      </w:tr>
      <w:tr>
        <w:tc>
          <w:tcPr>
            <w:tcW w:type="dxa" w:w="9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IF-08</w:t>
            </w:r>
          </w:p>
        </w:tc>
        <w:tc>
          <w:tcPr>
            <w:tcW w:type="dxa" w:w="17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P5 FM and Operation</w:t>
            </w:r>
          </w:p>
        </w:tc>
        <w:tc>
          <w:tcPr>
            <w:tcW w:type="dxa" w:w="30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O&amp;M manuals, as-installed drawings, warranties, asset register and training</w:t>
            </w:r>
          </w:p>
        </w:tc>
        <w:tc>
          <w:tcPr>
            <w:tcW w:type="dxa" w:w="19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This tenderer; P5 acknowledges receipt against a checklist</w:t>
            </w:r>
          </w:p>
        </w:tc>
        <w:tc>
          <w:tcPr>
            <w:tcW w:type="dxa" w:w="15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2 weeks before handover</w:t>
            </w:r>
          </w:p>
        </w:tc>
      </w:tr>
      <w:tr>
        <w:tc>
          <w:tcPr>
            <w:tcW w:type="dxa" w:w="9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IF-09</w:t>
            </w:r>
          </w:p>
        </w:tc>
        <w:tc>
          <w:tcPr>
            <w:tcW w:type="dxa" w:w="17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P5 FM and Operation</w:t>
            </w:r>
          </w:p>
        </w:tc>
        <w:tc>
          <w:tcPr>
            <w:tcW w:type="dxa" w:w="30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Access control key hierarchy and the audit trail configuration</w:t>
            </w:r>
          </w:p>
        </w:tc>
        <w:tc>
          <w:tcPr>
            <w:tcW w:type="dxa" w:w="19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Jointly, to a procedure agreed before commissioning</w:t>
            </w:r>
          </w:p>
        </w:tc>
        <w:tc>
          <w:tcPr>
            <w:tcW w:type="dxa" w:w="15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At commissioning</w:t>
            </w:r>
          </w:p>
        </w:tc>
      </w:tr>
      <w:tr>
        <w:tc>
          <w:tcPr>
            <w:tcW w:type="dxa" w:w="9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IF-10</w:t>
            </w:r>
          </w:p>
        </w:tc>
        <w:tc>
          <w:tcPr>
            <w:tcW w:type="dxa" w:w="17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P5 FM and Operation</w:t>
            </w:r>
          </w:p>
        </w:tc>
        <w:tc>
          <w:tcPr>
            <w:tcW w:type="dxa" w:w="30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The water system at first fill, with the legionella duty and the flushing log</w:t>
            </w:r>
          </w:p>
        </w:tc>
        <w:tc>
          <w:tcPr>
            <w:tcW w:type="dxa" w:w="19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This tenderer operates and records until handover, then transfers with the log</w:t>
            </w:r>
          </w:p>
        </w:tc>
        <w:tc>
          <w:tcPr>
            <w:tcW w:type="dxa" w:w="15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At first fill, and again at handover</w:t>
            </w:r>
          </w:p>
        </w:tc>
      </w:tr>
      <w:tr>
        <w:tc>
          <w:tcPr>
            <w:tcW w:type="dxa" w:w="9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IF-11</w:t>
            </w:r>
          </w:p>
        </w:tc>
        <w:tc>
          <w:tcPr>
            <w:tcW w:type="dxa" w:w="17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Client's fire engineer</w:t>
            </w:r>
          </w:p>
        </w:tc>
        <w:tc>
          <w:tcPr>
            <w:tcW w:type="dxa" w:w="30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The fire strategy, cause and effect matrix and the compartmentation drawing</w:t>
            </w:r>
          </w:p>
        </w:tc>
        <w:tc>
          <w:tcPr>
            <w:tcW w:type="dxa" w:w="19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The client's fire engineer approves; this tenderer implements</w:t>
            </w:r>
          </w:p>
        </w:tc>
        <w:tc>
          <w:tcPr>
            <w:tcW w:type="dxa" w:w="15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Before manufacture, and again at commissioning</w:t>
            </w:r>
          </w:p>
        </w:tc>
      </w:tr>
      <w:tr>
        <w:tc>
          <w:tcPr>
            <w:tcW w:type="dxa" w:w="9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IF-12</w:t>
            </w:r>
          </w:p>
        </w:tc>
        <w:tc>
          <w:tcPr>
            <w:tcW w:type="dxa" w:w="17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Client</w:t>
            </w:r>
          </w:p>
        </w:tc>
        <w:tc>
          <w:tcPr>
            <w:tcW w:type="dxa" w:w="30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Planning conditions affecting external appearance, lighting and hours of installation</w:t>
            </w:r>
          </w:p>
        </w:tc>
        <w:tc>
          <w:tcPr>
            <w:tcW w:type="dxa" w:w="19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Client discharges; this tenderer complies and evidences</w:t>
            </w:r>
          </w:p>
        </w:tc>
        <w:tc>
          <w:tcPr>
            <w:tcW w:type="dxa" w:w="15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Before delivery commences</w:t>
            </w:r>
          </w:p>
        </w:tc>
      </w:tr>
    </w:tbl>
    <w:p>
      <w:r>
        <w:br w:type="page"/>
      </w:r>
    </w:p>
    <w:p>
      <w:pPr>
        <w:pStyle w:val="Heading1"/>
        <w:spacing w:after="140" w:before="360"/>
      </w:pPr>
      <w:r>
        <w:rPr>
          <w:rFonts w:ascii="Arial" w:cs="Arial" w:eastAsia="Arial" w:hAnsi="Arial"/>
          <w:b/>
          <w:bCs/>
          <w:color w:val="14181D"/>
          <w:sz w:val="28"/>
          <w:szCs w:val="28"/>
        </w:rPr>
        <w:t xml:space="preserve">6  Performance schedule</w:t>
      </w:r>
    </w:p>
    <w:p>
      <w:pPr>
        <w:spacing w:after="60" w:before="60" w:line="260"/>
      </w:pPr>
      <w:r>
        <w:rPr>
          <w:rFonts w:ascii="Arial" w:cs="Arial" w:eastAsia="Arial" w:hAnsi="Arial"/>
          <w:color w:val="14181D"/>
          <w:sz w:val="19"/>
          <w:szCs w:val="19"/>
        </w:rPr>
        <w:t xml:space="preserve">These are the Employer's requirements. Compliance with statutory requirements is the tenderer's duty and is not discharged by meeting the figures below; where a statutory requirement is more onerous, it prevails.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100"/>
        <w:gridCol w:w="3400"/>
        <w:gridCol w:w="2520"/>
      </w:tblGrid>
      <w:tr>
        <w:trPr>
          <w:tblHeader/>
        </w:trPr>
        <w:tc>
          <w:tcPr>
            <w:tcW w:type="dxa" w:w="3100"/>
            <w:tcBorders>
              <w:top w:val="single" w:color="D5D5D5" w:sz="2"/>
              <w:left w:val="single" w:color="D5D5D5" w:sz="2"/>
              <w:bottom w:val="single" w:color="D5D5D5" w:sz="2"/>
              <w:right w:val="single" w:color="D5D5D5" w:sz="2"/>
            </w:tcBorders>
            <w:shd w:fill="14181D" w:color="auto" w:val="clear"/>
            <w:tcMar>
              <w:top w:type="dxa" w:w="60"/>
              <w:left w:type="dxa" w:w="90"/>
              <w:bottom w:type="dxa" w:w="60"/>
              <w:right w:type="dxa" w:w="90"/>
            </w:tcMar>
          </w:tcPr>
          <w:p>
            <w:pPr>
              <w:spacing w:after="20" w:before="20" w:line="240"/>
            </w:pPr>
            <w:r>
              <w:rPr>
                <w:rFonts w:ascii="Arial" w:cs="Arial" w:eastAsia="Arial" w:hAnsi="Arial"/>
                <w:b/>
                <w:bCs/>
                <w:color w:val="FFFFFF"/>
                <w:sz w:val="17"/>
                <w:szCs w:val="17"/>
              </w:rPr>
              <w:t xml:space="preserve">Criterion</w:t>
            </w:r>
          </w:p>
        </w:tc>
        <w:tc>
          <w:tcPr>
            <w:tcW w:type="dxa" w:w="3400"/>
            <w:tcBorders>
              <w:top w:val="single" w:color="D5D5D5" w:sz="2"/>
              <w:left w:val="single" w:color="D5D5D5" w:sz="2"/>
              <w:bottom w:val="single" w:color="D5D5D5" w:sz="2"/>
              <w:right w:val="single" w:color="D5D5D5" w:sz="2"/>
            </w:tcBorders>
            <w:shd w:fill="14181D" w:color="auto" w:val="clear"/>
            <w:tcMar>
              <w:top w:type="dxa" w:w="60"/>
              <w:left w:type="dxa" w:w="90"/>
              <w:bottom w:type="dxa" w:w="60"/>
              <w:right w:type="dxa" w:w="90"/>
            </w:tcMar>
          </w:tcPr>
          <w:p>
            <w:pPr>
              <w:spacing w:after="20" w:before="20" w:line="240"/>
            </w:pPr>
            <w:r>
              <w:rPr>
                <w:rFonts w:ascii="Arial" w:cs="Arial" w:eastAsia="Arial" w:hAnsi="Arial"/>
                <w:b/>
                <w:bCs/>
                <w:color w:val="FFFFFF"/>
                <w:sz w:val="17"/>
                <w:szCs w:val="17"/>
              </w:rPr>
              <w:t xml:space="preserve">Requirement</w:t>
            </w:r>
          </w:p>
        </w:tc>
        <w:tc>
          <w:tcPr>
            <w:tcW w:type="dxa" w:w="2520"/>
            <w:tcBorders>
              <w:top w:val="single" w:color="D5D5D5" w:sz="2"/>
              <w:left w:val="single" w:color="D5D5D5" w:sz="2"/>
              <w:bottom w:val="single" w:color="D5D5D5" w:sz="2"/>
              <w:right w:val="single" w:color="D5D5D5" w:sz="2"/>
            </w:tcBorders>
            <w:shd w:fill="14181D" w:color="auto" w:val="clear"/>
            <w:tcMar>
              <w:top w:type="dxa" w:w="60"/>
              <w:left w:type="dxa" w:w="90"/>
              <w:bottom w:type="dxa" w:w="60"/>
              <w:right w:type="dxa" w:w="90"/>
            </w:tcMar>
          </w:tcPr>
          <w:p>
            <w:pPr>
              <w:spacing w:after="20" w:before="20" w:line="240"/>
            </w:pPr>
            <w:r>
              <w:rPr>
                <w:rFonts w:ascii="Arial" w:cs="Arial" w:eastAsia="Arial" w:hAnsi="Arial"/>
                <w:b/>
                <w:bCs/>
                <w:color w:val="FFFFFF"/>
                <w:sz w:val="17"/>
                <w:szCs w:val="17"/>
              </w:rPr>
              <w:t xml:space="preserve">How it is verified</w:t>
            </w:r>
          </w:p>
        </w:tc>
      </w:tr>
      <w:tr>
        <w:tc>
          <w:tcPr>
            <w:tcW w:type="dxa" w:w="31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Airborne sound insulation, between bedrooms</w:t>
            </w:r>
          </w:p>
        </w:tc>
        <w:tc>
          <w:tcPr>
            <w:tcW w:type="dxa" w:w="34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DnT,w + Ctr 45 dB minimum</w:t>
            </w:r>
          </w:p>
        </w:tc>
        <w:tc>
          <w:tcPr>
            <w:tcW w:type="dxa" w:w="25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Pre-completion testing to BS EN ISO 16283-1 on the sample at 9.3</w:t>
            </w:r>
          </w:p>
        </w:tc>
      </w:tr>
      <w:tr>
        <w:tc>
          <w:tcPr>
            <w:tcW w:type="dxa" w:w="31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Airborne sound insulation, bedroom to corridor</w:t>
            </w:r>
          </w:p>
        </w:tc>
        <w:tc>
          <w:tcPr>
            <w:tcW w:type="dxa" w:w="34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DnT,w + Ctr 40 dB minimum, including the doorset</w:t>
            </w:r>
          </w:p>
        </w:tc>
        <w:tc>
          <w:tcPr>
            <w:tcW w:type="dxa" w:w="25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Pre-completion testing, same sample</w:t>
            </w:r>
          </w:p>
        </w:tc>
      </w:tr>
      <w:tr>
        <w:tc>
          <w:tcPr>
            <w:tcW w:type="dxa" w:w="31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Impact sound insulation, floors</w:t>
            </w:r>
          </w:p>
        </w:tc>
        <w:tc>
          <w:tcPr>
            <w:tcW w:type="dxa" w:w="34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L'nT,w 62 dB maximum</w:t>
            </w:r>
          </w:p>
        </w:tc>
        <w:tc>
          <w:tcPr>
            <w:tcW w:type="dxa" w:w="25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Pre-completion testing to BS EN ISO 16283-2</w:t>
            </w:r>
          </w:p>
        </w:tc>
      </w:tr>
      <w:tr>
        <w:tc>
          <w:tcPr>
            <w:tcW w:type="dxa" w:w="31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Rain noise</w:t>
            </w:r>
          </w:p>
        </w:tc>
        <w:tc>
          <w:tcPr>
            <w:tcW w:type="dxa" w:w="34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Demonstrated not to exceed 45 dB LAeq in a bedroom during the design rainfall event</w:t>
            </w:r>
          </w:p>
        </w:tc>
        <w:tc>
          <w:tcPr>
            <w:tcW w:type="dxa" w:w="25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Calculation, or manufacturer's test data for the roof build-up</w:t>
            </w:r>
          </w:p>
        </w:tc>
      </w:tr>
      <w:tr>
        <w:tc>
          <w:tcPr>
            <w:tcW w:type="dxa" w:w="31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Fire resistance, separating construction</w:t>
            </w:r>
          </w:p>
        </w:tc>
        <w:tc>
          <w:tcPr>
            <w:tcW w:type="dxa" w:w="34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REI 60 between rooms, and between rooms and circulation</w:t>
            </w:r>
          </w:p>
        </w:tc>
        <w:tc>
          <w:tcPr>
            <w:tcW w:type="dxa" w:w="25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Third-party certified system, evidence submitted before order</w:t>
            </w:r>
          </w:p>
        </w:tc>
      </w:tr>
      <w:tr>
        <w:tc>
          <w:tcPr>
            <w:tcW w:type="dxa" w:w="31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Fire resistance, doorsets</w:t>
            </w:r>
          </w:p>
        </w:tc>
        <w:tc>
          <w:tcPr>
            <w:tcW w:type="dxa" w:w="34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FD30S to bedrooms; FD60S where the fire strategy requires</w:t>
            </w:r>
          </w:p>
        </w:tc>
        <w:tc>
          <w:tcPr>
            <w:tcW w:type="dxa" w:w="25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Certified doorsets, labelled, register issued at handover</w:t>
            </w:r>
          </w:p>
        </w:tc>
      </w:tr>
      <w:tr>
        <w:tc>
          <w:tcPr>
            <w:tcW w:type="dxa" w:w="31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Reaction to fire, internal linings</w:t>
            </w:r>
          </w:p>
        </w:tc>
        <w:tc>
          <w:tcPr>
            <w:tcW w:type="dxa" w:w="34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Class B-s3,d2 or better to circulation and escape routes</w:t>
            </w:r>
          </w:p>
        </w:tc>
        <w:tc>
          <w:tcPr>
            <w:tcW w:type="dxa" w:w="25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Manufacturer's classification report</w:t>
            </w:r>
          </w:p>
        </w:tc>
      </w:tr>
      <w:tr>
        <w:tc>
          <w:tcPr>
            <w:tcW w:type="dxa" w:w="31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Thermal transmittance, external wall</w:t>
            </w:r>
          </w:p>
        </w:tc>
        <w:tc>
          <w:tcPr>
            <w:tcW w:type="dxa" w:w="34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0.22 W/m²K maximum</w:t>
            </w:r>
          </w:p>
        </w:tc>
        <w:tc>
          <w:tcPr>
            <w:tcW w:type="dxa" w:w="25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Calculation to BS EN ISO 6946, submitted with the tender</w:t>
            </w:r>
          </w:p>
        </w:tc>
      </w:tr>
      <w:tr>
        <w:tc>
          <w:tcPr>
            <w:tcW w:type="dxa" w:w="31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Thermal transmittance, roof</w:t>
            </w:r>
          </w:p>
        </w:tc>
        <w:tc>
          <w:tcPr>
            <w:tcW w:type="dxa" w:w="34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0.16 W/m²K maximum</w:t>
            </w:r>
          </w:p>
        </w:tc>
        <w:tc>
          <w:tcPr>
            <w:tcW w:type="dxa" w:w="25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As above</w:t>
            </w:r>
          </w:p>
        </w:tc>
      </w:tr>
      <w:tr>
        <w:tc>
          <w:tcPr>
            <w:tcW w:type="dxa" w:w="31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Thermal transmittance, floor</w:t>
            </w:r>
          </w:p>
        </w:tc>
        <w:tc>
          <w:tcPr>
            <w:tcW w:type="dxa" w:w="34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0.18 W/m²K maximum</w:t>
            </w:r>
          </w:p>
        </w:tc>
        <w:tc>
          <w:tcPr>
            <w:tcW w:type="dxa" w:w="25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As above</w:t>
            </w:r>
          </w:p>
        </w:tc>
      </w:tr>
      <w:tr>
        <w:tc>
          <w:tcPr>
            <w:tcW w:type="dxa" w:w="31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Thermal transmittance, windows and doors</w:t>
            </w:r>
          </w:p>
        </w:tc>
        <w:tc>
          <w:tcPr>
            <w:tcW w:type="dxa" w:w="34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1.4 W/m²K maximum, whole unit</w:t>
            </w:r>
          </w:p>
        </w:tc>
        <w:tc>
          <w:tcPr>
            <w:tcW w:type="dxa" w:w="25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Manufacturer's data</w:t>
            </w:r>
          </w:p>
        </w:tc>
      </w:tr>
      <w:tr>
        <w:tc>
          <w:tcPr>
            <w:tcW w:type="dxa" w:w="31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Thermal bridging</w:t>
            </w:r>
          </w:p>
        </w:tc>
        <w:tc>
          <w:tcPr>
            <w:tcW w:type="dxa" w:w="34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Psi values calculated for every junction type; no junction left to a default value</w:t>
            </w:r>
          </w:p>
        </w:tc>
        <w:tc>
          <w:tcPr>
            <w:tcW w:type="dxa" w:w="25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Calculation, submitted before manufacture</w:t>
            </w:r>
          </w:p>
        </w:tc>
      </w:tr>
      <w:tr>
        <w:tc>
          <w:tcPr>
            <w:tcW w:type="dxa" w:w="31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Air permeability</w:t>
            </w:r>
          </w:p>
        </w:tc>
        <w:tc>
          <w:tcPr>
            <w:tcW w:type="dxa" w:w="34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5.0 m³/(h·m²) at 50 Pa maximum</w:t>
            </w:r>
          </w:p>
        </w:tc>
        <w:tc>
          <w:tcPr>
            <w:tcW w:type="dxa" w:w="25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Testing to ATTMA TSL1 on the sample at 9.4</w:t>
            </w:r>
          </w:p>
        </w:tc>
      </w:tr>
      <w:tr>
        <w:tc>
          <w:tcPr>
            <w:tcW w:type="dxa" w:w="31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Overheating</w:t>
            </w:r>
          </w:p>
        </w:tc>
        <w:tc>
          <w:tcPr>
            <w:tcW w:type="dxa" w:w="34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Compliance with the criterion at Appendix 9</w:t>
            </w:r>
          </w:p>
        </w:tc>
        <w:tc>
          <w:tcPr>
            <w:tcW w:type="dxa" w:w="25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Dynamic thermal modelling to CIBSE TM59</w:t>
            </w:r>
          </w:p>
        </w:tc>
      </w:tr>
      <w:tr>
        <w:tc>
          <w:tcPr>
            <w:tcW w:type="dxa" w:w="31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Ventilation, ensuite extract</w:t>
            </w:r>
          </w:p>
        </w:tc>
        <w:tc>
          <w:tcPr>
            <w:tcW w:type="dxa" w:w="34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15 l/s minimum, humidity sensing, 15 minute overrun</w:t>
            </w:r>
          </w:p>
        </w:tc>
        <w:tc>
          <w:tcPr>
            <w:tcW w:type="dxa" w:w="25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Commissioning measurement, every room, recorded</w:t>
            </w:r>
          </w:p>
        </w:tc>
      </w:tr>
      <w:tr>
        <w:tc>
          <w:tcPr>
            <w:tcW w:type="dxa" w:w="31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Water outlet temperature</w:t>
            </w:r>
          </w:p>
        </w:tc>
        <w:tc>
          <w:tcPr>
            <w:tcW w:type="dxa" w:w="34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41 °C maximum at basin and shower; 50 °C minimum at the TMV inlet within one minute</w:t>
            </w:r>
          </w:p>
        </w:tc>
        <w:tc>
          <w:tcPr>
            <w:tcW w:type="dxa" w:w="25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Commissioning measurement, recorded per outlet</w:t>
            </w:r>
          </w:p>
        </w:tc>
      </w:tr>
      <w:tr>
        <w:tc>
          <w:tcPr>
            <w:tcW w:type="dxa" w:w="31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Illuminance, bedroom</w:t>
            </w:r>
          </w:p>
        </w:tc>
        <w:tc>
          <w:tcPr>
            <w:tcW w:type="dxa" w:w="34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300 lux at the desk plane</w:t>
            </w:r>
          </w:p>
        </w:tc>
        <w:tc>
          <w:tcPr>
            <w:tcW w:type="dxa" w:w="25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Commissioning measurement on a sample of one room in ten</w:t>
            </w:r>
          </w:p>
        </w:tc>
      </w:tr>
      <w:tr>
        <w:tc>
          <w:tcPr>
            <w:tcW w:type="dxa" w:w="31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Illuminance, escape routes</w:t>
            </w:r>
          </w:p>
        </w:tc>
        <w:tc>
          <w:tcPr>
            <w:tcW w:type="dxa" w:w="34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1 lux minimum on the centre line</w:t>
            </w:r>
          </w:p>
        </w:tc>
        <w:tc>
          <w:tcPr>
            <w:tcW w:type="dxa" w:w="25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Photometric calculation plus site verification</w:t>
            </w:r>
          </w:p>
        </w:tc>
      </w:tr>
      <w:tr>
        <w:tc>
          <w:tcPr>
            <w:tcW w:type="dxa" w:w="31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Wireless coverage</w:t>
            </w:r>
          </w:p>
        </w:tc>
        <w:tc>
          <w:tcPr>
            <w:tcW w:type="dxa" w:w="34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−67 dBm minimum in every bedroom and amenity space, supporting 2 devices per resident concurrently</w:t>
            </w:r>
          </w:p>
        </w:tc>
        <w:tc>
          <w:tcPr>
            <w:tcW w:type="dxa" w:w="25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Site survey at commissioning, heat map issued</w:t>
            </w:r>
          </w:p>
        </w:tc>
      </w:tr>
      <w:tr>
        <w:tc>
          <w:tcPr>
            <w:tcW w:type="dxa" w:w="31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Slip resistance, wet areas</w:t>
            </w:r>
          </w:p>
        </w:tc>
        <w:tc>
          <w:tcPr>
            <w:tcW w:type="dxa" w:w="34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PTV ≥ 36 wet</w:t>
            </w:r>
          </w:p>
        </w:tc>
        <w:tc>
          <w:tcPr>
            <w:tcW w:type="dxa" w:w="25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Manufacturer's data plus in-situ pendulum test on a sample</w:t>
            </w:r>
          </w:p>
        </w:tc>
      </w:tr>
      <w:tr>
        <w:tc>
          <w:tcPr>
            <w:tcW w:type="dxa" w:w="31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Structural, floor loading</w:t>
            </w:r>
          </w:p>
        </w:tc>
        <w:tc>
          <w:tcPr>
            <w:tcW w:type="dxa" w:w="34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1.5 kN/m² imposed, bedrooms; 2.0 kN/m² circulation</w:t>
            </w:r>
          </w:p>
        </w:tc>
        <w:tc>
          <w:tcPr>
            <w:tcW w:type="dxa" w:w="25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Design calculations, submitted for approval</w:t>
            </w:r>
          </w:p>
        </w:tc>
      </w:tr>
      <w:tr>
        <w:tc>
          <w:tcPr>
            <w:tcW w:type="dxa" w:w="31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Structural, wind</w:t>
            </w:r>
          </w:p>
        </w:tc>
        <w:tc>
          <w:tcPr>
            <w:tcW w:type="dxa" w:w="34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To BS EN 1991-1-4 for the site exposure at Appendix 8, including the temporary condition during installation</w:t>
            </w:r>
          </w:p>
        </w:tc>
        <w:tc>
          <w:tcPr>
            <w:tcW w:type="dxa" w:w="25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Design calculations</w:t>
            </w:r>
          </w:p>
        </w:tc>
      </w:tr>
      <w:tr>
        <w:tc>
          <w:tcPr>
            <w:tcW w:type="dxa" w:w="31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Durability</w:t>
            </w:r>
          </w:p>
        </w:tc>
        <w:tc>
          <w:tcPr>
            <w:tcW w:type="dxa" w:w="34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All finishes to withstand 38 months of continuous single-occupancy use without replacement, fair wear and tear excepted</w:t>
            </w:r>
          </w:p>
        </w:tc>
        <w:tc>
          <w:tcPr>
            <w:tcW w:type="dxa" w:w="25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Warranty and a defined maintenance regime in the O&amp;M</w:t>
            </w:r>
          </w:p>
        </w:tc>
      </w:tr>
    </w:tbl>
    <w:p>
      <w:r>
        <w:br w:type="page"/>
      </w:r>
    </w:p>
    <w:p>
      <w:pPr>
        <w:pStyle w:val="Heading1"/>
        <w:spacing w:after="140" w:before="360"/>
      </w:pPr>
      <w:r>
        <w:rPr>
          <w:rFonts w:ascii="Arial" w:cs="Arial" w:eastAsia="Arial" w:hAnsi="Arial"/>
          <w:b/>
          <w:bCs/>
          <w:color w:val="14181D"/>
          <w:sz w:val="28"/>
          <w:szCs w:val="28"/>
        </w:rPr>
        <w:t xml:space="preserve">7  Programme and delivery</w:t>
      </w:r>
    </w:p>
    <w:p>
      <w:pPr>
        <w:pStyle w:val="Heading2"/>
        <w:spacing w:after="100" w:before="240"/>
      </w:pPr>
      <w:r>
        <w:rPr>
          <w:rFonts w:ascii="Arial" w:cs="Arial" w:eastAsia="Arial" w:hAnsi="Arial"/>
          <w:b/>
          <w:bCs/>
          <w:color w:val="9C7A3C"/>
          <w:sz w:val="22"/>
          <w:szCs w:val="22"/>
        </w:rPr>
        <w:t xml:space="preserve">7.1  Fixed point</w:t>
      </w:r>
    </w:p>
    <w:p>
      <w:pPr>
        <w:spacing w:after="60" w:before="60" w:line="260"/>
      </w:pPr>
      <w:r>
        <w:rPr>
          <w:rFonts w:ascii="Arial" w:cs="Arial" w:eastAsia="Arial" w:hAnsi="Arial"/>
          <w:color w:val="14181D"/>
          <w:sz w:val="19"/>
          <w:szCs w:val="19"/>
        </w:rPr>
        <w:t xml:space="preserve">The village must be live before the first travelling worker arrives. That date, not the tender return date, is the fixed point in this programme. The tenderer shall demonstrate in its tender programme how it is met, and shall state the latest date by which each of the interfaces at section 5 must be satisfied for it to remain achievable.</w:t>
      </w:r>
    </w:p>
    <w:p>
      <w:pPr>
        <w:pStyle w:val="Heading2"/>
        <w:spacing w:after="100" w:before="240"/>
      </w:pPr>
      <w:r>
        <w:rPr>
          <w:rFonts w:ascii="Arial" w:cs="Arial" w:eastAsia="Arial" w:hAnsi="Arial"/>
          <w:b/>
          <w:bCs/>
          <w:color w:val="9C7A3C"/>
          <w:sz w:val="22"/>
          <w:szCs w:val="22"/>
        </w:rPr>
        <w:t xml:space="preserve">7.2  Delivery sequence</w:t>
      </w:r>
    </w:p>
    <w:p>
      <w:pPr>
        <w:spacing w:after="60" w:before="60" w:line="260"/>
      </w:pPr>
      <w:r>
        <w:rPr>
          <w:rFonts w:ascii="Arial" w:cs="Arial" w:eastAsia="Arial" w:hAnsi="Arial"/>
          <w:color w:val="14181D"/>
          <w:sz w:val="19"/>
          <w:szCs w:val="19"/>
        </w:rPr>
        <w:t xml:space="preserve">Blocks are to be delivered, set and weathertight in the sequence at Appendix 6, which is driven by the bed demand curve and not by manufacturing convenience. A tenderer proposing a different sequence shall price it as a departure and state the effect on the first-occupation date.</w:t>
      </w:r>
    </w:p>
    <w:p>
      <w:pPr>
        <w:pStyle w:val="Heading2"/>
        <w:spacing w:after="100" w:before="240"/>
      </w:pPr>
      <w:r>
        <w:rPr>
          <w:rFonts w:ascii="Arial" w:cs="Arial" w:eastAsia="Arial" w:hAnsi="Arial"/>
          <w:b/>
          <w:bCs/>
          <w:color w:val="9C7A3C"/>
          <w:sz w:val="22"/>
          <w:szCs w:val="22"/>
        </w:rPr>
        <w:t xml:space="preserve">7.3  Weather and abnormal loads</w:t>
      </w:r>
    </w:p>
    <w:p>
      <w:pPr>
        <w:spacing w:after="60" w:before="60" w:line="260"/>
      </w:pPr>
      <w:r>
        <w:rPr>
          <w:rFonts w:ascii="Arial" w:cs="Arial" w:eastAsia="Arial" w:hAnsi="Arial"/>
          <w:color w:val="14181D"/>
          <w:sz w:val="19"/>
          <w:szCs w:val="19"/>
        </w:rPr>
        <w:t xml:space="preserve">Deliveries are by abnormal load over the route at Appendix 7, which includes a structure subject to assessment. The tenderer shall confirm vehicle configuration and axle loading with its tender, and shall not assume the route is available until the assessment is complete.</w:t>
      </w:r>
    </w:p>
    <w:p>
      <w:pPr>
        <w:pStyle w:val="Heading2"/>
        <w:spacing w:after="100" w:before="240"/>
      </w:pPr>
      <w:r>
        <w:rPr>
          <w:rFonts w:ascii="Arial" w:cs="Arial" w:eastAsia="Arial" w:hAnsi="Arial"/>
          <w:b/>
          <w:bCs/>
          <w:color w:val="9C7A3C"/>
          <w:sz w:val="22"/>
          <w:szCs w:val="22"/>
        </w:rPr>
        <w:t xml:space="preserve">7.4  Working hours</w:t>
      </w:r>
    </w:p>
    <w:p>
      <w:pPr>
        <w:spacing w:after="60" w:before="60" w:line="260"/>
      </w:pPr>
      <w:r>
        <w:rPr>
          <w:rFonts w:ascii="Arial" w:cs="Arial" w:eastAsia="Arial" w:hAnsi="Arial"/>
          <w:color w:val="14181D"/>
          <w:sz w:val="19"/>
          <w:szCs w:val="19"/>
        </w:rPr>
        <w:t xml:space="preserve">Installation is restricted to the hours in the planning consent at Appendix 3. Craneage outside those hours requires the client's prior written agreement and the discharge of the relevant condition.</w:t>
      </w:r>
    </w:p>
    <w:p>
      <w:pPr>
        <w:pStyle w:val="Heading2"/>
        <w:spacing w:after="100" w:before="240"/>
      </w:pPr>
      <w:r>
        <w:rPr>
          <w:rFonts w:ascii="Arial" w:cs="Arial" w:eastAsia="Arial" w:hAnsi="Arial"/>
          <w:b/>
          <w:bCs/>
          <w:color w:val="9C7A3C"/>
          <w:sz w:val="22"/>
          <w:szCs w:val="22"/>
        </w:rPr>
        <w:t xml:space="preserve">7.5  Notification</w:t>
      </w:r>
    </w:p>
    <w:p>
      <w:pPr>
        <w:spacing w:after="60" w:before="60" w:line="260"/>
      </w:pPr>
      <w:r>
        <w:rPr>
          <w:rFonts w:ascii="Arial" w:cs="Arial" w:eastAsia="Arial" w:hAnsi="Arial"/>
          <w:color w:val="14181D"/>
          <w:sz w:val="19"/>
          <w:szCs w:val="19"/>
        </w:rPr>
        <w:t xml:space="preserve">Fourteen days' notice of each delivery, confirmed at seven days and again at forty-eight hours. A delivery arriving without confirmed notice may be refused entry.</w:t>
      </w:r>
    </w:p>
    <w:p>
      <w:r>
        <w:br w:type="page"/>
      </w:r>
    </w:p>
    <w:p>
      <w:pPr>
        <w:pStyle w:val="Heading1"/>
        <w:spacing w:after="140" w:before="360"/>
      </w:pPr>
      <w:r>
        <w:rPr>
          <w:rFonts w:ascii="Arial" w:cs="Arial" w:eastAsia="Arial" w:hAnsi="Arial"/>
          <w:b/>
          <w:bCs/>
          <w:color w:val="14181D"/>
          <w:sz w:val="28"/>
          <w:szCs w:val="28"/>
        </w:rPr>
        <w:t xml:space="preserve">8  Quality, inspection, testing and commissioning</w:t>
      </w:r>
    </w:p>
    <w:p>
      <w:pPr>
        <w:pStyle w:val="Heading2"/>
        <w:spacing w:after="100" w:before="240"/>
      </w:pPr>
      <w:r>
        <w:rPr>
          <w:rFonts w:ascii="Arial" w:cs="Arial" w:eastAsia="Arial" w:hAnsi="Arial"/>
          <w:b/>
          <w:bCs/>
          <w:color w:val="9C7A3C"/>
          <w:sz w:val="22"/>
          <w:szCs w:val="22"/>
        </w:rPr>
        <w:t xml:space="preserve">8.1  Inspection and test plan</w:t>
      </w:r>
    </w:p>
    <w:p>
      <w:pPr>
        <w:spacing w:after="60" w:before="60" w:line="260"/>
      </w:pPr>
      <w:r>
        <w:rPr>
          <w:rFonts w:ascii="Arial" w:cs="Arial" w:eastAsia="Arial" w:hAnsi="Arial"/>
          <w:color w:val="14181D"/>
          <w:sz w:val="19"/>
          <w:szCs w:val="19"/>
        </w:rPr>
        <w:t xml:space="preserve">Submitted within four weeks of award, covering manufacture, delivery, installation and commissioning, with hold points the client may witness. Work proceeding past an unsigned hold point may be opened up at the tenderer's cost.</w:t>
      </w:r>
    </w:p>
    <w:p>
      <w:pPr>
        <w:pStyle w:val="Heading2"/>
        <w:spacing w:after="100" w:before="240"/>
      </w:pPr>
      <w:r>
        <w:rPr>
          <w:rFonts w:ascii="Arial" w:cs="Arial" w:eastAsia="Arial" w:hAnsi="Arial"/>
          <w:b/>
          <w:bCs/>
          <w:color w:val="9C7A3C"/>
          <w:sz w:val="22"/>
          <w:szCs w:val="22"/>
        </w:rPr>
        <w:t xml:space="preserve">8.2  Factory inspection</w:t>
      </w:r>
    </w:p>
    <w:p>
      <w:pPr>
        <w:spacing w:after="60" w:before="60" w:line="260"/>
      </w:pPr>
      <w:r>
        <w:rPr>
          <w:rFonts w:ascii="Arial" w:cs="Arial" w:eastAsia="Arial" w:hAnsi="Arial"/>
          <w:color w:val="14181D"/>
          <w:sz w:val="19"/>
          <w:szCs w:val="19"/>
        </w:rPr>
        <w:t xml:space="preserve">The client reserves the right to inspect at the place of manufacture. The first module of each type is a benchmark and shall not be delivered until accepted; the benchmark remains available for comparison until the last module is set.</w:t>
      </w:r>
    </w:p>
    <w:p>
      <w:pPr>
        <w:pStyle w:val="Heading2"/>
        <w:spacing w:after="100" w:before="240"/>
      </w:pPr>
      <w:r>
        <w:rPr>
          <w:rFonts w:ascii="Arial" w:cs="Arial" w:eastAsia="Arial" w:hAnsi="Arial"/>
          <w:b/>
          <w:bCs/>
          <w:color w:val="9C7A3C"/>
          <w:sz w:val="22"/>
          <w:szCs w:val="22"/>
        </w:rPr>
        <w:t xml:space="preserve">8.3  Sample room</w:t>
      </w:r>
    </w:p>
    <w:p>
      <w:pPr>
        <w:spacing w:after="60" w:before="60" w:line="260"/>
      </w:pPr>
      <w:r>
        <w:rPr>
          <w:rFonts w:ascii="Arial" w:cs="Arial" w:eastAsia="Arial" w:hAnsi="Arial"/>
          <w:color w:val="14181D"/>
          <w:sz w:val="19"/>
          <w:szCs w:val="19"/>
        </w:rPr>
        <w:t xml:space="preserve">One complete RT-01, fully finished and serviced, shall be available for inspection not less than four weeks before the first delivery. It is the standard against which every subsequent room is measured.</w:t>
      </w:r>
    </w:p>
    <w:p>
      <w:pPr>
        <w:pStyle w:val="Heading2"/>
        <w:spacing w:after="100" w:before="240"/>
      </w:pPr>
      <w:r>
        <w:rPr>
          <w:rFonts w:ascii="Arial" w:cs="Arial" w:eastAsia="Arial" w:hAnsi="Arial"/>
          <w:b/>
          <w:bCs/>
          <w:color w:val="9C7A3C"/>
          <w:sz w:val="22"/>
          <w:szCs w:val="22"/>
        </w:rPr>
        <w:t xml:space="preserve">8.4  Pre-completion testing</w:t>
      </w:r>
    </w:p>
    <w:p>
      <w:pPr>
        <w:spacing w:after="60" w:before="60" w:line="260"/>
      </w:pPr>
      <w:r>
        <w:rPr>
          <w:rFonts w:ascii="Arial" w:cs="Arial" w:eastAsia="Arial" w:hAnsi="Arial"/>
          <w:color w:val="14181D"/>
          <w:sz w:val="19"/>
          <w:szCs w:val="19"/>
        </w:rPr>
        <w:t xml:space="preserve">Acoustic testing on a sample of one room pair in ten, and air permeability on one block in three, both to the standards at section 6. A failure requires the tenderer to test a further sample of the same size at its own cost, and to remedy every room represented by a failed test.</w:t>
      </w:r>
    </w:p>
    <w:p>
      <w:pPr>
        <w:pStyle w:val="Heading2"/>
        <w:spacing w:after="100" w:before="240"/>
      </w:pPr>
      <w:r>
        <w:rPr>
          <w:rFonts w:ascii="Arial" w:cs="Arial" w:eastAsia="Arial" w:hAnsi="Arial"/>
          <w:b/>
          <w:bCs/>
          <w:color w:val="9C7A3C"/>
          <w:sz w:val="22"/>
          <w:szCs w:val="22"/>
        </w:rPr>
        <w:t xml:space="preserve">8.5  Commissioning</w:t>
      </w:r>
    </w:p>
    <w:p>
      <w:pPr>
        <w:spacing w:after="60" w:before="60" w:line="260"/>
      </w:pPr>
      <w:r>
        <w:rPr>
          <w:rFonts w:ascii="Arial" w:cs="Arial" w:eastAsia="Arial" w:hAnsi="Arial"/>
          <w:color w:val="14181D"/>
          <w:sz w:val="19"/>
          <w:szCs w:val="19"/>
        </w:rPr>
        <w:t xml:space="preserve">Every ensuite extract rate, every water outlet temperature and every TMV measured and recorded individually. A commissioning record stating “all outlets satisfactory” without individual results will be rejected.</w:t>
      </w:r>
    </w:p>
    <w:p>
      <w:pPr>
        <w:pStyle w:val="Heading2"/>
        <w:spacing w:after="100" w:before="240"/>
      </w:pPr>
      <w:r>
        <w:rPr>
          <w:rFonts w:ascii="Arial" w:cs="Arial" w:eastAsia="Arial" w:hAnsi="Arial"/>
          <w:b/>
          <w:bCs/>
          <w:color w:val="9C7A3C"/>
          <w:sz w:val="22"/>
          <w:szCs w:val="22"/>
        </w:rPr>
        <w:t xml:space="preserve">8.6  Demonstration</w:t>
      </w:r>
    </w:p>
    <w:p>
      <w:pPr>
        <w:spacing w:after="60" w:before="60" w:line="260"/>
      </w:pPr>
      <w:r>
        <w:rPr>
          <w:rFonts w:ascii="Arial" w:cs="Arial" w:eastAsia="Arial" w:hAnsi="Arial"/>
          <w:color w:val="14181D"/>
          <w:sz w:val="19"/>
          <w:szCs w:val="19"/>
        </w:rPr>
        <w:t xml:space="preserve">Fire alarm cause and effect, emergency lighting, access control hierarchy and the wireless heat map demonstrated to the client and to P5 before handover.</w:t>
      </w:r>
    </w:p>
    <w:p>
      <w:r>
        <w:br w:type="page"/>
      </w:r>
    </w:p>
    <w:p>
      <w:pPr>
        <w:pStyle w:val="Heading1"/>
        <w:spacing w:after="140" w:before="360"/>
      </w:pPr>
      <w:r>
        <w:rPr>
          <w:rFonts w:ascii="Arial" w:cs="Arial" w:eastAsia="Arial" w:hAnsi="Arial"/>
          <w:b/>
          <w:bCs/>
          <w:color w:val="14181D"/>
          <w:sz w:val="28"/>
          <w:szCs w:val="28"/>
        </w:rPr>
        <w:t xml:space="preserve">9  Handover</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000"/>
        <w:gridCol w:w="6020"/>
      </w:tblGrid>
      <w:tr>
        <w:trPr>
          <w:tblHeader/>
        </w:trPr>
        <w:tc>
          <w:tcPr>
            <w:tcW w:type="dxa" w:w="3000"/>
            <w:tcBorders>
              <w:top w:val="single" w:color="D5D5D5" w:sz="2"/>
              <w:left w:val="single" w:color="D5D5D5" w:sz="2"/>
              <w:bottom w:val="single" w:color="D5D5D5" w:sz="2"/>
              <w:right w:val="single" w:color="D5D5D5" w:sz="2"/>
            </w:tcBorders>
            <w:shd w:fill="14181D" w:color="auto" w:val="clear"/>
            <w:tcMar>
              <w:top w:type="dxa" w:w="60"/>
              <w:left w:type="dxa" w:w="90"/>
              <w:bottom w:type="dxa" w:w="60"/>
              <w:right w:type="dxa" w:w="90"/>
            </w:tcMar>
          </w:tcPr>
          <w:p>
            <w:pPr>
              <w:spacing w:after="20" w:before="20" w:line="240"/>
            </w:pPr>
            <w:r>
              <w:rPr>
                <w:rFonts w:ascii="Arial" w:cs="Arial" w:eastAsia="Arial" w:hAnsi="Arial"/>
                <w:b/>
                <w:bCs/>
                <w:color w:val="FFFFFF"/>
                <w:sz w:val="17"/>
                <w:szCs w:val="17"/>
              </w:rPr>
              <w:t xml:space="preserve">Deliverable</w:t>
            </w:r>
          </w:p>
        </w:tc>
        <w:tc>
          <w:tcPr>
            <w:tcW w:type="dxa" w:w="6020"/>
            <w:tcBorders>
              <w:top w:val="single" w:color="D5D5D5" w:sz="2"/>
              <w:left w:val="single" w:color="D5D5D5" w:sz="2"/>
              <w:bottom w:val="single" w:color="D5D5D5" w:sz="2"/>
              <w:right w:val="single" w:color="D5D5D5" w:sz="2"/>
            </w:tcBorders>
            <w:shd w:fill="14181D" w:color="auto" w:val="clear"/>
            <w:tcMar>
              <w:top w:type="dxa" w:w="60"/>
              <w:left w:type="dxa" w:w="90"/>
              <w:bottom w:type="dxa" w:w="60"/>
              <w:right w:type="dxa" w:w="90"/>
            </w:tcMar>
          </w:tcPr>
          <w:p>
            <w:pPr>
              <w:spacing w:after="20" w:before="20" w:line="240"/>
            </w:pPr>
            <w:r>
              <w:rPr>
                <w:rFonts w:ascii="Arial" w:cs="Arial" w:eastAsia="Arial" w:hAnsi="Arial"/>
                <w:b/>
                <w:bCs/>
                <w:color w:val="FFFFFF"/>
                <w:sz w:val="17"/>
                <w:szCs w:val="17"/>
              </w:rPr>
              <w:t xml:space="preserve">Requirement</w:t>
            </w:r>
          </w:p>
        </w:tc>
      </w:tr>
      <w:tr>
        <w:tc>
          <w:tcPr>
            <w:tcW w:type="dxa" w:w="30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7"/>
                <w:szCs w:val="17"/>
              </w:rPr>
              <w:t xml:space="preserve">As-installed drawings</w:t>
            </w:r>
          </w:p>
        </w:tc>
        <w:tc>
          <w:tcPr>
            <w:tcW w:type="dxa" w:w="60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7"/>
                <w:szCs w:val="17"/>
              </w:rPr>
              <w:t xml:space="preserve">PDF and native format, every discipline, reflecting what was built rather than what was designed</w:t>
            </w:r>
          </w:p>
        </w:tc>
      </w:tr>
      <w:tr>
        <w:tc>
          <w:tcPr>
            <w:tcW w:type="dxa" w:w="30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7"/>
                <w:szCs w:val="17"/>
              </w:rPr>
              <w:t xml:space="preserve">O&amp;M manuals</w:t>
            </w:r>
          </w:p>
        </w:tc>
        <w:tc>
          <w:tcPr>
            <w:tcW w:type="dxa" w:w="60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7"/>
                <w:szCs w:val="17"/>
              </w:rPr>
              <w:t xml:space="preserve">Digital and one hard copy, indexed, including manufacturer literature, spares schedule and maintenance frequencies</w:t>
            </w:r>
          </w:p>
        </w:tc>
      </w:tr>
      <w:tr>
        <w:tc>
          <w:tcPr>
            <w:tcW w:type="dxa" w:w="30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7"/>
                <w:szCs w:val="17"/>
              </w:rPr>
              <w:t xml:space="preserve">Test and commissioning records</w:t>
            </w:r>
          </w:p>
        </w:tc>
        <w:tc>
          <w:tcPr>
            <w:tcW w:type="dxa" w:w="60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7"/>
                <w:szCs w:val="17"/>
              </w:rPr>
              <w:t xml:space="preserve">Individual results as required at 8.5, not summaries</w:t>
            </w:r>
          </w:p>
        </w:tc>
      </w:tr>
      <w:tr>
        <w:tc>
          <w:tcPr>
            <w:tcW w:type="dxa" w:w="30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7"/>
                <w:szCs w:val="17"/>
              </w:rPr>
              <w:t xml:space="preserve">Electrical certification</w:t>
            </w:r>
          </w:p>
        </w:tc>
        <w:tc>
          <w:tcPr>
            <w:tcW w:type="dxa" w:w="60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7"/>
                <w:szCs w:val="17"/>
              </w:rPr>
              <w:t xml:space="preserve">BS 7671 certificates with individual circuit results and an as-installed schedule</w:t>
            </w:r>
          </w:p>
        </w:tc>
      </w:tr>
      <w:tr>
        <w:tc>
          <w:tcPr>
            <w:tcW w:type="dxa" w:w="30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7"/>
                <w:szCs w:val="17"/>
              </w:rPr>
              <w:t xml:space="preserve">Fire doorset register</w:t>
            </w:r>
          </w:p>
        </w:tc>
        <w:tc>
          <w:tcPr>
            <w:tcW w:type="dxa" w:w="60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7"/>
                <w:szCs w:val="17"/>
              </w:rPr>
              <w:t xml:space="preserve">Every doorset, its rating, certification and location</w:t>
            </w:r>
          </w:p>
        </w:tc>
      </w:tr>
      <w:tr>
        <w:tc>
          <w:tcPr>
            <w:tcW w:type="dxa" w:w="30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7"/>
                <w:szCs w:val="17"/>
              </w:rPr>
              <w:t xml:space="preserve">Firestopping register</w:t>
            </w:r>
          </w:p>
        </w:tc>
        <w:tc>
          <w:tcPr>
            <w:tcW w:type="dxa" w:w="60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7"/>
                <w:szCs w:val="17"/>
              </w:rPr>
              <w:t xml:space="preserve">Every penetration, its location, the system used and the installer's certification</w:t>
            </w:r>
          </w:p>
        </w:tc>
      </w:tr>
      <w:tr>
        <w:tc>
          <w:tcPr>
            <w:tcW w:type="dxa" w:w="30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7"/>
                <w:szCs w:val="17"/>
              </w:rPr>
              <w:t xml:space="preserve">Legionella written scheme</w:t>
            </w:r>
          </w:p>
        </w:tc>
        <w:tc>
          <w:tcPr>
            <w:tcW w:type="dxa" w:w="60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7"/>
                <w:szCs w:val="17"/>
              </w:rPr>
              <w:t xml:space="preserve">Per 4.12, with the flushing log from first fill to handover</w:t>
            </w:r>
          </w:p>
        </w:tc>
      </w:tr>
      <w:tr>
        <w:tc>
          <w:tcPr>
            <w:tcW w:type="dxa" w:w="30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7"/>
                <w:szCs w:val="17"/>
              </w:rPr>
              <w:t xml:space="preserve">Warranties</w:t>
            </w:r>
          </w:p>
        </w:tc>
        <w:tc>
          <w:tcPr>
            <w:tcW w:type="dxa" w:w="60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7"/>
                <w:szCs w:val="17"/>
              </w:rPr>
              <w:t xml:space="preserve">Assigned to the client, including the roof material warranty at 4.4</w:t>
            </w:r>
          </w:p>
        </w:tc>
      </w:tr>
      <w:tr>
        <w:tc>
          <w:tcPr>
            <w:tcW w:type="dxa" w:w="30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7"/>
                <w:szCs w:val="17"/>
              </w:rPr>
              <w:t xml:space="preserve">Asset register</w:t>
            </w:r>
          </w:p>
        </w:tc>
        <w:tc>
          <w:tcPr>
            <w:tcW w:type="dxa" w:w="60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7"/>
                <w:szCs w:val="17"/>
              </w:rPr>
              <w:t xml:space="preserve">Every maintainable asset, tagged, with location and expected life — in the format required by P5</w:t>
            </w:r>
          </w:p>
        </w:tc>
      </w:tr>
      <w:tr>
        <w:tc>
          <w:tcPr>
            <w:tcW w:type="dxa" w:w="30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7"/>
                <w:szCs w:val="17"/>
              </w:rPr>
              <w:t xml:space="preserve">Training</w:t>
            </w:r>
          </w:p>
        </w:tc>
        <w:tc>
          <w:tcPr>
            <w:tcW w:type="dxa" w:w="60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7"/>
                <w:szCs w:val="17"/>
              </w:rPr>
              <w:t xml:space="preserve">Two sessions for P5's staff, recorded, covering plant, alarm, access control and the water system</w:t>
            </w:r>
          </w:p>
        </w:tc>
      </w:tr>
      <w:tr>
        <w:tc>
          <w:tcPr>
            <w:tcW w:type="dxa" w:w="30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7"/>
                <w:szCs w:val="17"/>
              </w:rPr>
              <w:t xml:space="preserve">Spares</w:t>
            </w:r>
          </w:p>
        </w:tc>
        <w:tc>
          <w:tcPr>
            <w:tcW w:type="dxa" w:w="60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7"/>
                <w:szCs w:val="17"/>
              </w:rPr>
              <w:t xml:space="preserve">Twelve months' consumables and a defined critical spares holding, listed and priced separately in the tender</w:t>
            </w:r>
          </w:p>
        </w:tc>
      </w:tr>
    </w:tbl>
    <w:p>
      <w:pPr>
        <w:spacing w:after="60" w:before="60" w:line="260"/>
      </w:pPr>
      <w:r>
        <w:rPr>
          <w:rFonts w:ascii="Arial" w:cs="Arial" w:eastAsia="Arial" w:hAnsi="Arial"/>
          <w:i/>
          <w:iCs/>
          <w:color w:val="C0392B"/>
          <w:sz w:val="19"/>
          <w:szCs w:val="19"/>
        </w:rPr>
        <w:t xml:space="preserve">Occupation shall not commence before commissioning is complete and the handover deliverables above have been received. This is scheduled as interface IF-07 and is not a matter of convenience.</w:t>
      </w:r>
    </w:p>
    <w:p>
      <w:r>
        <w:br w:type="page"/>
      </w:r>
    </w:p>
    <w:p>
      <w:pPr>
        <w:pStyle w:val="Heading1"/>
        <w:spacing w:after="140" w:before="360"/>
      </w:pPr>
      <w:r>
        <w:rPr>
          <w:rFonts w:ascii="Arial" w:cs="Arial" w:eastAsia="Arial" w:hAnsi="Arial"/>
          <w:b/>
          <w:bCs/>
          <w:color w:val="14181D"/>
          <w:sz w:val="28"/>
          <w:szCs w:val="28"/>
        </w:rPr>
        <w:t xml:space="preserve">10  Health, safety and environment</w:t>
      </w:r>
    </w:p>
    <w:p>
      <w:pPr>
        <w:pStyle w:val="Heading2"/>
        <w:spacing w:after="100" w:before="240"/>
      </w:pPr>
      <w:r>
        <w:rPr>
          <w:rFonts w:ascii="Arial" w:cs="Arial" w:eastAsia="Arial" w:hAnsi="Arial"/>
          <w:b/>
          <w:bCs/>
          <w:color w:val="9C7A3C"/>
          <w:sz w:val="22"/>
          <w:szCs w:val="22"/>
        </w:rPr>
        <w:t xml:space="preserve">10.1  CDM 2015</w:t>
      </w:r>
    </w:p>
    <w:p>
      <w:pPr>
        <w:spacing w:after="60" w:before="60" w:line="260"/>
      </w:pPr>
      <w:r>
        <w:rPr>
          <w:rFonts w:ascii="Arial" w:cs="Arial" w:eastAsia="Arial" w:hAnsi="Arial"/>
          <w:color w:val="14181D"/>
          <w:sz w:val="19"/>
          <w:szCs w:val="19"/>
        </w:rPr>
        <w:t xml:space="preserve">The client has appointed a Principal Designer and Principal Contractor for the project. This tenderer is a contractor under the Regulations and shall comply with the construction phase plan. Nothing in this document appoints this tenderer to either statutory role.</w:t>
      </w:r>
    </w:p>
    <w:p>
      <w:pPr>
        <w:pStyle w:val="Heading2"/>
        <w:spacing w:after="100" w:before="240"/>
      </w:pPr>
      <w:r>
        <w:rPr>
          <w:rFonts w:ascii="Arial" w:cs="Arial" w:eastAsia="Arial" w:hAnsi="Arial"/>
          <w:b/>
          <w:bCs/>
          <w:color w:val="9C7A3C"/>
          <w:sz w:val="22"/>
          <w:szCs w:val="22"/>
        </w:rPr>
        <w:t xml:space="preserve">10.2  Lifting operations</w:t>
      </w:r>
    </w:p>
    <w:p>
      <w:pPr>
        <w:spacing w:after="60" w:before="60" w:line="260"/>
      </w:pPr>
      <w:r>
        <w:rPr>
          <w:rFonts w:ascii="Arial" w:cs="Arial" w:eastAsia="Arial" w:hAnsi="Arial"/>
          <w:color w:val="14181D"/>
          <w:sz w:val="19"/>
          <w:szCs w:val="19"/>
        </w:rPr>
        <w:t xml:space="preserve">Every lift planned by a competent person, with the plan submitted seven days beforehand. Exclusion zones maintained. No lift over an occupied area at any time.</w:t>
      </w:r>
    </w:p>
    <w:p>
      <w:pPr>
        <w:pStyle w:val="Heading2"/>
        <w:spacing w:after="100" w:before="240"/>
      </w:pPr>
      <w:r>
        <w:rPr>
          <w:rFonts w:ascii="Arial" w:cs="Arial" w:eastAsia="Arial" w:hAnsi="Arial"/>
          <w:b/>
          <w:bCs/>
          <w:color w:val="9C7A3C"/>
          <w:sz w:val="22"/>
          <w:szCs w:val="22"/>
        </w:rPr>
        <w:t xml:space="preserve">10.3  Live site interface</w:t>
      </w:r>
    </w:p>
    <w:p>
      <w:pPr>
        <w:spacing w:after="60" w:before="60" w:line="260"/>
      </w:pPr>
      <w:r>
        <w:rPr>
          <w:rFonts w:ascii="Arial" w:cs="Arial" w:eastAsia="Arial" w:hAnsi="Arial"/>
          <w:color w:val="14181D"/>
          <w:sz w:val="19"/>
          <w:szCs w:val="19"/>
        </w:rPr>
        <w:t xml:space="preserve">Installation takes place alongside a live construction site. Segregation of the installation area from site traffic and from any occupied part of the village is this tenderer's responsibility and shall be shown on its logistics plan.</w:t>
      </w:r>
    </w:p>
    <w:p>
      <w:pPr>
        <w:pStyle w:val="Heading2"/>
        <w:spacing w:after="100" w:before="240"/>
      </w:pPr>
      <w:r>
        <w:rPr>
          <w:rFonts w:ascii="Arial" w:cs="Arial" w:eastAsia="Arial" w:hAnsi="Arial"/>
          <w:b/>
          <w:bCs/>
          <w:color w:val="9C7A3C"/>
          <w:sz w:val="22"/>
          <w:szCs w:val="22"/>
        </w:rPr>
        <w:t xml:space="preserve">10.4  Firestopping register</w:t>
      </w:r>
    </w:p>
    <w:p>
      <w:pPr>
        <w:spacing w:after="60" w:before="60" w:line="260"/>
      </w:pPr>
      <w:r>
        <w:rPr>
          <w:rFonts w:ascii="Arial" w:cs="Arial" w:eastAsia="Arial" w:hAnsi="Arial"/>
          <w:color w:val="14181D"/>
          <w:sz w:val="19"/>
          <w:szCs w:val="19"/>
        </w:rPr>
        <w:t xml:space="preserve">Maintained during installation, not compiled at the end. The client may inspect it at any time; an incomplete register is a hold on payment.</w:t>
      </w:r>
    </w:p>
    <w:p>
      <w:pPr>
        <w:pStyle w:val="Heading2"/>
        <w:spacing w:after="100" w:before="240"/>
      </w:pPr>
      <w:r>
        <w:rPr>
          <w:rFonts w:ascii="Arial" w:cs="Arial" w:eastAsia="Arial" w:hAnsi="Arial"/>
          <w:b/>
          <w:bCs/>
          <w:color w:val="9C7A3C"/>
          <w:sz w:val="22"/>
          <w:szCs w:val="22"/>
        </w:rPr>
        <w:t xml:space="preserve">10.5  Waste</w:t>
      </w:r>
    </w:p>
    <w:p>
      <w:pPr>
        <w:spacing w:after="60" w:before="60" w:line="260"/>
      </w:pPr>
      <w:r>
        <w:rPr>
          <w:rFonts w:ascii="Arial" w:cs="Arial" w:eastAsia="Arial" w:hAnsi="Arial"/>
          <w:color w:val="14181D"/>
          <w:sz w:val="19"/>
          <w:szCs w:val="19"/>
        </w:rPr>
        <w:t xml:space="preserve">Duty of care applies. Transfer notes for every movement. Packaging returned or recycled; a target of 90% diversion from landfill is required and shall be reported monthly.</w:t>
      </w:r>
    </w:p>
    <w:p>
      <w:pPr>
        <w:pStyle w:val="Heading2"/>
        <w:spacing w:after="100" w:before="240"/>
      </w:pPr>
      <w:r>
        <w:rPr>
          <w:rFonts w:ascii="Arial" w:cs="Arial" w:eastAsia="Arial" w:hAnsi="Arial"/>
          <w:b/>
          <w:bCs/>
          <w:color w:val="9C7A3C"/>
          <w:sz w:val="22"/>
          <w:szCs w:val="22"/>
        </w:rPr>
        <w:t xml:space="preserve">10.6  Environmental</w:t>
      </w:r>
    </w:p>
    <w:p>
      <w:pPr>
        <w:spacing w:after="60" w:before="60" w:line="260"/>
      </w:pPr>
      <w:r>
        <w:rPr>
          <w:rFonts w:ascii="Arial" w:cs="Arial" w:eastAsia="Arial" w:hAnsi="Arial"/>
          <w:color w:val="14181D"/>
          <w:sz w:val="19"/>
          <w:szCs w:val="19"/>
        </w:rPr>
        <w:t xml:space="preserve">Compliance with the CEMP at Appendix 4, including hours, noise, dust, lighting and the ecological constraints recorded there.</w:t>
      </w:r>
    </w:p>
    <w:p>
      <w:r>
        <w:br w:type="page"/>
      </w:r>
    </w:p>
    <w:p>
      <w:pPr>
        <w:pStyle w:val="Heading1"/>
        <w:spacing w:after="140" w:before="360"/>
      </w:pPr>
      <w:r>
        <w:rPr>
          <w:rFonts w:ascii="Arial" w:cs="Arial" w:eastAsia="Arial" w:hAnsi="Arial"/>
          <w:b/>
          <w:bCs/>
          <w:color w:val="14181D"/>
          <w:sz w:val="28"/>
          <w:szCs w:val="28"/>
        </w:rPr>
        <w:t xml:space="preserve">11  Drawings and documents register</w:t>
      </w:r>
    </w:p>
    <w:p>
      <w:pPr>
        <w:pStyle w:val="Heading2"/>
        <w:spacing w:after="100" w:before="240"/>
      </w:pPr>
      <w:r>
        <w:rPr>
          <w:rFonts w:ascii="Arial" w:cs="Arial" w:eastAsia="Arial" w:hAnsi="Arial"/>
          <w:b/>
          <w:bCs/>
          <w:color w:val="9C7A3C"/>
          <w:sz w:val="22"/>
          <w:szCs w:val="22"/>
        </w:rPr>
        <w:t xml:space="preserve">11.1  Issued with this document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900"/>
        <w:gridCol w:w="4400"/>
        <w:gridCol w:w="1200"/>
        <w:gridCol w:w="1520"/>
      </w:tblGrid>
      <w:tr>
        <w:trPr>
          <w:tblHeader/>
        </w:trPr>
        <w:tc>
          <w:tcPr>
            <w:tcW w:type="dxa" w:w="1900"/>
            <w:tcBorders>
              <w:top w:val="single" w:color="D5D5D5" w:sz="2"/>
              <w:left w:val="single" w:color="D5D5D5" w:sz="2"/>
              <w:bottom w:val="single" w:color="D5D5D5" w:sz="2"/>
              <w:right w:val="single" w:color="D5D5D5" w:sz="2"/>
            </w:tcBorders>
            <w:shd w:fill="14181D" w:color="auto" w:val="clear"/>
            <w:tcMar>
              <w:top w:type="dxa" w:w="60"/>
              <w:left w:type="dxa" w:w="90"/>
              <w:bottom w:type="dxa" w:w="60"/>
              <w:right w:type="dxa" w:w="90"/>
            </w:tcMar>
          </w:tcPr>
          <w:p>
            <w:pPr>
              <w:spacing w:after="20" w:before="20" w:line="240"/>
            </w:pPr>
            <w:r>
              <w:rPr>
                <w:rFonts w:ascii="Arial" w:cs="Arial" w:eastAsia="Arial" w:hAnsi="Arial"/>
                <w:b/>
                <w:bCs/>
                <w:color w:val="FFFFFF"/>
                <w:sz w:val="17"/>
                <w:szCs w:val="17"/>
              </w:rPr>
              <w:t xml:space="preserve">Reference</w:t>
            </w:r>
          </w:p>
        </w:tc>
        <w:tc>
          <w:tcPr>
            <w:tcW w:type="dxa" w:w="4400"/>
            <w:tcBorders>
              <w:top w:val="single" w:color="D5D5D5" w:sz="2"/>
              <w:left w:val="single" w:color="D5D5D5" w:sz="2"/>
              <w:bottom w:val="single" w:color="D5D5D5" w:sz="2"/>
              <w:right w:val="single" w:color="D5D5D5" w:sz="2"/>
            </w:tcBorders>
            <w:shd w:fill="14181D" w:color="auto" w:val="clear"/>
            <w:tcMar>
              <w:top w:type="dxa" w:w="60"/>
              <w:left w:type="dxa" w:w="90"/>
              <w:bottom w:type="dxa" w:w="60"/>
              <w:right w:type="dxa" w:w="90"/>
            </w:tcMar>
          </w:tcPr>
          <w:p>
            <w:pPr>
              <w:spacing w:after="20" w:before="20" w:line="240"/>
            </w:pPr>
            <w:r>
              <w:rPr>
                <w:rFonts w:ascii="Arial" w:cs="Arial" w:eastAsia="Arial" w:hAnsi="Arial"/>
                <w:b/>
                <w:bCs/>
                <w:color w:val="FFFFFF"/>
                <w:sz w:val="17"/>
                <w:szCs w:val="17"/>
              </w:rPr>
              <w:t xml:space="preserve">Title</w:t>
            </w:r>
          </w:p>
        </w:tc>
        <w:tc>
          <w:tcPr>
            <w:tcW w:type="dxa" w:w="1200"/>
            <w:tcBorders>
              <w:top w:val="single" w:color="D5D5D5" w:sz="2"/>
              <w:left w:val="single" w:color="D5D5D5" w:sz="2"/>
              <w:bottom w:val="single" w:color="D5D5D5" w:sz="2"/>
              <w:right w:val="single" w:color="D5D5D5" w:sz="2"/>
            </w:tcBorders>
            <w:shd w:fill="14181D" w:color="auto" w:val="clear"/>
            <w:tcMar>
              <w:top w:type="dxa" w:w="60"/>
              <w:left w:type="dxa" w:w="90"/>
              <w:bottom w:type="dxa" w:w="60"/>
              <w:right w:type="dxa" w:w="90"/>
            </w:tcMar>
          </w:tcPr>
          <w:p>
            <w:pPr>
              <w:spacing w:after="20" w:before="20" w:line="240"/>
            </w:pPr>
            <w:r>
              <w:rPr>
                <w:rFonts w:ascii="Arial" w:cs="Arial" w:eastAsia="Arial" w:hAnsi="Arial"/>
                <w:b/>
                <w:bCs/>
                <w:color w:val="FFFFFF"/>
                <w:sz w:val="17"/>
                <w:szCs w:val="17"/>
              </w:rPr>
              <w:t xml:space="preserve">Revision</w:t>
            </w:r>
          </w:p>
        </w:tc>
        <w:tc>
          <w:tcPr>
            <w:tcW w:type="dxa" w:w="1520"/>
            <w:tcBorders>
              <w:top w:val="single" w:color="D5D5D5" w:sz="2"/>
              <w:left w:val="single" w:color="D5D5D5" w:sz="2"/>
              <w:bottom w:val="single" w:color="D5D5D5" w:sz="2"/>
              <w:right w:val="single" w:color="D5D5D5" w:sz="2"/>
            </w:tcBorders>
            <w:shd w:fill="14181D" w:color="auto" w:val="clear"/>
            <w:tcMar>
              <w:top w:type="dxa" w:w="60"/>
              <w:left w:type="dxa" w:w="90"/>
              <w:bottom w:type="dxa" w:w="60"/>
              <w:right w:type="dxa" w:w="90"/>
            </w:tcMar>
          </w:tcPr>
          <w:p>
            <w:pPr>
              <w:spacing w:after="20" w:before="20" w:line="240"/>
            </w:pPr>
            <w:r>
              <w:rPr>
                <w:rFonts w:ascii="Arial" w:cs="Arial" w:eastAsia="Arial" w:hAnsi="Arial"/>
                <w:b/>
                <w:bCs/>
                <w:color w:val="FFFFFF"/>
                <w:sz w:val="17"/>
                <w:szCs w:val="17"/>
              </w:rPr>
              <w:t xml:space="preserve">Status</w:t>
            </w:r>
          </w:p>
        </w:tc>
      </w:tr>
      <w:tr>
        <w:tc>
          <w:tcPr>
            <w:tcW w:type="dxa" w:w="19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color w:val="14181D"/>
                <w:sz w:val="16"/>
                <w:szCs w:val="16"/>
              </w:rPr>
              <w:t xml:space="preserve">NR-TW-C1-0101</w:t>
            </w:r>
          </w:p>
        </w:tc>
        <w:tc>
          <w:tcPr>
            <w:tcW w:type="dxa" w:w="44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color w:val="14181D"/>
                <w:sz w:val="16"/>
                <w:szCs w:val="16"/>
              </w:rPr>
              <w:t xml:space="preserve">C1 main compound general arrangement</w:t>
            </w:r>
          </w:p>
        </w:tc>
        <w:tc>
          <w:tcPr>
            <w:tcW w:type="dxa" w:w="12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color w:val="14181D"/>
                <w:sz w:val="16"/>
                <w:szCs w:val="16"/>
              </w:rPr>
              <w:t xml:space="preserve">A</w:t>
            </w:r>
          </w:p>
        </w:tc>
        <w:tc>
          <w:tcPr>
            <w:tcW w:type="dxa" w:w="15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color w:val="14181D"/>
                <w:sz w:val="16"/>
                <w:szCs w:val="16"/>
              </w:rPr>
              <w:t xml:space="preserve">For tender</w:t>
            </w:r>
          </w:p>
        </w:tc>
      </w:tr>
      <w:tr>
        <w:tc>
          <w:tcPr>
            <w:tcW w:type="dxa" w:w="19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color w:val="14181D"/>
                <w:sz w:val="16"/>
                <w:szCs w:val="16"/>
              </w:rPr>
              <w:t xml:space="preserve">NR-TW-VIL-0201</w:t>
            </w:r>
          </w:p>
        </w:tc>
        <w:tc>
          <w:tcPr>
            <w:tcW w:type="dxa" w:w="44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color w:val="14181D"/>
                <w:sz w:val="16"/>
                <w:szCs w:val="16"/>
              </w:rPr>
              <w:t xml:space="preserve">Village general arrangement and block layout</w:t>
            </w:r>
          </w:p>
        </w:tc>
        <w:tc>
          <w:tcPr>
            <w:tcW w:type="dxa" w:w="12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color w:val="14181D"/>
                <w:sz w:val="16"/>
                <w:szCs w:val="16"/>
              </w:rPr>
              <w:t xml:space="preserve">B</w:t>
            </w:r>
          </w:p>
        </w:tc>
        <w:tc>
          <w:tcPr>
            <w:tcW w:type="dxa" w:w="15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color w:val="14181D"/>
                <w:sz w:val="16"/>
                <w:szCs w:val="16"/>
              </w:rPr>
              <w:t xml:space="preserve">For tender</w:t>
            </w:r>
          </w:p>
        </w:tc>
      </w:tr>
      <w:tr>
        <w:tc>
          <w:tcPr>
            <w:tcW w:type="dxa" w:w="19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color w:val="14181D"/>
                <w:sz w:val="16"/>
                <w:szCs w:val="16"/>
              </w:rPr>
              <w:t xml:space="preserve">NR-TW-VIL-0202</w:t>
            </w:r>
          </w:p>
        </w:tc>
        <w:tc>
          <w:tcPr>
            <w:tcW w:type="dxa" w:w="44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color w:val="14181D"/>
                <w:sz w:val="16"/>
                <w:szCs w:val="16"/>
              </w:rPr>
              <w:t xml:space="preserve">Block type plans and elevations</w:t>
            </w:r>
          </w:p>
        </w:tc>
        <w:tc>
          <w:tcPr>
            <w:tcW w:type="dxa" w:w="12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color w:val="14181D"/>
                <w:sz w:val="16"/>
                <w:szCs w:val="16"/>
              </w:rPr>
              <w:t xml:space="preserve">A</w:t>
            </w:r>
          </w:p>
        </w:tc>
        <w:tc>
          <w:tcPr>
            <w:tcW w:type="dxa" w:w="15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color w:val="14181D"/>
                <w:sz w:val="16"/>
                <w:szCs w:val="16"/>
              </w:rPr>
              <w:t xml:space="preserve">For tender</w:t>
            </w:r>
          </w:p>
        </w:tc>
      </w:tr>
      <w:tr>
        <w:tc>
          <w:tcPr>
            <w:tcW w:type="dxa" w:w="19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color w:val="14181D"/>
                <w:sz w:val="16"/>
                <w:szCs w:val="16"/>
              </w:rPr>
              <w:t xml:space="preserve">NR-TW-VIL-0203</w:t>
            </w:r>
          </w:p>
        </w:tc>
        <w:tc>
          <w:tcPr>
            <w:tcW w:type="dxa" w:w="44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color w:val="14181D"/>
                <w:sz w:val="16"/>
                <w:szCs w:val="16"/>
              </w:rPr>
              <w:t xml:space="preserve">Service termination point coordination drawing</w:t>
            </w:r>
          </w:p>
        </w:tc>
        <w:tc>
          <w:tcPr>
            <w:tcW w:type="dxa" w:w="12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color w:val="14181D"/>
                <w:sz w:val="16"/>
                <w:szCs w:val="16"/>
              </w:rPr>
              <w:t xml:space="preserve">A</w:t>
            </w:r>
          </w:p>
        </w:tc>
        <w:tc>
          <w:tcPr>
            <w:tcW w:type="dxa" w:w="15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color w:val="14181D"/>
                <w:sz w:val="16"/>
                <w:szCs w:val="16"/>
              </w:rPr>
              <w:t xml:space="preserve">For tender — to be signed under IF-02</w:t>
            </w:r>
          </w:p>
        </w:tc>
      </w:tr>
      <w:tr>
        <w:tc>
          <w:tcPr>
            <w:tcW w:type="dxa" w:w="19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color w:val="14181D"/>
                <w:sz w:val="16"/>
                <w:szCs w:val="16"/>
              </w:rPr>
              <w:t xml:space="preserve">NR-FS-VIL-001</w:t>
            </w:r>
          </w:p>
        </w:tc>
        <w:tc>
          <w:tcPr>
            <w:tcW w:type="dxa" w:w="44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color w:val="14181D"/>
                <w:sz w:val="16"/>
                <w:szCs w:val="16"/>
              </w:rPr>
              <w:t xml:space="preserve">Fire strategy</w:t>
            </w:r>
          </w:p>
        </w:tc>
        <w:tc>
          <w:tcPr>
            <w:tcW w:type="dxa" w:w="12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color w:val="14181D"/>
                <w:sz w:val="16"/>
                <w:szCs w:val="16"/>
              </w:rPr>
              <w:t xml:space="preserve">C</w:t>
            </w:r>
          </w:p>
        </w:tc>
        <w:tc>
          <w:tcPr>
            <w:tcW w:type="dxa" w:w="15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color w:val="14181D"/>
                <w:sz w:val="16"/>
                <w:szCs w:val="16"/>
              </w:rPr>
              <w:t xml:space="preserve">For tender — Appendix 2</w:t>
            </w:r>
          </w:p>
        </w:tc>
      </w:tr>
      <w:tr>
        <w:tc>
          <w:tcPr>
            <w:tcW w:type="dxa" w:w="19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color w:val="14181D"/>
                <w:sz w:val="16"/>
                <w:szCs w:val="16"/>
              </w:rPr>
              <w:t xml:space="preserve">NR-SC-VIL-001</w:t>
            </w:r>
          </w:p>
        </w:tc>
        <w:tc>
          <w:tcPr>
            <w:tcW w:type="dxa" w:w="44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color w:val="14181D"/>
                <w:sz w:val="16"/>
                <w:szCs w:val="16"/>
              </w:rPr>
              <w:t xml:space="preserve">Bed demand curve and occupancy programme</w:t>
            </w:r>
          </w:p>
        </w:tc>
        <w:tc>
          <w:tcPr>
            <w:tcW w:type="dxa" w:w="12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color w:val="14181D"/>
                <w:sz w:val="16"/>
                <w:szCs w:val="16"/>
              </w:rPr>
              <w:t xml:space="preserve">B</w:t>
            </w:r>
          </w:p>
        </w:tc>
        <w:tc>
          <w:tcPr>
            <w:tcW w:type="dxa" w:w="15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color w:val="14181D"/>
                <w:sz w:val="16"/>
                <w:szCs w:val="16"/>
              </w:rPr>
              <w:t xml:space="preserve">For information — Appendix 6</w:t>
            </w:r>
          </w:p>
        </w:tc>
      </w:tr>
      <w:tr>
        <w:tc>
          <w:tcPr>
            <w:tcW w:type="dxa" w:w="19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color w:val="14181D"/>
                <w:sz w:val="16"/>
                <w:szCs w:val="16"/>
              </w:rPr>
              <w:t xml:space="preserve">NR-AL-001</w:t>
            </w:r>
          </w:p>
        </w:tc>
        <w:tc>
          <w:tcPr>
            <w:tcW w:type="dxa" w:w="44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color w:val="14181D"/>
                <w:sz w:val="16"/>
                <w:szCs w:val="16"/>
              </w:rPr>
              <w:t xml:space="preserve">Abnormal load route assessment</w:t>
            </w:r>
          </w:p>
        </w:tc>
        <w:tc>
          <w:tcPr>
            <w:tcW w:type="dxa" w:w="12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color w:val="14181D"/>
                <w:sz w:val="16"/>
                <w:szCs w:val="16"/>
              </w:rPr>
              <w:t xml:space="preserve">Draft</w:t>
            </w:r>
          </w:p>
        </w:tc>
        <w:tc>
          <w:tcPr>
            <w:tcW w:type="dxa" w:w="15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color w:val="14181D"/>
                <w:sz w:val="16"/>
                <w:szCs w:val="16"/>
              </w:rPr>
              <w:t xml:space="preserve">For information — Appendix 7, assessment incomplete</w:t>
            </w:r>
          </w:p>
        </w:tc>
      </w:tr>
    </w:tbl>
    <w:p>
      <w:pPr>
        <w:spacing w:after="60" w:before="60" w:line="260"/>
      </w:pPr>
      <w:r>
        <w:rPr>
          <w:rFonts w:ascii="Arial" w:cs="Arial" w:eastAsia="Arial" w:hAnsi="Arial"/>
          <w:i/>
          <w:iCs/>
          <w:color w:val="C0392B"/>
          <w:sz w:val="19"/>
          <w:szCs w:val="19"/>
        </w:rPr>
        <w:t xml:space="preserve">The abnormal load route assessment is incomplete and is issued as a draft. The tenderer shall not assume the route is available. This is stated so that an assumption is priced rather than a risk.</w:t>
      </w:r>
    </w:p>
    <w:p>
      <w:pPr>
        <w:pStyle w:val="Heading2"/>
        <w:spacing w:after="100" w:before="240"/>
      </w:pPr>
      <w:r>
        <w:rPr>
          <w:rFonts w:ascii="Arial" w:cs="Arial" w:eastAsia="Arial" w:hAnsi="Arial"/>
          <w:b/>
          <w:bCs/>
          <w:color w:val="9C7A3C"/>
          <w:sz w:val="22"/>
          <w:szCs w:val="22"/>
        </w:rPr>
        <w:t xml:space="preserve">11.2  Required from the tenderer with its tender</w:t>
      </w:r>
    </w:p>
    <w:p>
      <w:pPr>
        <w:spacing w:after="20" w:before="20" w:line="260"/>
        <w:ind w:left="280"/>
      </w:pPr>
      <w:r>
        <w:rPr>
          <w:rFonts w:ascii="Arial" w:cs="Arial" w:eastAsia="Arial" w:hAnsi="Arial"/>
          <w:color w:val="14181D"/>
          <w:sz w:val="19"/>
          <w:szCs w:val="19"/>
        </w:rPr>
        <w:t xml:space="preserve">·   Design calculations for the U-values, air permeability strategy and thermal bridging   (Section 6)</w:t>
      </w:r>
    </w:p>
    <w:p>
      <w:pPr>
        <w:spacing w:after="20" w:before="20" w:line="260"/>
        <w:ind w:left="280"/>
      </w:pPr>
      <w:r>
        <w:rPr>
          <w:rFonts w:ascii="Arial" w:cs="Arial" w:eastAsia="Arial" w:hAnsi="Arial"/>
          <w:color w:val="14181D"/>
          <w:sz w:val="19"/>
          <w:szCs w:val="19"/>
        </w:rPr>
        <w:t xml:space="preserve">·   Setting-out and base tolerance specification   (4.1 and IF-01)</w:t>
      </w:r>
    </w:p>
    <w:p>
      <w:pPr>
        <w:spacing w:after="20" w:before="20" w:line="260"/>
        <w:ind w:left="280"/>
      </w:pPr>
      <w:r>
        <w:rPr>
          <w:rFonts w:ascii="Arial" w:cs="Arial" w:eastAsia="Arial" w:hAnsi="Arial"/>
          <w:color w:val="14181D"/>
          <w:sz w:val="19"/>
          <w:szCs w:val="19"/>
        </w:rPr>
        <w:t xml:space="preserve">·   Maintenance access strategy drawing   (4.14)</w:t>
      </w:r>
    </w:p>
    <w:p>
      <w:pPr>
        <w:spacing w:after="20" w:before="20" w:line="260"/>
        <w:ind w:left="280"/>
      </w:pPr>
      <w:r>
        <w:rPr>
          <w:rFonts w:ascii="Arial" w:cs="Arial" w:eastAsia="Arial" w:hAnsi="Arial"/>
          <w:color w:val="14181D"/>
          <w:sz w:val="19"/>
          <w:szCs w:val="19"/>
        </w:rPr>
        <w:t xml:space="preserve">·   Tender programme showing every interface date at section 5   (7.1)</w:t>
      </w:r>
    </w:p>
    <w:p>
      <w:pPr>
        <w:spacing w:after="20" w:before="20" w:line="260"/>
        <w:ind w:left="280"/>
      </w:pPr>
      <w:r>
        <w:rPr>
          <w:rFonts w:ascii="Arial" w:cs="Arial" w:eastAsia="Arial" w:hAnsi="Arial"/>
          <w:color w:val="14181D"/>
          <w:sz w:val="19"/>
          <w:szCs w:val="19"/>
        </w:rPr>
        <w:t xml:space="preserve">·   Logistics plan for delivery, craneage and segregation   (10.3)</w:t>
      </w:r>
    </w:p>
    <w:p>
      <w:pPr>
        <w:spacing w:after="20" w:before="20" w:line="260"/>
        <w:ind w:left="280"/>
      </w:pPr>
      <w:r>
        <w:rPr>
          <w:rFonts w:ascii="Arial" w:cs="Arial" w:eastAsia="Arial" w:hAnsi="Arial"/>
          <w:color w:val="14181D"/>
          <w:sz w:val="19"/>
          <w:szCs w:val="19"/>
        </w:rPr>
        <w:t xml:space="preserve">·   Schedule of departures from this document, priced separately   (1.1)</w:t>
      </w:r>
    </w:p>
    <w:p>
      <w:pPr>
        <w:spacing w:after="20" w:before="20" w:line="260"/>
        <w:ind w:left="280"/>
      </w:pPr>
      <w:r>
        <w:rPr>
          <w:rFonts w:ascii="Arial" w:cs="Arial" w:eastAsia="Arial" w:hAnsi="Arial"/>
          <w:color w:val="14181D"/>
          <w:sz w:val="19"/>
          <w:szCs w:val="19"/>
        </w:rPr>
        <w:t xml:space="preserve">·   Priced activity schedule in the structure at Appendix 1   (Section 12)</w:t>
      </w:r>
    </w:p>
    <w:p>
      <w:r>
        <w:br w:type="page"/>
      </w:r>
    </w:p>
    <w:p>
      <w:pPr>
        <w:pStyle w:val="Heading1"/>
        <w:spacing w:after="140" w:before="360"/>
      </w:pPr>
      <w:r>
        <w:rPr>
          <w:rFonts w:ascii="Arial" w:cs="Arial" w:eastAsia="Arial" w:hAnsi="Arial"/>
          <w:b/>
          <w:bCs/>
          <w:color w:val="14181D"/>
          <w:sz w:val="28"/>
          <w:szCs w:val="28"/>
        </w:rPr>
        <w:t xml:space="preserve">12  Pricing and the activity schedule</w:t>
      </w:r>
    </w:p>
    <w:p>
      <w:pPr>
        <w:spacing w:after="60" w:before="60" w:line="260"/>
      </w:pPr>
      <w:r>
        <w:rPr>
          <w:rFonts w:ascii="Arial" w:cs="Arial" w:eastAsia="Arial" w:hAnsi="Arial"/>
          <w:color w:val="14181D"/>
          <w:sz w:val="19"/>
          <w:szCs w:val="19"/>
        </w:rPr>
        <w:t xml:space="preserve">The tender shall be priced against the activity schedule at Appendix 1, in its issued structure. A tenderer who alters the structure produces a return that cannot be compared with the others, and it will be marked accordingly.</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100"/>
        <w:gridCol w:w="4600"/>
        <w:gridCol w:w="1660"/>
        <w:gridCol w:w="1660"/>
      </w:tblGrid>
      <w:tr>
        <w:trPr>
          <w:tblHeader/>
        </w:trPr>
        <w:tc>
          <w:tcPr>
            <w:tcW w:type="dxa" w:w="1100"/>
            <w:tcBorders>
              <w:top w:val="single" w:color="D5D5D5" w:sz="2"/>
              <w:left w:val="single" w:color="D5D5D5" w:sz="2"/>
              <w:bottom w:val="single" w:color="D5D5D5" w:sz="2"/>
              <w:right w:val="single" w:color="D5D5D5" w:sz="2"/>
            </w:tcBorders>
            <w:shd w:fill="14181D" w:color="auto" w:val="clear"/>
            <w:tcMar>
              <w:top w:type="dxa" w:w="60"/>
              <w:left w:type="dxa" w:w="90"/>
              <w:bottom w:type="dxa" w:w="60"/>
              <w:right w:type="dxa" w:w="90"/>
            </w:tcMar>
          </w:tcPr>
          <w:p>
            <w:pPr>
              <w:spacing w:after="20" w:before="20" w:line="240"/>
            </w:pPr>
            <w:r>
              <w:rPr>
                <w:rFonts w:ascii="Arial" w:cs="Arial" w:eastAsia="Arial" w:hAnsi="Arial"/>
                <w:b/>
                <w:bCs/>
                <w:color w:val="FFFFFF"/>
                <w:sz w:val="17"/>
                <w:szCs w:val="17"/>
              </w:rPr>
              <w:t xml:space="preserve">Item</w:t>
            </w:r>
          </w:p>
        </w:tc>
        <w:tc>
          <w:tcPr>
            <w:tcW w:type="dxa" w:w="4600"/>
            <w:tcBorders>
              <w:top w:val="single" w:color="D5D5D5" w:sz="2"/>
              <w:left w:val="single" w:color="D5D5D5" w:sz="2"/>
              <w:bottom w:val="single" w:color="D5D5D5" w:sz="2"/>
              <w:right w:val="single" w:color="D5D5D5" w:sz="2"/>
            </w:tcBorders>
            <w:shd w:fill="14181D" w:color="auto" w:val="clear"/>
            <w:tcMar>
              <w:top w:type="dxa" w:w="60"/>
              <w:left w:type="dxa" w:w="90"/>
              <w:bottom w:type="dxa" w:w="60"/>
              <w:right w:type="dxa" w:w="90"/>
            </w:tcMar>
          </w:tcPr>
          <w:p>
            <w:pPr>
              <w:spacing w:after="20" w:before="20" w:line="240"/>
            </w:pPr>
            <w:r>
              <w:rPr>
                <w:rFonts w:ascii="Arial" w:cs="Arial" w:eastAsia="Arial" w:hAnsi="Arial"/>
                <w:b/>
                <w:bCs/>
                <w:color w:val="FFFFFF"/>
                <w:sz w:val="17"/>
                <w:szCs w:val="17"/>
              </w:rPr>
              <w:t xml:space="preserve">Activity</w:t>
            </w:r>
          </w:p>
        </w:tc>
        <w:tc>
          <w:tcPr>
            <w:tcW w:type="dxa" w:w="1660"/>
            <w:tcBorders>
              <w:top w:val="single" w:color="D5D5D5" w:sz="2"/>
              <w:left w:val="single" w:color="D5D5D5" w:sz="2"/>
              <w:bottom w:val="single" w:color="D5D5D5" w:sz="2"/>
              <w:right w:val="single" w:color="D5D5D5" w:sz="2"/>
            </w:tcBorders>
            <w:shd w:fill="14181D" w:color="auto" w:val="clear"/>
            <w:tcMar>
              <w:top w:type="dxa" w:w="60"/>
              <w:left w:type="dxa" w:w="90"/>
              <w:bottom w:type="dxa" w:w="60"/>
              <w:right w:type="dxa" w:w="90"/>
            </w:tcMar>
          </w:tcPr>
          <w:p>
            <w:pPr>
              <w:spacing w:after="20" w:before="20" w:line="240"/>
            </w:pPr>
            <w:r>
              <w:rPr>
                <w:rFonts w:ascii="Arial" w:cs="Arial" w:eastAsia="Arial" w:hAnsi="Arial"/>
                <w:b/>
                <w:bCs/>
                <w:color w:val="FFFFFF"/>
                <w:sz w:val="17"/>
                <w:szCs w:val="17"/>
              </w:rPr>
              <w:t xml:space="preserve">Basis</w:t>
            </w:r>
          </w:p>
        </w:tc>
        <w:tc>
          <w:tcPr>
            <w:tcW w:type="dxa" w:w="1660"/>
            <w:tcBorders>
              <w:top w:val="single" w:color="D5D5D5" w:sz="2"/>
              <w:left w:val="single" w:color="D5D5D5" w:sz="2"/>
              <w:bottom w:val="single" w:color="D5D5D5" w:sz="2"/>
              <w:right w:val="single" w:color="D5D5D5" w:sz="2"/>
            </w:tcBorders>
            <w:shd w:fill="14181D" w:color="auto" w:val="clear"/>
            <w:tcMar>
              <w:top w:type="dxa" w:w="60"/>
              <w:left w:type="dxa" w:w="90"/>
              <w:bottom w:type="dxa" w:w="60"/>
              <w:right w:type="dxa" w:w="90"/>
            </w:tcMar>
          </w:tcPr>
          <w:p>
            <w:pPr>
              <w:spacing w:after="20" w:before="20" w:line="240"/>
            </w:pPr>
            <w:r>
              <w:rPr>
                <w:rFonts w:ascii="Arial" w:cs="Arial" w:eastAsia="Arial" w:hAnsi="Arial"/>
                <w:b/>
                <w:bCs/>
                <w:color w:val="FFFFFF"/>
                <w:sz w:val="17"/>
                <w:szCs w:val="17"/>
              </w:rPr>
              <w:t xml:space="preserve">Included in the lump sum</w:t>
            </w:r>
          </w:p>
        </w:tc>
      </w:tr>
      <w:tr>
        <w:tc>
          <w:tcPr>
            <w:tcW w:type="dxa" w:w="11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A</w:t>
            </w:r>
          </w:p>
        </w:tc>
        <w:tc>
          <w:tcPr>
            <w:tcW w:type="dxa" w:w="46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Design, calculations and approvals</w:t>
            </w:r>
          </w:p>
        </w:tc>
        <w:tc>
          <w:tcPr>
            <w:tcW w:type="dxa" w:w="166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Lump sum</w:t>
            </w:r>
          </w:p>
        </w:tc>
        <w:tc>
          <w:tcPr>
            <w:tcW w:type="dxa" w:w="166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Yes</w:t>
            </w:r>
          </w:p>
        </w:tc>
      </w:tr>
      <w:tr>
        <w:tc>
          <w:tcPr>
            <w:tcW w:type="dxa" w:w="11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B</w:t>
            </w:r>
          </w:p>
        </w:tc>
        <w:tc>
          <w:tcPr>
            <w:tcW w:type="dxa" w:w="46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Manufacture — bedroom modules, by room type</w:t>
            </w:r>
          </w:p>
        </w:tc>
        <w:tc>
          <w:tcPr>
            <w:tcW w:type="dxa" w:w="166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Rate per module</w:t>
            </w:r>
          </w:p>
        </w:tc>
        <w:tc>
          <w:tcPr>
            <w:tcW w:type="dxa" w:w="166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Yes</w:t>
            </w:r>
          </w:p>
        </w:tc>
      </w:tr>
      <w:tr>
        <w:tc>
          <w:tcPr>
            <w:tcW w:type="dxa" w:w="11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C</w:t>
            </w:r>
          </w:p>
        </w:tc>
        <w:tc>
          <w:tcPr>
            <w:tcW w:type="dxa" w:w="46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Manufacture — amenity, reception and circulation</w:t>
            </w:r>
          </w:p>
        </w:tc>
        <w:tc>
          <w:tcPr>
            <w:tcW w:type="dxa" w:w="166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Lump sum</w:t>
            </w:r>
          </w:p>
        </w:tc>
        <w:tc>
          <w:tcPr>
            <w:tcW w:type="dxa" w:w="166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Yes</w:t>
            </w:r>
          </w:p>
        </w:tc>
      </w:tr>
      <w:tr>
        <w:tc>
          <w:tcPr>
            <w:tcW w:type="dxa" w:w="11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D</w:t>
            </w:r>
          </w:p>
        </w:tc>
        <w:tc>
          <w:tcPr>
            <w:tcW w:type="dxa" w:w="46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Transport and delivery to site</w:t>
            </w:r>
          </w:p>
        </w:tc>
        <w:tc>
          <w:tcPr>
            <w:tcW w:type="dxa" w:w="166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Rate per module</w:t>
            </w:r>
          </w:p>
        </w:tc>
        <w:tc>
          <w:tcPr>
            <w:tcW w:type="dxa" w:w="166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Yes</w:t>
            </w:r>
          </w:p>
        </w:tc>
      </w:tr>
      <w:tr>
        <w:tc>
          <w:tcPr>
            <w:tcW w:type="dxa" w:w="11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E</w:t>
            </w:r>
          </w:p>
        </w:tc>
        <w:tc>
          <w:tcPr>
            <w:tcW w:type="dxa" w:w="46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Craneage, setting and connection</w:t>
            </w:r>
          </w:p>
        </w:tc>
        <w:tc>
          <w:tcPr>
            <w:tcW w:type="dxa" w:w="166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Lump sum</w:t>
            </w:r>
          </w:p>
        </w:tc>
        <w:tc>
          <w:tcPr>
            <w:tcW w:type="dxa" w:w="166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Yes</w:t>
            </w:r>
          </w:p>
        </w:tc>
      </w:tr>
      <w:tr>
        <w:tc>
          <w:tcPr>
            <w:tcW w:type="dxa" w:w="11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F</w:t>
            </w:r>
          </w:p>
        </w:tc>
        <w:tc>
          <w:tcPr>
            <w:tcW w:type="dxa" w:w="46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Internal fit-out and fixed joinery</w:t>
            </w:r>
          </w:p>
        </w:tc>
        <w:tc>
          <w:tcPr>
            <w:tcW w:type="dxa" w:w="166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Rate per room type</w:t>
            </w:r>
          </w:p>
        </w:tc>
        <w:tc>
          <w:tcPr>
            <w:tcW w:type="dxa" w:w="166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Yes</w:t>
            </w:r>
          </w:p>
        </w:tc>
      </w:tr>
      <w:tr>
        <w:tc>
          <w:tcPr>
            <w:tcW w:type="dxa" w:w="11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G</w:t>
            </w:r>
          </w:p>
        </w:tc>
        <w:tc>
          <w:tcPr>
            <w:tcW w:type="dxa" w:w="46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Mechanical and electrical installation</w:t>
            </w:r>
          </w:p>
        </w:tc>
        <w:tc>
          <w:tcPr>
            <w:tcW w:type="dxa" w:w="166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Lump sum</w:t>
            </w:r>
          </w:p>
        </w:tc>
        <w:tc>
          <w:tcPr>
            <w:tcW w:type="dxa" w:w="166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Yes</w:t>
            </w:r>
          </w:p>
        </w:tc>
      </w:tr>
      <w:tr>
        <w:tc>
          <w:tcPr>
            <w:tcW w:type="dxa" w:w="11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H</w:t>
            </w:r>
          </w:p>
        </w:tc>
        <w:tc>
          <w:tcPr>
            <w:tcW w:type="dxa" w:w="46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Commissioning, testing and demonstration</w:t>
            </w:r>
          </w:p>
        </w:tc>
        <w:tc>
          <w:tcPr>
            <w:tcW w:type="dxa" w:w="166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Lump sum</w:t>
            </w:r>
          </w:p>
        </w:tc>
        <w:tc>
          <w:tcPr>
            <w:tcW w:type="dxa" w:w="166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Yes</w:t>
            </w:r>
          </w:p>
        </w:tc>
      </w:tr>
      <w:tr>
        <w:tc>
          <w:tcPr>
            <w:tcW w:type="dxa" w:w="11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I</w:t>
            </w:r>
          </w:p>
        </w:tc>
        <w:tc>
          <w:tcPr>
            <w:tcW w:type="dxa" w:w="46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Handover deliverables and training</w:t>
            </w:r>
          </w:p>
        </w:tc>
        <w:tc>
          <w:tcPr>
            <w:tcW w:type="dxa" w:w="166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Lump sum</w:t>
            </w:r>
          </w:p>
        </w:tc>
        <w:tc>
          <w:tcPr>
            <w:tcW w:type="dxa" w:w="166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Yes</w:t>
            </w:r>
          </w:p>
        </w:tc>
      </w:tr>
      <w:tr>
        <w:tc>
          <w:tcPr>
            <w:tcW w:type="dxa" w:w="11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J</w:t>
            </w:r>
          </w:p>
        </w:tc>
        <w:tc>
          <w:tcPr>
            <w:tcW w:type="dxa" w:w="46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Critical spares holding</w:t>
            </w:r>
          </w:p>
        </w:tc>
        <w:tc>
          <w:tcPr>
            <w:tcW w:type="dxa" w:w="166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Priced separately</w:t>
            </w:r>
          </w:p>
        </w:tc>
        <w:tc>
          <w:tcPr>
            <w:tcW w:type="dxa" w:w="166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Stated separately</w:t>
            </w:r>
          </w:p>
        </w:tc>
      </w:tr>
      <w:tr>
        <w:tc>
          <w:tcPr>
            <w:tcW w:type="dxa" w:w="11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K</w:t>
            </w:r>
          </w:p>
        </w:tc>
        <w:tc>
          <w:tcPr>
            <w:tcW w:type="dxa" w:w="46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Sample room, in advance of the main delivery</w:t>
            </w:r>
          </w:p>
        </w:tc>
        <w:tc>
          <w:tcPr>
            <w:tcW w:type="dxa" w:w="166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Lump sum</w:t>
            </w:r>
          </w:p>
        </w:tc>
        <w:tc>
          <w:tcPr>
            <w:tcW w:type="dxa" w:w="166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Yes</w:t>
            </w:r>
          </w:p>
        </w:tc>
      </w:tr>
      <w:tr>
        <w:tc>
          <w:tcPr>
            <w:tcW w:type="dxa" w:w="11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L</w:t>
            </w:r>
          </w:p>
        </w:tc>
        <w:tc>
          <w:tcPr>
            <w:tcW w:type="dxa" w:w="46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Departures from these Employer's Requirements</w:t>
            </w:r>
          </w:p>
        </w:tc>
        <w:tc>
          <w:tcPr>
            <w:tcW w:type="dxa" w:w="166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Each priced separately</w:t>
            </w:r>
          </w:p>
        </w:tc>
        <w:tc>
          <w:tcPr>
            <w:tcW w:type="dxa" w:w="166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No — listed and priced individually</w:t>
            </w:r>
          </w:p>
        </w:tc>
      </w:tr>
    </w:tbl>
    <w:p>
      <w:pPr>
        <w:spacing w:after="60" w:before="60" w:line="260"/>
      </w:pPr>
      <w:r>
        <w:rPr>
          <w:rFonts w:ascii="Arial" w:cs="Arial" w:eastAsia="Arial" w:hAnsi="Arial"/>
          <w:i/>
          <w:iCs/>
          <w:color w:val="5B6672"/>
          <w:sz w:val="19"/>
          <w:szCs w:val="19"/>
        </w:rPr>
        <w:t xml:space="preserve">The price is fixed for the full contract period. No fluctuation applies. Where the tenderer requires an indexation mechanism it shall be proposed and priced as a departure under item L, stating the index and the base date.</w:t>
      </w:r>
    </w:p>
    <w:p>
      <w:r>
        <w:br w:type="page"/>
      </w:r>
    </w:p>
    <w:p>
      <w:pPr>
        <w:pStyle w:val="Heading1"/>
        <w:spacing w:after="140" w:before="360"/>
      </w:pPr>
      <w:r>
        <w:rPr>
          <w:rFonts w:ascii="Arial" w:cs="Arial" w:eastAsia="Arial" w:hAnsi="Arial"/>
          <w:b/>
          <w:bCs/>
          <w:color w:val="14181D"/>
          <w:sz w:val="28"/>
          <w:szCs w:val="28"/>
        </w:rPr>
        <w:t xml:space="preserve">13  Appendices</w:t>
      </w:r>
    </w:p>
    <w:p>
      <w:pPr>
        <w:spacing w:after="20" w:before="20" w:line="260"/>
        <w:ind w:left="280"/>
      </w:pPr>
      <w:r>
        <w:rPr>
          <w:rFonts w:ascii="Arial" w:cs="Arial" w:eastAsia="Arial" w:hAnsi="Arial"/>
          <w:color w:val="14181D"/>
          <w:sz w:val="19"/>
          <w:szCs w:val="19"/>
        </w:rPr>
        <w:t xml:space="preserve">Appendix 1   —   Activity schedule, in the structure to be priced</w:t>
      </w:r>
    </w:p>
    <w:p>
      <w:pPr>
        <w:spacing w:after="20" w:before="20" w:line="260"/>
        <w:ind w:left="280"/>
      </w:pPr>
      <w:r>
        <w:rPr>
          <w:rFonts w:ascii="Arial" w:cs="Arial" w:eastAsia="Arial" w:hAnsi="Arial"/>
          <w:color w:val="14181D"/>
          <w:sz w:val="19"/>
          <w:szCs w:val="19"/>
        </w:rPr>
        <w:t xml:space="preserve">Appendix 2   —   Fire strategy, issued by the client's fire engineer</w:t>
      </w:r>
    </w:p>
    <w:p>
      <w:pPr>
        <w:spacing w:after="20" w:before="20" w:line="260"/>
        <w:ind w:left="280"/>
      </w:pPr>
      <w:r>
        <w:rPr>
          <w:rFonts w:ascii="Arial" w:cs="Arial" w:eastAsia="Arial" w:hAnsi="Arial"/>
          <w:color w:val="14181D"/>
          <w:sz w:val="19"/>
          <w:szCs w:val="19"/>
        </w:rPr>
        <w:t xml:space="preserve">Appendix 3   —   Planning consent and conditions</w:t>
      </w:r>
    </w:p>
    <w:p>
      <w:pPr>
        <w:spacing w:after="20" w:before="20" w:line="260"/>
        <w:ind w:left="280"/>
      </w:pPr>
      <w:r>
        <w:rPr>
          <w:rFonts w:ascii="Arial" w:cs="Arial" w:eastAsia="Arial" w:hAnsi="Arial"/>
          <w:color w:val="14181D"/>
          <w:sz w:val="19"/>
          <w:szCs w:val="19"/>
        </w:rPr>
        <w:t xml:space="preserve">Appendix 4   —   Construction Environmental Management Plan</w:t>
      </w:r>
    </w:p>
    <w:p>
      <w:pPr>
        <w:spacing w:after="20" w:before="20" w:line="260"/>
        <w:ind w:left="280"/>
      </w:pPr>
      <w:r>
        <w:rPr>
          <w:rFonts w:ascii="Arial" w:cs="Arial" w:eastAsia="Arial" w:hAnsi="Arial"/>
          <w:color w:val="14181D"/>
          <w:sz w:val="19"/>
          <w:szCs w:val="19"/>
        </w:rPr>
        <w:t xml:space="preserve">Appendix 5   —   Approved external colour and finish range</w:t>
      </w:r>
    </w:p>
    <w:p>
      <w:pPr>
        <w:spacing w:after="20" w:before="20" w:line="260"/>
        <w:ind w:left="280"/>
      </w:pPr>
      <w:r>
        <w:rPr>
          <w:rFonts w:ascii="Arial" w:cs="Arial" w:eastAsia="Arial" w:hAnsi="Arial"/>
          <w:color w:val="14181D"/>
          <w:sz w:val="19"/>
          <w:szCs w:val="19"/>
        </w:rPr>
        <w:t xml:space="preserve">Appendix 6   —   Bed demand curve and occupancy programme</w:t>
      </w:r>
    </w:p>
    <w:p>
      <w:pPr>
        <w:spacing w:after="20" w:before="20" w:line="260"/>
        <w:ind w:left="280"/>
      </w:pPr>
      <w:r>
        <w:rPr>
          <w:rFonts w:ascii="Arial" w:cs="Arial" w:eastAsia="Arial" w:hAnsi="Arial"/>
          <w:color w:val="14181D"/>
          <w:sz w:val="19"/>
          <w:szCs w:val="19"/>
        </w:rPr>
        <w:t xml:space="preserve">Appendix 7   —   Abnormal load route assessment — draft, incomplete</w:t>
      </w:r>
    </w:p>
    <w:p>
      <w:pPr>
        <w:spacing w:after="20" w:before="20" w:line="260"/>
        <w:ind w:left="280"/>
      </w:pPr>
      <w:r>
        <w:rPr>
          <w:rFonts w:ascii="Arial" w:cs="Arial" w:eastAsia="Arial" w:hAnsi="Arial"/>
          <w:color w:val="14181D"/>
          <w:sz w:val="19"/>
          <w:szCs w:val="19"/>
        </w:rPr>
        <w:t xml:space="preserve">Appendix 8   —   Design loadings, site exposure and rainfall data</w:t>
      </w:r>
    </w:p>
    <w:p>
      <w:pPr>
        <w:spacing w:after="20" w:before="20" w:line="260"/>
        <w:ind w:left="280"/>
      </w:pPr>
      <w:r>
        <w:rPr>
          <w:rFonts w:ascii="Arial" w:cs="Arial" w:eastAsia="Arial" w:hAnsi="Arial"/>
          <w:color w:val="14181D"/>
          <w:sz w:val="19"/>
          <w:szCs w:val="19"/>
        </w:rPr>
        <w:t xml:space="preserve">Appendix 9   —   Overheating criterion and the client's comfort brief</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672"/>
        <w:sz w:val="15"/>
        <w:szCs w:val="15"/>
      </w:rPr>
      <w:t xml:space="preserve">Page </w:t>
    </w:r>
    <w:r>
      <w:rPr>
        <w:rFonts w:ascii="Arial" w:cs="Arial" w:eastAsia="Arial" w:hAnsi="Arial"/>
        <w:color w:val="5B6672"/>
        <w:sz w:val="15"/>
        <w:szCs w:val="15"/>
      </w:rPr>
      <w:fldChar w:fldCharType="begin"/>
      <w:instrText xml:space="preserve">PAGE</w:instrText>
      <w:fldChar w:fldCharType="separate"/>
      <w:fldChar w:fldCharType="end"/>
    </w:r>
    <w:r>
      <w:rPr>
        <w:rFonts w:ascii="Arial" w:cs="Arial" w:eastAsia="Arial" w:hAnsi="Arial"/>
        <w:color w:val="5B6672"/>
        <w:sz w:val="15"/>
        <w:szCs w:val="15"/>
      </w:rPr>
      <w:t xml:space="preserve"> of </w:t>
    </w:r>
    <w:r>
      <w:rPr>
        <w:rFonts w:ascii="Arial" w:cs="Arial" w:eastAsia="Arial" w:hAnsi="Arial"/>
        <w:color w:val="5B6672"/>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9C7A3C" w:sz="6"/>
      </w:pBdr>
    </w:pPr>
    <w:r>
      <w:rPr>
        <w:rFonts w:ascii="Arial" w:cs="Arial" w:eastAsia="Arial" w:hAnsi="Arial"/>
        <w:color w:val="5B6672"/>
        <w:sz w:val="15"/>
        <w:szCs w:val="15"/>
      </w:rPr>
      <w:t xml:space="preserve">ETABLIX   ·   Employer's Requirements   ·   P2 — Modular Accommodation   ·   NR-ER-P2 Rev 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4181D"/>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Employer's Requirements — P2 — Modular Accommodation</dc:title>
  <dc:creator>ETABLIX — Integrated Site Services</dc:creator>
  <dc:description>Project NORTHREACH — Workforce Accommodation Village</dc:description>
  <cp:lastModifiedBy>Un-named</cp:lastModifiedBy>
  <cp:revision>1</cp:revision>
  <dcterms:created xsi:type="dcterms:W3CDTF">2026-09-07T22:18:41.636Z</dcterms:created>
  <dcterms:modified xsi:type="dcterms:W3CDTF">2026-09-07T22:18:41.637Z</dcterms:modified>
</cp:coreProperties>
</file>

<file path=docProps/custom.xml><?xml version="1.0" encoding="utf-8"?>
<Properties xmlns="http://schemas.openxmlformats.org/officeDocument/2006/custom-properties" xmlns:vt="http://schemas.openxmlformats.org/officeDocument/2006/docPropsVTypes"/>
</file>