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Arial" w:cs="Arial" w:eastAsia="Arial" w:hAnsi="Arial"/>
          <w:b/>
          <w:bCs/>
          <w:color w:val="14181D"/>
          <w:sz w:val="54"/>
          <w:szCs w:val="54"/>
        </w:rPr>
        <w:t xml:space="preserve">ETABLIX</w:t>
      </w:r>
    </w:p>
    <w:p>
      <w:pPr>
        <w:spacing w:after="760"/>
      </w:pPr>
      <w:r>
        <w:rPr>
          <w:rFonts w:ascii="Arial" w:cs="Arial" w:eastAsia="Arial" w:hAnsi="Arial"/>
          <w:b/>
          <w:bCs/>
          <w:color w:val="9C7A3C"/>
          <w:sz w:val="14"/>
          <w:szCs w:val="14"/>
        </w:rPr>
        <w:t xml:space="preserve">I N T E G R A T E D   S I T E   S E R V I C E S   ·   P A R T   O F   G R O U P E   N S E Y A</w:t>
      </w:r>
    </w:p>
    <w:p>
      <w:pPr>
        <w:spacing w:after="40" w:before="0" w:line="260"/>
      </w:pPr>
      <w:r>
        <w:rPr>
          <w:rFonts w:ascii="Arial" w:cs="Arial" w:eastAsia="Arial" w:hAnsi="Arial"/>
          <w:b/>
          <w:bCs/>
          <w:color w:val="14181D"/>
          <w:sz w:val="34"/>
          <w:szCs w:val="34"/>
        </w:rPr>
        <w:t xml:space="preserve">EMPLOYER'S REQUIREMENTS</w:t>
      </w:r>
    </w:p>
    <w:p>
      <w:pPr>
        <w:spacing w:after="40" w:before="60" w:line="260"/>
      </w:pPr>
      <w:r>
        <w:rPr>
          <w:rFonts w:ascii="Arial" w:cs="Arial" w:eastAsia="Arial" w:hAnsi="Arial"/>
          <w:b/>
          <w:bCs/>
          <w:color w:val="9C7A3C"/>
          <w:sz w:val="30"/>
          <w:szCs w:val="30"/>
        </w:rPr>
        <w:t xml:space="preserve">THE TWELVE APPENDICES</w:t>
      </w:r>
    </w:p>
    <w:p>
      <w:pPr>
        <w:spacing w:after="620" w:before="60" w:line="260"/>
      </w:pPr>
      <w:r>
        <w:rPr>
          <w:rFonts w:ascii="Arial" w:cs="Arial" w:eastAsia="Arial" w:hAnsi="Arial"/>
          <w:color w:val="5B6672"/>
          <w:sz w:val="22"/>
          <w:szCs w:val="22"/>
        </w:rPr>
        <w:t xml:space="preserve">P2 — Modular Accommodation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Client</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Marrowbridge Infrastructure Ltd</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Project</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Project NORTHREACH — Workforce Accommodation Village</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Parent document</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NR-ER-P2 Rev B — Employer's Requirements, P2 Modular Accommodation</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Document reference</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NR-ER-P2-APX</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Revision</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A</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Date</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September 2026</w:t>
            </w:r>
          </w:p>
        </w:tc>
      </w:tr>
      <w:tr>
        <w:tc>
          <w:tcPr>
            <w:tcW w:type="dxa" w:w="24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Status</w:t>
            </w:r>
          </w:p>
        </w:tc>
        <w:tc>
          <w:tcPr>
            <w:tcW w:type="dxa" w:w="6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Issued for tender</w:t>
            </w:r>
          </w:p>
        </w:tc>
      </w:tr>
    </w:tbl>
    <w:p>
      <w:pPr>
        <w:spacing w:after="60" w:before="600" w:line="260"/>
      </w:pPr>
      <w:r>
        <w:rPr>
          <w:rFonts w:ascii="Arial" w:cs="Arial" w:eastAsia="Arial" w:hAnsi="Arial"/>
          <w:i/>
          <w:iCs/>
          <w:color w:val="5B6672"/>
          <w:sz w:val="18"/>
          <w:szCs w:val="18"/>
        </w:rPr>
        <w:t xml:space="preserve">Eight of the twelve are the Employer's own documents and are written here in full. Four are produced by others — the fire engineer, the planning authority, the environmental consultant, the highway authority. Those are issued as controlled insertion sheets stating what must be inserted, by whom, what this document depends on it for, and WHAT A TENDERER PRICES UNTIL IT ARRIVES. An appendix that says only “to be issued” transfers an unpriced risk to a tenderer, who will either price its worst case or qualify its return — and both defeat the evaluation.</w:t>
      </w:r>
    </w:p>
    <w:p>
      <w:r>
        <w:br w:type="page"/>
      </w:r>
    </w:p>
    <w:p>
      <w:pPr>
        <w:pStyle w:val="Heading1"/>
        <w:spacing w:after="130" w:before="340"/>
      </w:pPr>
      <w:r>
        <w:rPr>
          <w:rFonts w:ascii="Arial" w:cs="Arial" w:eastAsia="Arial" w:hAnsi="Arial"/>
          <w:b/>
          <w:bCs/>
          <w:color w:val="14181D"/>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340"/>
      </w:pPr>
      <w:r>
        <w:rPr>
          <w:rFonts w:ascii="Arial" w:cs="Arial" w:eastAsia="Arial" w:hAnsi="Arial"/>
          <w:b/>
          <w:bCs/>
          <w:color w:val="14181D"/>
          <w:sz w:val="28"/>
          <w:szCs w:val="28"/>
        </w:rPr>
        <w:t xml:space="preserve">Register of appendices</w:t>
      </w:r>
    </w:p>
    <w:p>
      <w:pPr>
        <w:spacing w:after="60" w:before="60" w:line="260"/>
      </w:pPr>
      <w:r>
        <w:rPr>
          <w:rFonts w:ascii="Arial" w:cs="Arial" w:eastAsia="Arial" w:hAnsi="Arial"/>
          <w:color w:val="14181D"/>
          <w:sz w:val="19"/>
          <w:szCs w:val="19"/>
        </w:rPr>
        <w:t xml:space="preserve">Every appendix, who authors it, its status, and the clauses of the Employer's Requirements that depend on it. A clause that depends on an appendix which is not yet issued is listed here rather than left for a tenderer to discover.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1900"/>
        <w:gridCol w:w="2200"/>
        <w:gridCol w:w="1800"/>
      </w:tblGrid>
      <w:tr>
        <w:trPr>
          <w:tblHeader/>
        </w:trPr>
        <w:tc>
          <w:tcPr>
            <w:tcW w:type="dxa" w:w="5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
            </w:r>
          </w:p>
        </w:tc>
        <w:tc>
          <w:tcPr>
            <w:tcW w:type="dxa" w:w="26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Appendix</w:t>
            </w:r>
          </w:p>
        </w:tc>
        <w:tc>
          <w:tcPr>
            <w:tcW w:type="dxa" w:w="19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Authored by</w:t>
            </w:r>
          </w:p>
        </w:tc>
        <w:tc>
          <w:tcPr>
            <w:tcW w:type="dxa" w:w="22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Status</w:t>
            </w:r>
          </w:p>
        </w:tc>
        <w:tc>
          <w:tcPr>
            <w:tcW w:type="dxa" w:w="18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Depended on by</w:t>
            </w:r>
          </w:p>
        </w:tc>
      </w:tr>
      <w:tr>
        <w:tc>
          <w:tcPr>
            <w:tcW w:type="dxa" w:w="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1</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Activity schedule, in the structure to be priced</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Employer</w:t>
            </w:r>
          </w:p>
        </w:tc>
        <w:tc>
          <w:tcPr>
            <w:tcW w:type="dxa" w:w="22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Issued in full</w:t>
            </w:r>
          </w:p>
        </w:tc>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12</w:t>
            </w:r>
          </w:p>
        </w:tc>
      </w:tr>
      <w:tr>
        <w:tc>
          <w:tcPr>
            <w:tcW w:type="dxa" w:w="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2</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Fire strategy</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Employer's fire engineer</w:t>
            </w:r>
          </w:p>
        </w:tc>
        <w:tc>
          <w:tcPr>
            <w:tcW w:type="dxa" w:w="22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INSERTION SHEET — the strategy is a separate document</w:t>
            </w:r>
          </w:p>
        </w:tc>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4.5, 4.15, 4.26, IF-11</w:t>
            </w:r>
          </w:p>
        </w:tc>
      </w:tr>
      <w:tr>
        <w:tc>
          <w:tcPr>
            <w:tcW w:type="dxa" w:w="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3</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Planning consent, conditions, and the Employer's site rules</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Planning authority / Employer</w:t>
            </w:r>
          </w:p>
        </w:tc>
        <w:tc>
          <w:tcPr>
            <w:tcW w:type="dxa" w:w="22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Decision notice INSERTED; site rules issued in full</w:t>
            </w:r>
          </w:p>
        </w:tc>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7.4, 14.2, 14.5, IF-12</w:t>
            </w:r>
          </w:p>
        </w:tc>
      </w:tr>
      <w:tr>
        <w:tc>
          <w:tcPr>
            <w:tcW w:type="dxa" w:w="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4</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Construction Environmental Management Plan</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Employer's environmental consultant</w:t>
            </w:r>
          </w:p>
        </w:tc>
        <w:tc>
          <w:tcPr>
            <w:tcW w:type="dxa" w:w="22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INSERTION SHEET</w:t>
            </w:r>
          </w:p>
        </w:tc>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10.6</w:t>
            </w:r>
          </w:p>
        </w:tc>
      </w:tr>
      <w:tr>
        <w:tc>
          <w:tcPr>
            <w:tcW w:type="dxa" w:w="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5</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Approved external colour and finish range</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Employer</w:t>
            </w:r>
          </w:p>
        </w:tc>
        <w:tc>
          <w:tcPr>
            <w:tcW w:type="dxa" w:w="22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Issued in full</w:t>
            </w:r>
          </w:p>
        </w:tc>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4.3, 4.22, room data sheets</w:t>
            </w:r>
          </w:p>
        </w:tc>
      </w:tr>
      <w:tr>
        <w:tc>
          <w:tcPr>
            <w:tcW w:type="dxa" w:w="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6</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Bed demand curve, occupancy programme and sectional completion dates</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Employer</w:t>
            </w:r>
          </w:p>
        </w:tc>
        <w:tc>
          <w:tcPr>
            <w:tcW w:type="dxa" w:w="22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Issued in full</w:t>
            </w:r>
          </w:p>
        </w:tc>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7.2, 18.1, 18.2, 4.12</w:t>
            </w:r>
          </w:p>
        </w:tc>
      </w:tr>
      <w:tr>
        <w:tc>
          <w:tcPr>
            <w:tcW w:type="dxa" w:w="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7</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Abnormal load route assessment</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Highway authority / Employer's consultant</w:t>
            </w:r>
          </w:p>
        </w:tc>
        <w:tc>
          <w:tcPr>
            <w:tcW w:type="dxa" w:w="22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INSERTION SHEET — DRAFT, INCOMPLETE, and the risk is the Employer's</w:t>
            </w:r>
          </w:p>
        </w:tc>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7.3, 11.1, 18.3</w:t>
            </w:r>
          </w:p>
        </w:tc>
      </w:tr>
      <w:tr>
        <w:tc>
          <w:tcPr>
            <w:tcW w:type="dxa" w:w="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8</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Design loadings, site exposure, and service supply characteristics</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Employer</w:t>
            </w:r>
          </w:p>
        </w:tc>
        <w:tc>
          <w:tcPr>
            <w:tcW w:type="dxa" w:w="22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Issued in full</w:t>
            </w:r>
          </w:p>
        </w:tc>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4.2, 4.4, 4.24, 4.25, 4.27</w:t>
            </w:r>
          </w:p>
        </w:tc>
      </w:tr>
      <w:tr>
        <w:tc>
          <w:tcPr>
            <w:tcW w:type="dxa" w:w="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9</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Overheating criterion and the Employer's comfort brief</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Employer</w:t>
            </w:r>
          </w:p>
        </w:tc>
        <w:tc>
          <w:tcPr>
            <w:tcW w:type="dxa" w:w="22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Issued in full</w:t>
            </w:r>
          </w:p>
        </w:tc>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6, room data sheets</w:t>
            </w:r>
          </w:p>
        </w:tc>
      </w:tr>
      <w:tr>
        <w:tc>
          <w:tcPr>
            <w:tcW w:type="dxa" w:w="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10</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Form of collateral warranty</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Employer's legal adviser</w:t>
            </w:r>
          </w:p>
        </w:tc>
        <w:tc>
          <w:tcPr>
            <w:tcW w:type="dxa" w:w="22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CONTENT SCHEDULE issued; the form itself is drafted by lawyers</w:t>
            </w:r>
          </w:p>
        </w:tc>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13.6</w:t>
            </w:r>
          </w:p>
        </w:tc>
      </w:tr>
      <w:tr>
        <w:tc>
          <w:tcPr>
            <w:tcW w:type="dxa" w:w="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11</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Asset information requirements, data schema and the CDE</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Employer</w:t>
            </w:r>
          </w:p>
        </w:tc>
        <w:tc>
          <w:tcPr>
            <w:tcW w:type="dxa" w:w="22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Issued in full</w:t>
            </w:r>
          </w:p>
        </w:tc>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15.3, 15.4, IF-14, 4.24</w:t>
            </w:r>
          </w:p>
        </w:tc>
      </w:tr>
      <w:tr>
        <w:tc>
          <w:tcPr>
            <w:tcW w:type="dxa" w:w="5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12</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Social value framework and the travel-to-work area</w:t>
            </w:r>
          </w:p>
        </w:tc>
        <w:tc>
          <w:tcPr>
            <w:tcW w:type="dxa" w:w="1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Employer</w:t>
            </w:r>
          </w:p>
        </w:tc>
        <w:tc>
          <w:tcPr>
            <w:tcW w:type="dxa" w:w="22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Issued in full</w:t>
            </w:r>
          </w:p>
        </w:tc>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16.5</w:t>
            </w:r>
          </w:p>
        </w:tc>
      </w:tr>
    </w:tbl>
    <w:p>
      <w:pPr>
        <w:spacing w:after="60" w:before="90" w:line="260"/>
      </w:pPr>
      <w:r>
        <w:rPr>
          <w:rFonts w:ascii="Arial" w:cs="Arial" w:eastAsia="Arial" w:hAnsi="Arial"/>
          <w:i/>
          <w:iCs/>
          <w:color w:val="C0392B"/>
          <w:sz w:val="17"/>
          <w:szCs w:val="17"/>
        </w:rPr>
        <w:t xml:space="preserve">The four insertion sheets are not placeholders. Each one states the basis a tenderer prices on until the document arrives, and what happens if the issued document differs from that basis. Read them before pricing.</w:t>
      </w:r>
    </w:p>
    <w:p>
      <w:r>
        <w:br w:type="page"/>
      </w:r>
    </w:p>
    <w:p>
      <w:pPr>
        <w:pStyle w:val="Heading1"/>
        <w:spacing w:after="130" w:before="340"/>
      </w:pPr>
      <w:r>
        <w:rPr>
          <w:rFonts w:ascii="Arial" w:cs="Arial" w:eastAsia="Arial" w:hAnsi="Arial"/>
          <w:b/>
          <w:bCs/>
          <w:color w:val="14181D"/>
          <w:sz w:val="28"/>
          <w:szCs w:val="28"/>
        </w:rPr>
        <w:t xml:space="preserve">Appendix 1  Activity schedule</w:t>
      </w:r>
    </w:p>
    <w:p>
      <w:pPr>
        <w:spacing w:after="60" w:before="60" w:line="260"/>
      </w:pPr>
      <w:r>
        <w:rPr>
          <w:rFonts w:ascii="Arial" w:cs="Arial" w:eastAsia="Arial" w:hAnsi="Arial"/>
          <w:color w:val="14181D"/>
          <w:sz w:val="19"/>
          <w:szCs w:val="19"/>
        </w:rPr>
        <w:t xml:space="preserve">This is the structure the tender is priced in. A tenderer who alters it produces a return that cannot be compared with the others, and it will be marked accordingly.</w:t>
      </w:r>
    </w:p>
    <w:p>
      <w:pPr>
        <w:spacing w:after="60" w:before="60" w:line="260"/>
      </w:pPr>
      <w:r>
        <w:rPr>
          <w:rFonts w:ascii="Arial" w:cs="Arial" w:eastAsia="Arial" w:hAnsi="Arial"/>
          <w:color w:val="14181D"/>
          <w:sz w:val="19"/>
          <w:szCs w:val="19"/>
        </w:rPr>
        <w:t xml:space="preserve">Rates are inclusive of everything necessary to complete the item to the Employer's Requirements — labour, materials, plant, temporary works, supervision, testing, commissioning, overheads and profit — except where an item is expressly stated to be priced separately. A rate left blank is a rate of nil and the item is deemed included elsewhere; a tenderer who intends it to be excluded shall list it as a departure under 13.4 rather than leaving it empty.</w:t>
      </w:r>
    </w:p>
    <w:p>
      <w:pPr>
        <w:pStyle w:val="Heading2"/>
        <w:spacing w:after="95" w:before="230"/>
      </w:pPr>
      <w:r>
        <w:rPr>
          <w:rFonts w:ascii="Arial" w:cs="Arial" w:eastAsia="Arial" w:hAnsi="Arial"/>
          <w:b/>
          <w:bCs/>
          <w:color w:val="9C7A3C"/>
          <w:sz w:val="21"/>
          <w:szCs w:val="21"/>
        </w:rPr>
        <w:t xml:space="preserve">Rules of pricing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Quantities</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Quantities are the Employer's and are firm. Remeasurement applies only where this document expressly permits it. A tenderer that disagrees with a quantity shall state the quantity it has priced, in the Schedule of Departures, rather than adjusting the rate to compensate.</w:t>
            </w:r>
          </w:p>
        </w:tc>
      </w:tr>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Rates for change</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The all-in rates required at 17.2 are priced at item M and are used to value every variation for the life of the contract. They are competed here because this is the only moment at which competition exists.</w:t>
            </w:r>
          </w:p>
        </w:tc>
      </w:tr>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Provisional sums</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There are none. Where the Employer cannot define a scope it is excluded and named, per 1.4. A provisional sum is a decision deferred to a point at which it can no longer be competed.</w:t>
            </w:r>
          </w:p>
        </w:tc>
      </w:tr>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Currency and fluctuation</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Sterling. Fixed for the contract period. An indexation mechanism is a departure under item N with the index and base date stated.</w:t>
            </w:r>
          </w:p>
        </w:tc>
      </w:tr>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The sample room</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Item K is priced and programmed in advance of the main delivery. It is not a proportion of item B and shall not be priced as one.</w:t>
            </w:r>
          </w:p>
        </w:tc>
      </w:tr>
    </w:tbl>
    <w:p>
      <w:pPr>
        <w:pStyle w:val="Heading2"/>
        <w:spacing w:after="95" w:before="230"/>
      </w:pPr>
      <w:r>
        <w:rPr>
          <w:rFonts w:ascii="Arial" w:cs="Arial" w:eastAsia="Arial" w:hAnsi="Arial"/>
          <w:b/>
          <w:bCs/>
          <w:color w:val="9C7A3C"/>
          <w:sz w:val="21"/>
          <w:szCs w:val="21"/>
        </w:rPr>
        <w:t xml:space="preserve">The schedule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780"/>
        <w:gridCol w:w="780"/>
        <w:gridCol w:w="2760"/>
      </w:tblGrid>
      <w:tr>
        <w:trPr>
          <w:tblHeader/>
        </w:trPr>
        <w:tc>
          <w:tcPr>
            <w:tcW w:type="dxa" w:w="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Item</w:t>
            </w:r>
          </w:p>
        </w:tc>
        <w:tc>
          <w:tcPr>
            <w:tcW w:type="dxa" w:w="40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Description</w:t>
            </w:r>
          </w:p>
        </w:tc>
        <w:tc>
          <w:tcPr>
            <w:tcW w:type="dxa" w:w="78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Unit</w:t>
            </w:r>
          </w:p>
        </w:tc>
        <w:tc>
          <w:tcPr>
            <w:tcW w:type="dxa" w:w="78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Qty</w:t>
            </w:r>
          </w:p>
        </w:tc>
        <w:tc>
          <w:tcPr>
            <w:tcW w:type="dxa" w:w="276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Note</w:t>
            </w:r>
          </w:p>
        </w:tc>
      </w:tr>
      <w:tr>
        <w:tc>
          <w:tcPr>
            <w:tcW w:type="dxa" w:w="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w:t>
            </w:r>
          </w:p>
        </w:tc>
        <w:tc>
          <w:tcPr>
            <w:tcW w:type="dxa" w:w="4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DESIGN, CALCULATIONS AND APPROVALS</w:t>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7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A1</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Design development to the responsibility matrix at 13.3, including the Contractor's Proposals</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Includes every submission listed at 13.5</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A2</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Structural design, connections, lifting points and the temporary condition at 4.27</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A3</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Thermal calculations, thermal bridging and the TM59 overheating model</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Appendix 9</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A4</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Acoustic design and the flanking demonstration at 4.6</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A5</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Drainage design and the trap seal demonstration at 4.23</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Congested-use loading</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A6</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Maximum demand calculation, discrimination study and earthing design</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4.24</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A7</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Water design, legionella written scheme of control and the flushing regime</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4.11, 4.12</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A8</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Fire alarm design, cause and effect matrix and the BS 7273-4 door schedule</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4.15, 4.18, 4.26</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A9</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Lightning protection risk assessment to BS EN 62305-2</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4.17 — priced whether or not protection results</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A10</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Relocation method statement and the schedule of consumed components</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13.7</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A11</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Collateral warranties — Contractor and each designing sub-contractor</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Nr</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Appendix 10</w:t>
            </w:r>
          </w:p>
        </w:tc>
      </w:tr>
      <w:tr>
        <w:tc>
          <w:tcPr>
            <w:tcW w:type="dxa" w:w="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w:t>
            </w:r>
          </w:p>
        </w:tc>
        <w:tc>
          <w:tcPr>
            <w:tcW w:type="dxa" w:w="4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MANUFACTURE — BEDROOM MODULES</w:t>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7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B1</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RT-01 standard bedroom with ensuite shower room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Nr</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199</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room, complete to the room data sheet</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B2</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RT-02 accessible bedroom with ensuite wet room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Nr</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room</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B3</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RT-03 senior / long-stay bedroom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Nr</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14</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 per room</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B4</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Circulation, stairs and the module envelope serving the above</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to be spread into B1–B3</w:t>
            </w:r>
          </w:p>
        </w:tc>
      </w:tr>
      <w:tr>
        <w:tc>
          <w:tcPr>
            <w:tcW w:type="dxa" w:w="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w:t>
            </w:r>
          </w:p>
        </w:tc>
        <w:tc>
          <w:tcPr>
            <w:tcW w:type="dxa" w:w="4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MANUFACTURE — AMENITY, RECEPTION AND SHELL</w:t>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7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C1</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Reception, management office and resident amenity space</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m²</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420</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C2</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Kitchen and dining building shell, to receive P3</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m²</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610</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IF-04. Shell only — fit-out is P3</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C3</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Laundry, drying and stores</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m²</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180</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C4</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Plant enclosures, acoustically treated, with the access at 4.14</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w:t>
            </w:r>
          </w:p>
        </w:tc>
        <w:tc>
          <w:tcPr>
            <w:tcW w:type="dxa" w:w="4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TRANSPORT AND DELIVERY</w:t>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7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D1</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Delivery to site, bedroom modules</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Nr</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88</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Modules, not rooms. State the module count assumed</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D2</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Delivery to site, amenity and shell modules</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Nr</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26</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D3</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Abnormal load escorts, permits and route compliance</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Appendix 7 — route assessment incomplete, risk with the Employer per 18.3</w:t>
            </w:r>
          </w:p>
        </w:tc>
      </w:tr>
      <w:tr>
        <w:tc>
          <w:tcPr>
            <w:tcW w:type="dxa" w:w="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w:t>
            </w:r>
          </w:p>
        </w:tc>
        <w:tc>
          <w:tcPr>
            <w:tcW w:type="dxa" w:w="4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CRANEAGE, SETTING AND CONNECTION</w:t>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7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E1</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Craneage, lift planning to BS 7121-1 and the Appointed Person</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4.21</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E2</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Setting, levelling and inter-module connection</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Nr</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114</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Per module set</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E3</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Weathering, joint sealing and the joint mock-up test</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4.22</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E4</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Connection to the P1 termination points</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Nr</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8</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Per block, all four services</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E5</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Temporary works design, independent check and permits</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4.21 — Category 2 minimum</w:t>
            </w:r>
          </w:p>
        </w:tc>
      </w:tr>
      <w:tr>
        <w:tc>
          <w:tcPr>
            <w:tcW w:type="dxa" w:w="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w:t>
            </w:r>
          </w:p>
        </w:tc>
        <w:tc>
          <w:tcPr>
            <w:tcW w:type="dxa" w:w="4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INTERNAL FIT-OUT AND FIXED JOINERY</w:t>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7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F1</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Fit-out, RT-01</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Nr</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199</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Where not included in B1 — state which</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F2</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Fit-out, RT-02</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Nr</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F3</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Fit-out, RT-03</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Nr</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14</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F4</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Circulation and amenity finishes, wall and corner protection</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4.7, 4.9</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F5</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Signage and wayfinding to the scheme at 4.20</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Including the viewing-distance calculation</w:t>
            </w:r>
          </w:p>
        </w:tc>
      </w:tr>
      <w:tr>
        <w:tc>
          <w:tcPr>
            <w:tcW w:type="dxa" w:w="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w:t>
            </w:r>
          </w:p>
        </w:tc>
        <w:tc>
          <w:tcPr>
            <w:tcW w:type="dxa" w:w="4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MECHANICAL AND ELECTRICAL</w:t>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7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Heating and controls to the duty in the room data sheets</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State the resulting connected load per block</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G2</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Ventilation and ensuite extract</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G3</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Hot and cold water, TMVs, boosting and metering</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4.11, 4.25</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G4</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Above-ground drainage within the modules</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4.23</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G5</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Electrical distribution, protection and metering</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4.24</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G6</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Lighting and emergency lighting</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4.16</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G7</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Fire detection and alarm, Category L1</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4.15, 4.26</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G8</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Access control, offline battery locks and the key hierarchy</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4.18 — fail-secure to bedrooms, fail-safe to escape doors</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G9</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Structured cabling and the wireless network</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Coverage per section 6</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G10</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CCTV containment, cabling and power to the P5 termination points</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4.19 — cameras are P5</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G11</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Lightning protection installation, where the assessment requires it</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Price nil if the assessment concludes none is required, and say so</w:t>
            </w:r>
          </w:p>
        </w:tc>
      </w:tr>
      <w:tr>
        <w:tc>
          <w:tcPr>
            <w:tcW w:type="dxa" w:w="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w:t>
            </w:r>
          </w:p>
        </w:tc>
        <w:tc>
          <w:tcPr>
            <w:tcW w:type="dxa" w:w="4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COMMISSIONING, TESTING AND DEMONSTRATION</w:t>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7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H1</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Commissioning, every outlet and every extract measured and recorded</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Nr</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Per room. 8.5 — summaries are rejected</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H2</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Pre-completion acoustic testing</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Nr</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23</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One room pair in ten</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H3</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Air permeability testing, ATTMA TSL2</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Nr</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3</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One completed block in three, joints included</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H4</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Weathertightness testing — joint mock-up and site hose test</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4.22</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H5</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Demonstration of cause and effect, access control and the wireless heat map</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8.6</w:t>
            </w:r>
          </w:p>
        </w:tc>
      </w:tr>
      <w:tr>
        <w:tc>
          <w:tcPr>
            <w:tcW w:type="dxa" w:w="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w:t>
            </w:r>
          </w:p>
        </w:tc>
        <w:tc>
          <w:tcPr>
            <w:tcW w:type="dxa" w:w="4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HANDOVER DELIVERABLES AND TRAINING</w:t>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7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I1</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As-installed drawings, model and O&amp;M manuals</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15.2</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I2</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Asset register in the schema at Appendix 11</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IF-14</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I3</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Registers — doorsets, firestopping, keys, valves</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I4</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Training for P5, two recorded sessions</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J</w:t>
            </w:r>
          </w:p>
        </w:tc>
        <w:tc>
          <w:tcPr>
            <w:tcW w:type="dxa" w:w="4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SPARES AND CONSUMABLES — PRICED SEPARATELY</w:t>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7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J1</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Twelve months' consumables from the last sectional completion</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19.5 — stated separately so the Employer can decline it knowingly</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J2</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Critical spares holding, criticality 1 assets</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19.5</w:t>
            </w:r>
          </w:p>
        </w:tc>
      </w:tr>
      <w:tr>
        <w:tc>
          <w:tcPr>
            <w:tcW w:type="dxa" w:w="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K</w:t>
            </w:r>
          </w:p>
        </w:tc>
        <w:tc>
          <w:tcPr>
            <w:tcW w:type="dxa" w:w="4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SAMPLE ROOM</w:t>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7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K1</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One complete RT-01, fully finished and serviced, in advance</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Nr</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8.3, 8.7 — not a proportion of B1</w:t>
            </w:r>
          </w:p>
        </w:tc>
      </w:tr>
      <w:tr>
        <w:tc>
          <w:tcPr>
            <w:tcW w:type="dxa" w:w="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w:t>
            </w:r>
          </w:p>
        </w:tc>
        <w:tc>
          <w:tcPr>
            <w:tcW w:type="dxa" w:w="4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OPTIONS — PRICED, NOT INCLUDED IN THE LUMP SUM</w:t>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7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L1</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Window-open heating interlock, as a priced option</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4.10</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L2</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Self-testing emergency lighting</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Sum</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4.16</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L3</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Improvement on the air permeability figure, per 1.0 m³/(h·m²) below 7.0</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Evaluated — section 6</w:t>
            </w:r>
          </w:p>
        </w:tc>
      </w:tr>
      <w:tr>
        <w:tc>
          <w:tcPr>
            <w:tcW w:type="dxa" w:w="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w:t>
            </w:r>
          </w:p>
        </w:tc>
        <w:tc>
          <w:tcPr>
            <w:tcW w:type="dxa" w:w="4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RATES FOR THE VALUATION OF CHANGE</w:t>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7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M1</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All-in hourly rate, by trade and grade, site</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17.2 — list every trade and grade to be employed</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M2</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All-in hourly rate, by trade and grade, factory</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17.2</w:t>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M3</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Percentage addition for overheads</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M4</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Percentage addition for profit</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M5</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Percentage addition on sub-contracted work</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M6</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Craneage, per shift and per hour</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Rate</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N</w:t>
            </w:r>
          </w:p>
        </w:tc>
        <w:tc>
          <w:tcPr>
            <w:tcW w:type="dxa" w:w="4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DEPARTURES FROM THESE EMPLOYER'S REQUIREMENTS</w:t>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78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c>
          <w:tcPr>
            <w:tcW w:type="dxa" w:w="276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N1</w:t>
            </w:r>
          </w:p>
        </w:tc>
        <w:tc>
          <w:tcPr>
            <w:tcW w:type="dxa" w:w="4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Each departure listed and priced individually, plus or minus</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Nr</w:t>
            </w:r>
          </w:p>
        </w:tc>
        <w:tc>
          <w:tcPr>
            <w:tcW w:type="dxa" w:w="78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27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13.4 — a departure not listed is not accepted</w:t>
            </w:r>
          </w:p>
        </w:tc>
      </w:tr>
    </w:tbl>
    <w:p>
      <w:pPr>
        <w:spacing w:after="60" w:before="90" w:line="260"/>
      </w:pPr>
      <w:r>
        <w:rPr>
          <w:rFonts w:ascii="Arial" w:cs="Arial" w:eastAsia="Arial" w:hAnsi="Arial"/>
          <w:i/>
          <w:iCs/>
          <w:color w:val="5B6672"/>
          <w:sz w:val="17"/>
          <w:szCs w:val="17"/>
        </w:rPr>
        <w:t xml:space="preserve">Blank unit and quantity mark a section heading. Every other line is priced.</w:t>
      </w:r>
    </w:p>
    <w:p>
      <w:r>
        <w:br w:type="page"/>
      </w:r>
    </w:p>
    <w:p>
      <w:pPr>
        <w:pStyle w:val="Heading1"/>
        <w:spacing w:after="130" w:before="340"/>
      </w:pPr>
      <w:r>
        <w:rPr>
          <w:rFonts w:ascii="Arial" w:cs="Arial" w:eastAsia="Arial" w:hAnsi="Arial"/>
          <w:b/>
          <w:bCs/>
          <w:color w:val="14181D"/>
          <w:sz w:val="28"/>
          <w:szCs w:val="28"/>
        </w:rPr>
        <w:t xml:space="preserve">Appendix 2  Fire strategy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Authored by</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The Employer's fire engineer</w:t>
            </w:r>
          </w:p>
        </w:tc>
      </w:tr>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Status</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To be inserted. Revision C is expected before the clarification deadline.</w:t>
            </w:r>
          </w:p>
        </w:tc>
      </w:tr>
    </w:tbl>
    <w:p>
      <w:pPr>
        <w:pStyle w:val="Heading2"/>
        <w:spacing w:after="95" w:before="230"/>
      </w:pPr>
      <w:r>
        <w:rPr>
          <w:rFonts w:ascii="Arial" w:cs="Arial" w:eastAsia="Arial" w:hAnsi="Arial"/>
          <w:b/>
          <w:bCs/>
          <w:color w:val="9C7A3C"/>
          <w:sz w:val="21"/>
          <w:szCs w:val="21"/>
        </w:rPr>
        <w:t xml:space="preserve">2.1  What the Employer's Requirements depend on it for</w:t>
      </w:r>
    </w:p>
    <w:p>
      <w:pPr>
        <w:spacing w:after="18" w:before="18" w:line="260"/>
        <w:ind w:left="280"/>
      </w:pPr>
      <w:r>
        <w:rPr>
          <w:rFonts w:ascii="Arial" w:cs="Arial" w:eastAsia="Arial" w:hAnsi="Arial"/>
          <w:color w:val="14181D"/>
          <w:sz w:val="18"/>
          <w:szCs w:val="18"/>
        </w:rPr>
        <w:t xml:space="preserve">·   The evacuation strategy and zoning decisions at 4.26 — the Employer has stated them and the fire engineer's strategy must confirm or vary them.</w:t>
      </w:r>
    </w:p>
    <w:p>
      <w:pPr>
        <w:spacing w:after="18" w:before="18" w:line="260"/>
        <w:ind w:left="280"/>
      </w:pPr>
      <w:r>
        <w:rPr>
          <w:rFonts w:ascii="Arial" w:cs="Arial" w:eastAsia="Arial" w:hAnsi="Arial"/>
          <w:color w:val="14181D"/>
          <w:sz w:val="18"/>
          <w:szCs w:val="18"/>
        </w:rPr>
        <w:t xml:space="preserve">·   Compartmentation and the REI 60 requirement at 4.6 and section 6.</w:t>
      </w:r>
    </w:p>
    <w:p>
      <w:pPr>
        <w:spacing w:after="18" w:before="18" w:line="260"/>
        <w:ind w:left="280"/>
      </w:pPr>
      <w:r>
        <w:rPr>
          <w:rFonts w:ascii="Arial" w:cs="Arial" w:eastAsia="Arial" w:hAnsi="Arial"/>
          <w:color w:val="14181D"/>
          <w:sz w:val="18"/>
          <w:szCs w:val="18"/>
        </w:rPr>
        <w:t xml:space="preserve">·   Escape route widths and travel distances, which set the corridor width at 4.7 and therefore the door clear opening width in the room data sheets.</w:t>
      </w:r>
    </w:p>
    <w:p>
      <w:pPr>
        <w:spacing w:after="18" w:before="18" w:line="260"/>
        <w:ind w:left="280"/>
      </w:pPr>
      <w:r>
        <w:rPr>
          <w:rFonts w:ascii="Arial" w:cs="Arial" w:eastAsia="Arial" w:hAnsi="Arial"/>
          <w:color w:val="14181D"/>
          <w:sz w:val="18"/>
          <w:szCs w:val="18"/>
        </w:rPr>
        <w:t xml:space="preserve">·   Doorset ratings — FD30S to bedrooms, FD60S where the strategy requires.</w:t>
      </w:r>
    </w:p>
    <w:p>
      <w:pPr>
        <w:spacing w:after="18" w:before="18" w:line="260"/>
        <w:ind w:left="280"/>
      </w:pPr>
      <w:r>
        <w:rPr>
          <w:rFonts w:ascii="Arial" w:cs="Arial" w:eastAsia="Arial" w:hAnsi="Arial"/>
          <w:color w:val="14181D"/>
          <w:sz w:val="18"/>
          <w:szCs w:val="18"/>
        </w:rPr>
        <w:t xml:space="preserve">·   External wall reaction-to-fire requirements for the building height and use, per section 6.</w:t>
      </w:r>
    </w:p>
    <w:p>
      <w:pPr>
        <w:spacing w:after="18" w:before="18" w:line="260"/>
        <w:ind w:left="280"/>
      </w:pPr>
      <w:r>
        <w:rPr>
          <w:rFonts w:ascii="Arial" w:cs="Arial" w:eastAsia="Arial" w:hAnsi="Arial"/>
          <w:color w:val="14181D"/>
          <w:sz w:val="18"/>
          <w:szCs w:val="18"/>
        </w:rPr>
        <w:t xml:space="preserve">·   The separation distance between blocks that permits each to be a separate evacuation entity under 4.26.</w:t>
      </w:r>
    </w:p>
    <w:p>
      <w:pPr>
        <w:spacing w:after="18" w:before="18" w:line="260"/>
        <w:ind w:left="280"/>
      </w:pPr>
      <w:r>
        <w:rPr>
          <w:rFonts w:ascii="Arial" w:cs="Arial" w:eastAsia="Arial" w:hAnsi="Arial"/>
          <w:color w:val="14181D"/>
          <w:sz w:val="18"/>
          <w:szCs w:val="18"/>
        </w:rPr>
        <w:t xml:space="preserve">·   Confirmation of the alarm category — this document states L1 unless the strategy requires otherwise (4.15).</w:t>
      </w:r>
    </w:p>
    <w:p>
      <w:pPr>
        <w:pStyle w:val="Heading2"/>
        <w:spacing w:after="95" w:before="230"/>
      </w:pPr>
      <w:r>
        <w:rPr>
          <w:rFonts w:ascii="Arial" w:cs="Arial" w:eastAsia="Arial" w:hAnsi="Arial"/>
          <w:b/>
          <w:bCs/>
          <w:color w:val="9C7A3C"/>
          <w:sz w:val="21"/>
          <w:szCs w:val="21"/>
        </w:rPr>
        <w:t xml:space="preserve">2.2  What a tenderer prices until it arrives</w:t>
      </w:r>
    </w:p>
    <w:p>
      <w:pPr>
        <w:spacing w:after="60" w:before="60" w:line="260"/>
      </w:pPr>
      <w:r>
        <w:rPr>
          <w:rFonts w:ascii="Arial" w:cs="Arial" w:eastAsia="Arial" w:hAnsi="Arial"/>
          <w:b/>
          <w:bCs/>
          <w:color w:val="14181D"/>
          <w:sz w:val="19"/>
          <w:szCs w:val="19"/>
        </w:rPr>
        <w:t xml:space="preserve">Price on this basis. State in the tender that you have done so. Do not price a worst case against it.</w:t>
      </w:r>
    </w:p>
    <w:p>
      <w:pPr>
        <w:spacing w:after="18" w:before="18" w:line="260"/>
        <w:ind w:left="280"/>
      </w:pPr>
      <w:r>
        <w:rPr>
          <w:rFonts w:ascii="Arial" w:cs="Arial" w:eastAsia="Arial" w:hAnsi="Arial"/>
          <w:color w:val="14181D"/>
          <w:sz w:val="18"/>
          <w:szCs w:val="18"/>
        </w:rPr>
        <w:t xml:space="preserve">·   Category L1 alarm to BS 5839-1 throughout.</w:t>
      </w:r>
    </w:p>
    <w:p>
      <w:pPr>
        <w:spacing w:after="18" w:before="18" w:line="260"/>
        <w:ind w:left="280"/>
      </w:pPr>
      <w:r>
        <w:rPr>
          <w:rFonts w:ascii="Arial" w:cs="Arial" w:eastAsia="Arial" w:hAnsi="Arial"/>
          <w:color w:val="14181D"/>
          <w:sz w:val="18"/>
          <w:szCs w:val="18"/>
        </w:rPr>
        <w:t xml:space="preserve">·   Simultaneous evacuation, each block a separate evacuation entity, no voice alarm — as stated at 4.26.</w:t>
      </w:r>
    </w:p>
    <w:p>
      <w:pPr>
        <w:spacing w:after="18" w:before="18" w:line="260"/>
        <w:ind w:left="280"/>
      </w:pPr>
      <w:r>
        <w:rPr>
          <w:rFonts w:ascii="Arial" w:cs="Arial" w:eastAsia="Arial" w:hAnsi="Arial"/>
          <w:color w:val="14181D"/>
          <w:sz w:val="18"/>
          <w:szCs w:val="18"/>
        </w:rPr>
        <w:t xml:space="preserve">·   REI 60 compartmentation between rooms and between room and corridor.</w:t>
      </w:r>
    </w:p>
    <w:p>
      <w:pPr>
        <w:spacing w:after="18" w:before="18" w:line="260"/>
        <w:ind w:left="280"/>
      </w:pPr>
      <w:r>
        <w:rPr>
          <w:rFonts w:ascii="Arial" w:cs="Arial" w:eastAsia="Arial" w:hAnsi="Arial"/>
          <w:color w:val="14181D"/>
          <w:sz w:val="18"/>
          <w:szCs w:val="18"/>
        </w:rPr>
        <w:t xml:space="preserve">·   FD30S bedroom doorsets, certified as doorsets.</w:t>
      </w:r>
    </w:p>
    <w:p>
      <w:pPr>
        <w:spacing w:after="18" w:before="18" w:line="260"/>
        <w:ind w:left="280"/>
      </w:pPr>
      <w:r>
        <w:rPr>
          <w:rFonts w:ascii="Arial" w:cs="Arial" w:eastAsia="Arial" w:hAnsi="Arial"/>
          <w:color w:val="14181D"/>
          <w:sz w:val="18"/>
          <w:szCs w:val="18"/>
        </w:rPr>
        <w:t xml:space="preserve">·   1200 mm corridors, 1500 mm on accessible routes.</w:t>
      </w:r>
    </w:p>
    <w:p>
      <w:pPr>
        <w:spacing w:after="18" w:before="18" w:line="260"/>
        <w:ind w:left="280"/>
      </w:pPr>
      <w:r>
        <w:rPr>
          <w:rFonts w:ascii="Arial" w:cs="Arial" w:eastAsia="Arial" w:hAnsi="Arial"/>
          <w:color w:val="14181D"/>
          <w:sz w:val="18"/>
          <w:szCs w:val="18"/>
        </w:rPr>
        <w:t xml:space="preserve">·   Bedroom doors FAIL-SECURE, escape route doors FAIL-SAFE, per 4.18.</w:t>
      </w:r>
    </w:p>
    <w:p>
      <w:pPr>
        <w:pStyle w:val="Heading2"/>
        <w:spacing w:after="95" w:before="230"/>
      </w:pPr>
      <w:r>
        <w:rPr>
          <w:rFonts w:ascii="Arial" w:cs="Arial" w:eastAsia="Arial" w:hAnsi="Arial"/>
          <w:b/>
          <w:bCs/>
          <w:color w:val="9C7A3C"/>
          <w:sz w:val="21"/>
          <w:szCs w:val="21"/>
        </w:rPr>
        <w:t xml:space="preserve">2.3  If the issued document differs</w:t>
      </w:r>
    </w:p>
    <w:p>
      <w:pPr>
        <w:spacing w:after="60" w:before="60" w:line="260"/>
      </w:pPr>
      <w:r>
        <w:rPr>
          <w:rFonts w:ascii="Arial" w:cs="Arial" w:eastAsia="Arial" w:hAnsi="Arial"/>
          <w:color w:val="14181D"/>
          <w:sz w:val="19"/>
          <w:szCs w:val="19"/>
        </w:rPr>
        <w:t xml:space="preserve">Where the issued strategy requires more than the above, the difference is a change under section 17 valued at the rates in item M of Appendix 1. Where it requires less, the saving is the Employer's. A tenderer that prices a worse case silently has not made an allowance, it has made itself uncompetitive.</w:t>
      </w:r>
    </w:p>
    <w:p>
      <w:r>
        <w:br w:type="page"/>
      </w:r>
    </w:p>
    <w:p>
      <w:pPr>
        <w:pStyle w:val="Heading1"/>
        <w:spacing w:after="130" w:before="340"/>
      </w:pPr>
      <w:r>
        <w:rPr>
          <w:rFonts w:ascii="Arial" w:cs="Arial" w:eastAsia="Arial" w:hAnsi="Arial"/>
          <w:b/>
          <w:bCs/>
          <w:color w:val="14181D"/>
          <w:sz w:val="28"/>
          <w:szCs w:val="28"/>
        </w:rPr>
        <w:t xml:space="preserve">Appendix 3  Planning consent and conditions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Authored by</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The local planning authority; the site rules below are the Employer's</w:t>
            </w:r>
          </w:p>
        </w:tc>
      </w:tr>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Status</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The decision notice is to be inserted in full. Not a summary — a summary of a condition is somebody's reading of it, and the reading is what is being complied with.</w:t>
            </w:r>
          </w:p>
        </w:tc>
      </w:tr>
    </w:tbl>
    <w:p>
      <w:pPr>
        <w:pStyle w:val="Heading2"/>
        <w:spacing w:after="95" w:before="230"/>
      </w:pPr>
      <w:r>
        <w:rPr>
          <w:rFonts w:ascii="Arial" w:cs="Arial" w:eastAsia="Arial" w:hAnsi="Arial"/>
          <w:b/>
          <w:bCs/>
          <w:color w:val="9C7A3C"/>
          <w:sz w:val="21"/>
          <w:szCs w:val="21"/>
        </w:rPr>
        <w:t xml:space="preserve">3.1  What the Employer's Requirements depend on it for</w:t>
      </w:r>
    </w:p>
    <w:p>
      <w:pPr>
        <w:spacing w:after="18" w:before="18" w:line="260"/>
        <w:ind w:left="280"/>
      </w:pPr>
      <w:r>
        <w:rPr>
          <w:rFonts w:ascii="Arial" w:cs="Arial" w:eastAsia="Arial" w:hAnsi="Arial"/>
          <w:color w:val="14181D"/>
          <w:sz w:val="18"/>
          <w:szCs w:val="18"/>
        </w:rPr>
        <w:t xml:space="preserve">·   Working hours, at 7.4 and in the site rules.</w:t>
      </w:r>
    </w:p>
    <w:p>
      <w:pPr>
        <w:spacing w:after="18" w:before="18" w:line="260"/>
        <w:ind w:left="280"/>
      </w:pPr>
      <w:r>
        <w:rPr>
          <w:rFonts w:ascii="Arial" w:cs="Arial" w:eastAsia="Arial" w:hAnsi="Arial"/>
          <w:color w:val="14181D"/>
          <w:sz w:val="18"/>
          <w:szCs w:val="18"/>
        </w:rPr>
        <w:t xml:space="preserve">·   External appearance and the approved colour range at Appendix 5.</w:t>
      </w:r>
    </w:p>
    <w:p>
      <w:pPr>
        <w:spacing w:after="18" w:before="18" w:line="260"/>
        <w:ind w:left="280"/>
      </w:pPr>
      <w:r>
        <w:rPr>
          <w:rFonts w:ascii="Arial" w:cs="Arial" w:eastAsia="Arial" w:hAnsi="Arial"/>
          <w:color w:val="14181D"/>
          <w:sz w:val="18"/>
          <w:szCs w:val="18"/>
        </w:rPr>
        <w:t xml:space="preserve">·   External lighting, ecology and landscape conditions affecting the site boundary.</w:t>
      </w:r>
    </w:p>
    <w:p>
      <w:pPr>
        <w:spacing w:after="18" w:before="18" w:line="260"/>
        <w:ind w:left="280"/>
      </w:pPr>
      <w:r>
        <w:rPr>
          <w:rFonts w:ascii="Arial" w:cs="Arial" w:eastAsia="Arial" w:hAnsi="Arial"/>
          <w:color w:val="14181D"/>
          <w:sz w:val="18"/>
          <w:szCs w:val="18"/>
        </w:rPr>
        <w:t xml:space="preserve">·   The surface water discharge rate at Appendix 8.</w:t>
      </w:r>
    </w:p>
    <w:p>
      <w:pPr>
        <w:spacing w:after="18" w:before="18" w:line="260"/>
        <w:ind w:left="280"/>
      </w:pPr>
      <w:r>
        <w:rPr>
          <w:rFonts w:ascii="Arial" w:cs="Arial" w:eastAsia="Arial" w:hAnsi="Arial"/>
          <w:color w:val="14181D"/>
          <w:sz w:val="18"/>
          <w:szCs w:val="18"/>
        </w:rPr>
        <w:t xml:space="preserve">·   The duration of the consent, against the 38-month deployment and the relocation intention at 13.7.</w:t>
      </w:r>
    </w:p>
    <w:p>
      <w:pPr>
        <w:pStyle w:val="Heading2"/>
        <w:spacing w:after="95" w:before="230"/>
      </w:pPr>
      <w:r>
        <w:rPr>
          <w:rFonts w:ascii="Arial" w:cs="Arial" w:eastAsia="Arial" w:hAnsi="Arial"/>
          <w:b/>
          <w:bCs/>
          <w:color w:val="9C7A3C"/>
          <w:sz w:val="21"/>
          <w:szCs w:val="21"/>
        </w:rPr>
        <w:t xml:space="preserve">3.2  What a tenderer prices until it arrives</w:t>
      </w:r>
    </w:p>
    <w:p>
      <w:pPr>
        <w:spacing w:after="60" w:before="60" w:line="260"/>
      </w:pPr>
      <w:r>
        <w:rPr>
          <w:rFonts w:ascii="Arial" w:cs="Arial" w:eastAsia="Arial" w:hAnsi="Arial"/>
          <w:b/>
          <w:bCs/>
          <w:color w:val="14181D"/>
          <w:sz w:val="19"/>
          <w:szCs w:val="19"/>
        </w:rPr>
        <w:t xml:space="preserve">Price on this basis. State in the tender that you have done so. Do not price a worst case against it.</w:t>
      </w:r>
    </w:p>
    <w:p>
      <w:pPr>
        <w:spacing w:after="18" w:before="18" w:line="260"/>
        <w:ind w:left="280"/>
      </w:pPr>
      <w:r>
        <w:rPr>
          <w:rFonts w:ascii="Arial" w:cs="Arial" w:eastAsia="Arial" w:hAnsi="Arial"/>
          <w:color w:val="14181D"/>
          <w:sz w:val="18"/>
          <w:szCs w:val="18"/>
        </w:rPr>
        <w:t xml:space="preserve">·   Working hours 07:00–19:00 Monday to Friday, 08:00–13:00 Saturday, none on Sundays or bank holidays.</w:t>
      </w:r>
    </w:p>
    <w:p>
      <w:pPr>
        <w:spacing w:after="18" w:before="18" w:line="260"/>
        <w:ind w:left="280"/>
      </w:pPr>
      <w:r>
        <w:rPr>
          <w:rFonts w:ascii="Arial" w:cs="Arial" w:eastAsia="Arial" w:hAnsi="Arial"/>
          <w:color w:val="14181D"/>
          <w:sz w:val="18"/>
          <w:szCs w:val="18"/>
        </w:rPr>
        <w:t xml:space="preserve">·   The colour range at Appendix 5 as consented.</w:t>
      </w:r>
    </w:p>
    <w:p>
      <w:pPr>
        <w:spacing w:after="18" w:before="18" w:line="260"/>
        <w:ind w:left="280"/>
      </w:pPr>
      <w:r>
        <w:rPr>
          <w:rFonts w:ascii="Arial" w:cs="Arial" w:eastAsia="Arial" w:hAnsi="Arial"/>
          <w:color w:val="14181D"/>
          <w:sz w:val="18"/>
          <w:szCs w:val="18"/>
        </w:rPr>
        <w:t xml:space="preserve">·   No external lighting spill beyond the site boundary; luminaires to be full cut-off.</w:t>
      </w:r>
    </w:p>
    <w:p>
      <w:pPr>
        <w:pStyle w:val="Heading2"/>
        <w:spacing w:after="95" w:before="230"/>
      </w:pPr>
      <w:r>
        <w:rPr>
          <w:rFonts w:ascii="Arial" w:cs="Arial" w:eastAsia="Arial" w:hAnsi="Arial"/>
          <w:b/>
          <w:bCs/>
          <w:color w:val="9C7A3C"/>
          <w:sz w:val="21"/>
          <w:szCs w:val="21"/>
        </w:rPr>
        <w:t xml:space="preserve">3.3  If the issued document differs</w:t>
      </w:r>
    </w:p>
    <w:p>
      <w:pPr>
        <w:spacing w:after="60" w:before="60" w:line="260"/>
      </w:pPr>
      <w:r>
        <w:rPr>
          <w:rFonts w:ascii="Arial" w:cs="Arial" w:eastAsia="Arial" w:hAnsi="Arial"/>
          <w:color w:val="14181D"/>
          <w:sz w:val="19"/>
          <w:szCs w:val="19"/>
        </w:rPr>
        <w:t xml:space="preserve">Discharge of conditions is the Employer's and is scheduled at IF-12. Compliance once discharged is the Contractor's. A condition discharged late is an Employer delay under 18.3 only where the Contractor has given the early warning required at 18.5.</w:t>
      </w:r>
    </w:p>
    <w:p>
      <w:pPr>
        <w:pStyle w:val="Heading2"/>
        <w:spacing w:after="95" w:before="230"/>
      </w:pPr>
      <w:r>
        <w:rPr>
          <w:rFonts w:ascii="Arial" w:cs="Arial" w:eastAsia="Arial" w:hAnsi="Arial"/>
          <w:b/>
          <w:bCs/>
          <w:color w:val="9C7A3C"/>
          <w:sz w:val="21"/>
          <w:szCs w:val="21"/>
        </w:rPr>
        <w:t xml:space="preserve">3.4  The Employer's site rules</w:t>
      </w:r>
    </w:p>
    <w:p>
      <w:pPr>
        <w:spacing w:after="60" w:before="60" w:line="260"/>
      </w:pPr>
      <w:r>
        <w:rPr>
          <w:rFonts w:ascii="Arial" w:cs="Arial" w:eastAsia="Arial" w:hAnsi="Arial"/>
          <w:color w:val="14181D"/>
          <w:sz w:val="19"/>
          <w:szCs w:val="19"/>
        </w:rPr>
        <w:t xml:space="preserve">These are the Employer's and are issued in full. They apply from mobilisation and they change once the first block is occupied — the rule about noise near occupied blocks is the one people forget, and it is a safety rule rather than a courtesy.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420"/>
      </w:tblGrid>
      <w:tr>
        <w:trPr>
          <w:tblHeader/>
        </w:trPr>
        <w:tc>
          <w:tcPr>
            <w:tcW w:type="dxa" w:w="1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Rule</w:t>
            </w:r>
          </w:p>
        </w:tc>
        <w:tc>
          <w:tcPr>
            <w:tcW w:type="dxa" w:w="59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What it requires</w:t>
            </w:r>
          </w:p>
        </w:tc>
        <w:tc>
          <w:tcPr>
            <w:tcW w:type="dxa" w:w="14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Clause</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Induction</w:t>
            </w:r>
          </w:p>
        </w:tc>
        <w:tc>
          <w:tcPr>
            <w:tcW w:type="dxa" w:w="5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Every person, before first entry, without exception. Project induction plus a village-specific module once the first block is occupied — the second one exists because a site where people are asleep two hundred metres away is not the same site.</w:t>
            </w:r>
          </w:p>
        </w:tc>
        <w:tc>
          <w:tcPr>
            <w:tcW w:type="dxa" w:w="14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14.5</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Competence</w:t>
            </w:r>
          </w:p>
        </w:tc>
        <w:tc>
          <w:tcPr>
            <w:tcW w:type="dxa" w:w="5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Valid competence card for the work being done, carried and produced on request. A card that has expired is a card that has expired.</w:t>
            </w:r>
          </w:p>
        </w:tc>
        <w:tc>
          <w:tcPr>
            <w:tcW w:type="dxa" w:w="14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Hours</w:t>
            </w:r>
          </w:p>
        </w:tc>
        <w:tc>
          <w:tcPr>
            <w:tcW w:type="dxa" w:w="5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 the planning consent. Work outside them requires the Employer's prior written agreement AND the discharge of the relevant condition — the two are separate and both are needed.</w:t>
            </w:r>
          </w:p>
        </w:tc>
        <w:tc>
          <w:tcPr>
            <w:tcW w:type="dxa" w:w="14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7.4, IF-12</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Deliveries</w:t>
            </w:r>
          </w:p>
        </w:tc>
        <w:tc>
          <w:tcPr>
            <w:tcW w:type="dxa" w:w="5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Booking slot from the Principal Contractor not less than 48 hours ahead. A vehicle without a slot may be turned away and the abortive cost is the Contractor's. No vehicle waits on the public highway.</w:t>
            </w:r>
          </w:p>
        </w:tc>
        <w:tc>
          <w:tcPr>
            <w:tcW w:type="dxa" w:w="14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14.2</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Speed and traffic</w:t>
            </w:r>
          </w:p>
        </w:tc>
        <w:tc>
          <w:tcPr>
            <w:tcW w:type="dxa" w:w="5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10 mph throughout. No reversing without a banksman. Wheel wash before leaving. Pedestrian routes segregated and lit.</w:t>
            </w:r>
          </w:p>
        </w:tc>
        <w:tc>
          <w:tcPr>
            <w:tcW w:type="dxa" w:w="14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14.2</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Drugs and alcohol</w:t>
            </w:r>
          </w:p>
        </w:tc>
        <w:tc>
          <w:tcPr>
            <w:tcW w:type="dxa" w:w="5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Testing on a for-cause and random basis. A positive test or a refusal is removal from site.</w:t>
            </w:r>
          </w:p>
        </w:tc>
        <w:tc>
          <w:tcPr>
            <w:tcW w:type="dxa" w:w="14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14.5</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Smoking</w:t>
            </w:r>
          </w:p>
        </w:tc>
        <w:tc>
          <w:tcPr>
            <w:tcW w:type="dxa" w:w="5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Designated areas only. Not within 10 m of any accommodation block, at any stage, including before occupation — a habit formed during construction persists into occupation.</w:t>
            </w:r>
          </w:p>
        </w:tc>
        <w:tc>
          <w:tcPr>
            <w:tcW w:type="dxa" w:w="14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PPE</w:t>
            </w:r>
          </w:p>
        </w:tc>
        <w:tc>
          <w:tcPr>
            <w:tcW w:type="dxa" w:w="5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Safety footwear, hi-vis, hard hat and eye protection as a minimum, task-specific PPE per the risk assessment.</w:t>
            </w:r>
          </w:p>
        </w:tc>
        <w:tc>
          <w:tcPr>
            <w:tcW w:type="dxa" w:w="14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Permits</w:t>
            </w:r>
          </w:p>
        </w:tc>
        <w:tc>
          <w:tcPr>
            <w:tcW w:type="dxa" w:w="5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Required for: hot works, work at height, confined space, excavation, isolation of any live service, and any lift under 4.21. Issued by the Principal Contractor. Allow for the time in the programme rather than treating it as a delay.</w:t>
            </w:r>
          </w:p>
        </w:tc>
        <w:tc>
          <w:tcPr>
            <w:tcW w:type="dxa" w:w="14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14.5, 4.21</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Noise near occupied blocks</w:t>
            </w:r>
          </w:p>
        </w:tc>
        <w:tc>
          <w:tcPr>
            <w:tcW w:type="dxa" w:w="5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Once any block is occupied, no work generating more than 65 dB(A) at the facade of an occupied block between 20:00 and 07:00 without the Employer's written agreement. Residents on nights are asleep during the working day and this is a safety matter, not a courtesy.</w:t>
            </w:r>
          </w:p>
        </w:tc>
        <w:tc>
          <w:tcPr>
            <w:tcW w:type="dxa" w:w="14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4.26</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Photography</w:t>
            </w:r>
          </w:p>
        </w:tc>
        <w:tc>
          <w:tcPr>
            <w:tcW w:type="dxa" w:w="5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 photography of residents or of the interior of occupied rooms. Progress photography of construction areas is permitted and expected.</w:t>
            </w:r>
          </w:p>
        </w:tc>
        <w:tc>
          <w:tcPr>
            <w:tcW w:type="dxa" w:w="14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Parking</w:t>
            </w:r>
          </w:p>
        </w:tc>
        <w:tc>
          <w:tcPr>
            <w:tcW w:type="dxa" w:w="5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Limited to the spaces stated in the Employer's allocation. Transport is the Contractor's problem for any operative beyond that number. No parking on the village access road at any time — it is the emergency route.</w:t>
            </w:r>
          </w:p>
        </w:tc>
        <w:tc>
          <w:tcPr>
            <w:tcW w:type="dxa" w:w="14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14.4</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Welfare</w:t>
            </w:r>
          </w:p>
        </w:tc>
        <w:tc>
          <w:tcPr>
            <w:tcW w:type="dxa" w:w="5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Contractor provides its own to CDM 2015 Schedule 2 for the whole of its time on site. It does not use the village it is building.</w:t>
            </w:r>
          </w:p>
        </w:tc>
        <w:tc>
          <w:tcPr>
            <w:tcW w:type="dxa" w:w="14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14.4</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Emergency</w:t>
            </w:r>
          </w:p>
        </w:tc>
        <w:tc>
          <w:tcPr>
            <w:tcW w:type="dxa" w:w="5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Assembly points as the fire strategy. The village alarm and the construction site alarm are separate systems and a person on site must know which one they have heard.</w:t>
            </w:r>
          </w:p>
        </w:tc>
        <w:tc>
          <w:tcPr>
            <w:tcW w:type="dxa" w:w="14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4.26</w:t>
            </w:r>
          </w:p>
        </w:tc>
      </w:tr>
    </w:tbl>
    <w:p>
      <w:r>
        <w:br w:type="page"/>
      </w:r>
    </w:p>
    <w:p>
      <w:pPr>
        <w:pStyle w:val="Heading1"/>
        <w:spacing w:after="130" w:before="340"/>
      </w:pPr>
      <w:r>
        <w:rPr>
          <w:rFonts w:ascii="Arial" w:cs="Arial" w:eastAsia="Arial" w:hAnsi="Arial"/>
          <w:b/>
          <w:bCs/>
          <w:color w:val="14181D"/>
          <w:sz w:val="28"/>
          <w:szCs w:val="28"/>
        </w:rPr>
        <w:t xml:space="preserve">Appendix 4  Construction Environmental Management Plan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Authored by</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The Employer's environmental consultant</w:t>
            </w:r>
          </w:p>
        </w:tc>
      </w:tr>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Status</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To be inserted. The obligations this document already imposes are listed below and stand whatever the CEMP adds.</w:t>
            </w:r>
          </w:p>
        </w:tc>
      </w:tr>
    </w:tbl>
    <w:p>
      <w:pPr>
        <w:pStyle w:val="Heading2"/>
        <w:spacing w:after="95" w:before="230"/>
      </w:pPr>
      <w:r>
        <w:rPr>
          <w:rFonts w:ascii="Arial" w:cs="Arial" w:eastAsia="Arial" w:hAnsi="Arial"/>
          <w:b/>
          <w:bCs/>
          <w:color w:val="9C7A3C"/>
          <w:sz w:val="21"/>
          <w:szCs w:val="21"/>
        </w:rPr>
        <w:t xml:space="preserve">4.1  What the Employer's Requirements depend on it for</w:t>
      </w:r>
    </w:p>
    <w:p>
      <w:pPr>
        <w:spacing w:after="18" w:before="18" w:line="260"/>
        <w:ind w:left="280"/>
      </w:pPr>
      <w:r>
        <w:rPr>
          <w:rFonts w:ascii="Arial" w:cs="Arial" w:eastAsia="Arial" w:hAnsi="Arial"/>
          <w:color w:val="14181D"/>
          <w:sz w:val="18"/>
          <w:szCs w:val="18"/>
        </w:rPr>
        <w:t xml:space="preserve">·   Hours, noise, dust and lighting controls at 10.6 and in the site rules.</w:t>
      </w:r>
    </w:p>
    <w:p>
      <w:pPr>
        <w:spacing w:after="18" w:before="18" w:line="260"/>
        <w:ind w:left="280"/>
      </w:pPr>
      <w:r>
        <w:rPr>
          <w:rFonts w:ascii="Arial" w:cs="Arial" w:eastAsia="Arial" w:hAnsi="Arial"/>
          <w:color w:val="14181D"/>
          <w:sz w:val="18"/>
          <w:szCs w:val="18"/>
        </w:rPr>
        <w:t xml:space="preserve">·   Ecological constraints, including any seasonal restriction on works near the site boundary.</w:t>
      </w:r>
    </w:p>
    <w:p>
      <w:pPr>
        <w:spacing w:after="18" w:before="18" w:line="260"/>
        <w:ind w:left="280"/>
      </w:pPr>
      <w:r>
        <w:rPr>
          <w:rFonts w:ascii="Arial" w:cs="Arial" w:eastAsia="Arial" w:hAnsi="Arial"/>
          <w:color w:val="14181D"/>
          <w:sz w:val="18"/>
          <w:szCs w:val="18"/>
        </w:rPr>
        <w:t xml:space="preserve">·   Waste, duty of care and the 90% diversion target at 10.5.</w:t>
      </w:r>
    </w:p>
    <w:p>
      <w:pPr>
        <w:spacing w:after="18" w:before="18" w:line="260"/>
        <w:ind w:left="280"/>
      </w:pPr>
      <w:r>
        <w:rPr>
          <w:rFonts w:ascii="Arial" w:cs="Arial" w:eastAsia="Arial" w:hAnsi="Arial"/>
          <w:color w:val="14181D"/>
          <w:sz w:val="18"/>
          <w:szCs w:val="18"/>
        </w:rPr>
        <w:t xml:space="preserve">·   Water discharge and pollution prevention during installation.</w:t>
      </w:r>
    </w:p>
    <w:p>
      <w:pPr>
        <w:pStyle w:val="Heading2"/>
        <w:spacing w:after="95" w:before="230"/>
      </w:pPr>
      <w:r>
        <w:rPr>
          <w:rFonts w:ascii="Arial" w:cs="Arial" w:eastAsia="Arial" w:hAnsi="Arial"/>
          <w:b/>
          <w:bCs/>
          <w:color w:val="9C7A3C"/>
          <w:sz w:val="21"/>
          <w:szCs w:val="21"/>
        </w:rPr>
        <w:t xml:space="preserve">4.2  What a tenderer prices until it arrives</w:t>
      </w:r>
    </w:p>
    <w:p>
      <w:pPr>
        <w:spacing w:after="60" w:before="60" w:line="260"/>
      </w:pPr>
      <w:r>
        <w:rPr>
          <w:rFonts w:ascii="Arial" w:cs="Arial" w:eastAsia="Arial" w:hAnsi="Arial"/>
          <w:b/>
          <w:bCs/>
          <w:color w:val="14181D"/>
          <w:sz w:val="19"/>
          <w:szCs w:val="19"/>
        </w:rPr>
        <w:t xml:space="preserve">Price on this basis. State in the tender that you have done so. Do not price a worst case against it.</w:t>
      </w:r>
    </w:p>
    <w:p>
      <w:pPr>
        <w:spacing w:after="18" w:before="18" w:line="260"/>
        <w:ind w:left="280"/>
      </w:pPr>
      <w:r>
        <w:rPr>
          <w:rFonts w:ascii="Arial" w:cs="Arial" w:eastAsia="Arial" w:hAnsi="Arial"/>
          <w:color w:val="14181D"/>
          <w:sz w:val="18"/>
          <w:szCs w:val="18"/>
        </w:rPr>
        <w:t xml:space="preserve">·   90% diversion from landfill, reported monthly, with transfer notes for every movement.</w:t>
      </w:r>
    </w:p>
    <w:p>
      <w:pPr>
        <w:spacing w:after="18" w:before="18" w:line="260"/>
        <w:ind w:left="280"/>
      </w:pPr>
      <w:r>
        <w:rPr>
          <w:rFonts w:ascii="Arial" w:cs="Arial" w:eastAsia="Arial" w:hAnsi="Arial"/>
          <w:color w:val="14181D"/>
          <w:sz w:val="18"/>
          <w:szCs w:val="18"/>
        </w:rPr>
        <w:t xml:space="preserve">·   Packaging taken back or recycled — not left as a disposal problem for the Employer.</w:t>
      </w:r>
    </w:p>
    <w:p>
      <w:pPr>
        <w:spacing w:after="18" w:before="18" w:line="260"/>
        <w:ind w:left="280"/>
      </w:pPr>
      <w:r>
        <w:rPr>
          <w:rFonts w:ascii="Arial" w:cs="Arial" w:eastAsia="Arial" w:hAnsi="Arial"/>
          <w:color w:val="14181D"/>
          <w:sz w:val="18"/>
          <w:szCs w:val="18"/>
        </w:rPr>
        <w:t xml:space="preserve">·   Dust suppression and wheel wash as the site rules.</w:t>
      </w:r>
    </w:p>
    <w:p>
      <w:pPr>
        <w:spacing w:after="18" w:before="18" w:line="260"/>
        <w:ind w:left="280"/>
      </w:pPr>
      <w:r>
        <w:rPr>
          <w:rFonts w:ascii="Arial" w:cs="Arial" w:eastAsia="Arial" w:hAnsi="Arial"/>
          <w:color w:val="14181D"/>
          <w:sz w:val="18"/>
          <w:szCs w:val="18"/>
        </w:rPr>
        <w:t xml:space="preserve">·   No seasonal restriction assumed. Where one is imposed, its programme effect is a change.</w:t>
      </w:r>
    </w:p>
    <w:p>
      <w:pPr>
        <w:pStyle w:val="Heading2"/>
        <w:spacing w:after="95" w:before="230"/>
      </w:pPr>
      <w:r>
        <w:rPr>
          <w:rFonts w:ascii="Arial" w:cs="Arial" w:eastAsia="Arial" w:hAnsi="Arial"/>
          <w:b/>
          <w:bCs/>
          <w:color w:val="9C7A3C"/>
          <w:sz w:val="21"/>
          <w:szCs w:val="21"/>
        </w:rPr>
        <w:t xml:space="preserve">4.3  If the issued document differs</w:t>
      </w:r>
    </w:p>
    <w:p>
      <w:pPr>
        <w:spacing w:after="60" w:before="60" w:line="260"/>
      </w:pPr>
      <w:r>
        <w:rPr>
          <w:rFonts w:ascii="Arial" w:cs="Arial" w:eastAsia="Arial" w:hAnsi="Arial"/>
          <w:color w:val="14181D"/>
          <w:sz w:val="19"/>
          <w:szCs w:val="19"/>
        </w:rPr>
        <w:t xml:space="preserve">The CEMP may impose a seasonal ecological restriction on works near the boundary. It is stated here as a known unknown so that a tenderer asks rather than assumes, and so that the assumption is visible in the tender.</w:t>
      </w:r>
    </w:p>
    <w:p>
      <w:r>
        <w:br w:type="page"/>
      </w:r>
    </w:p>
    <w:p>
      <w:pPr>
        <w:pStyle w:val="Heading1"/>
        <w:spacing w:after="130" w:before="340"/>
      </w:pPr>
      <w:r>
        <w:rPr>
          <w:rFonts w:ascii="Arial" w:cs="Arial" w:eastAsia="Arial" w:hAnsi="Arial"/>
          <w:b/>
          <w:bCs/>
          <w:color w:val="14181D"/>
          <w:sz w:val="28"/>
          <w:szCs w:val="28"/>
        </w:rPr>
        <w:t xml:space="preserve">Appendix 5  Approved external colour and finish range</w:t>
      </w:r>
    </w:p>
    <w:p>
      <w:pPr>
        <w:spacing w:after="60" w:before="60" w:line="260"/>
      </w:pPr>
      <w:r>
        <w:rPr>
          <w:rFonts w:ascii="Arial" w:cs="Arial" w:eastAsia="Arial" w:hAnsi="Arial"/>
          <w:color w:val="14181D"/>
          <w:sz w:val="19"/>
          <w:szCs w:val="19"/>
        </w:rPr>
        <w:t xml:space="preserve">External colour and finish are a planning matter before they are an aesthetic one. The range below is the range consented under the condition at Appendix 3; a colour outside it requires the condition to be varied, which is the Employer's application to make and takes time nobody has allowed for.</w:t>
      </w:r>
    </w:p>
    <w:p>
      <w:pPr>
        <w:spacing w:after="60" w:before="60" w:line="260"/>
      </w:pPr>
      <w:r>
        <w:rPr>
          <w:rFonts w:ascii="Arial" w:cs="Arial" w:eastAsia="Arial" w:hAnsi="Arial"/>
          <w:color w:val="14181D"/>
          <w:sz w:val="19"/>
          <w:szCs w:val="19"/>
        </w:rPr>
        <w:t xml:space="preserve">Every coated metal finish shall meet the durability and colour fastness requirement at 4.22 — classification not less than RUV3 to BS EN 10169, with a warranty of not less than twenty years against a colour change exceeding ΔE 3 to BS EN 13523-3 and chalking not worse than rating 2 to BS EN 13523-10, in the exposure category at Appendix 8.</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20"/>
        <w:gridCol w:w="1400"/>
        <w:gridCol w:w="900"/>
        <w:gridCol w:w="1700"/>
        <w:gridCol w:w="2600"/>
        <w:gridCol w:w="1800"/>
      </w:tblGrid>
      <w:tr>
        <w:trPr>
          <w:tblHeader/>
        </w:trPr>
        <w:tc>
          <w:tcPr>
            <w:tcW w:type="dxa" w:w="6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Ref</w:t>
            </w:r>
          </w:p>
        </w:tc>
        <w:tc>
          <w:tcPr>
            <w:tcW w:type="dxa" w:w="14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Colour</w:t>
            </w:r>
          </w:p>
        </w:tc>
        <w:tc>
          <w:tcPr>
            <w:tcW w:type="dxa" w:w="9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RAL</w:t>
            </w:r>
          </w:p>
        </w:tc>
        <w:tc>
          <w:tcPr>
            <w:tcW w:type="dxa" w:w="1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Finish</w:t>
            </w:r>
          </w:p>
        </w:tc>
        <w:tc>
          <w:tcPr>
            <w:tcW w:type="dxa" w:w="26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Where it may be used</w:t>
            </w:r>
          </w:p>
        </w:tc>
        <w:tc>
          <w:tcPr>
            <w:tcW w:type="dxa" w:w="18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Note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C-01</w:t>
            </w:r>
          </w:p>
        </w:tc>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Anthracite grey</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RAL 7016</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Coated steel, matt 30% gloss</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Primary external wall panel, all accommodation blocks</w:t>
            </w:r>
          </w:p>
        </w:tc>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consented base colour. Assume this unless the drawings say otherwise</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C-02</w:t>
            </w:r>
          </w:p>
        </w:tc>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Slate grey</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RAL 7015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Coated steel, matt</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Secondary panel, recesses and set-backs</w:t>
            </w:r>
          </w:p>
        </w:tc>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C-03</w:t>
            </w:r>
          </w:p>
        </w:tc>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Pebble grey</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RAL 7032</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Coated steel, matt</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Amenity and reception buildings only</w:t>
            </w:r>
          </w:p>
        </w:tc>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Distinguishes the buildings a visitor must find</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C-04</w:t>
            </w:r>
          </w:p>
        </w:tc>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Traffic white</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RAL 9016</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Coated steel, satin</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Soffits, reveals and window surrounds</w:t>
            </w:r>
          </w:p>
        </w:tc>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permitted as a primary wall colour — reflectance was a planning objection</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C-05</w:t>
            </w:r>
          </w:p>
        </w:tc>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Moss green</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RAL 6005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Coated steel, matt</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Boundary-facing elevations of Blocks A and B only</w:t>
            </w:r>
          </w:p>
        </w:tc>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Required by the landscape condition. See Appendix 3</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C-06</w:t>
            </w:r>
          </w:p>
        </w:tc>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Jet black</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RAL 9005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Coated aluminium, matt</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Rainwater goods, flashings and trims</w:t>
            </w:r>
          </w:p>
        </w:tc>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C-07</w:t>
            </w:r>
          </w:p>
        </w:tc>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Anthracite</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RAL 7016</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Powder-coated aluminium, matt</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Window and door frames throughout</w:t>
            </w:r>
          </w:p>
        </w:tc>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Matched to C-01; a different anthracite is not a match</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C-08</w:t>
            </w:r>
          </w:p>
        </w:tc>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Signal red</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RAL 3001</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Powder-coated steel</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Fire equipment, dry riser and hydrant markers only</w:t>
            </w:r>
          </w:p>
        </w:tc>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decorative. Statutory identification</w:t>
            </w:r>
          </w:p>
        </w:tc>
      </w:tr>
      <w:tr>
        <w:tc>
          <w:tcPr>
            <w:tcW w:type="dxa" w:w="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C-09</w:t>
            </w:r>
          </w:p>
        </w:tc>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Natural</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Fibre cement, through-coloured</w:t>
            </w:r>
          </w:p>
        </w:tc>
        <w:tc>
          <w:tcPr>
            <w:tcW w:type="dxa" w:w="2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Permitted as an alternative to C-01 where offered as a departure</w:t>
            </w:r>
          </w:p>
        </w:tc>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Through-coloured only — a surface-coloured board fails the fastness requirement at year eight</w:t>
            </w:r>
          </w:p>
        </w:tc>
      </w:tr>
    </w:tbl>
    <w:p>
      <w:pPr>
        <w:pStyle w:val="Heading2"/>
        <w:spacing w:after="95" w:before="230"/>
      </w:pPr>
      <w:r>
        <w:rPr>
          <w:rFonts w:ascii="Arial" w:cs="Arial" w:eastAsia="Arial" w:hAnsi="Arial"/>
          <w:b/>
          <w:bCs/>
          <w:color w:val="9C7A3C"/>
          <w:sz w:val="21"/>
          <w:szCs w:val="21"/>
        </w:rPr>
        <w:t xml:space="preserve">5.1  Rules</w:t>
      </w:r>
    </w:p>
    <w:p>
      <w:pPr>
        <w:spacing w:after="18" w:before="18" w:line="260"/>
        <w:ind w:left="280"/>
      </w:pPr>
      <w:r>
        <w:rPr>
          <w:rFonts w:ascii="Arial" w:cs="Arial" w:eastAsia="Arial" w:hAnsi="Arial"/>
          <w:color w:val="14181D"/>
          <w:sz w:val="18"/>
          <w:szCs w:val="18"/>
        </w:rPr>
        <w:t xml:space="preserve">·   Roof finishes are not colour-controlled and are not visible from any consented viewpoint. Select for the twenty-year material warranty at 4.4, not for appearance.</w:t>
      </w:r>
    </w:p>
    <w:p>
      <w:pPr>
        <w:spacing w:after="18" w:before="18" w:line="260"/>
        <w:ind w:left="280"/>
      </w:pPr>
      <w:r>
        <w:rPr>
          <w:rFonts w:ascii="Arial" w:cs="Arial" w:eastAsia="Arial" w:hAnsi="Arial"/>
          <w:color w:val="14181D"/>
          <w:sz w:val="18"/>
          <w:szCs w:val="18"/>
        </w:rPr>
        <w:t xml:space="preserve">·   Internal colour is not controlled by this appendix. It is controlled by the light reflectance values in the room data sheets — walls not less than 0.5, ceilings not less than 0.7 — which are a lighting requirement and not a preference.</w:t>
      </w:r>
    </w:p>
    <w:p>
      <w:pPr>
        <w:spacing w:after="18" w:before="18" w:line="260"/>
        <w:ind w:left="280"/>
      </w:pPr>
      <w:r>
        <w:rPr>
          <w:rFonts w:ascii="Arial" w:cs="Arial" w:eastAsia="Arial" w:hAnsi="Arial"/>
          <w:color w:val="14181D"/>
          <w:sz w:val="18"/>
          <w:szCs w:val="18"/>
        </w:rPr>
        <w:t xml:space="preserve">·   Any colour offered outside this range is a departure under 13.4 and shall be priced separately, with the tenderer stating the time required for the Employer to vary the planning condition. That time is the Employer's to spend and the tenderer's to allow for.</w:t>
      </w:r>
    </w:p>
    <w:p>
      <w:pPr>
        <w:spacing w:after="18" w:before="18" w:line="260"/>
        <w:ind w:left="280"/>
      </w:pPr>
      <w:r>
        <w:rPr>
          <w:rFonts w:ascii="Arial" w:cs="Arial" w:eastAsia="Arial" w:hAnsi="Arial"/>
          <w:color w:val="14181D"/>
          <w:sz w:val="18"/>
          <w:szCs w:val="18"/>
        </w:rPr>
        <w:t xml:space="preserve">·   Colour matching between the panel, the frame and the trim is the Contractor's responsibility across all three suppliers. Three manufacturers' interpretations of RAL 7016 are three colours, and the difference is visible on a two-storey elevation in flat light.</w:t>
      </w:r>
    </w:p>
    <w:p>
      <w:r>
        <w:br w:type="page"/>
      </w:r>
    </w:p>
    <w:p>
      <w:pPr>
        <w:pStyle w:val="Heading1"/>
        <w:spacing w:after="130" w:before="340"/>
      </w:pPr>
      <w:r>
        <w:rPr>
          <w:rFonts w:ascii="Arial" w:cs="Arial" w:eastAsia="Arial" w:hAnsi="Arial"/>
          <w:b/>
          <w:bCs/>
          <w:color w:val="14181D"/>
          <w:sz w:val="28"/>
          <w:szCs w:val="28"/>
        </w:rPr>
        <w:t xml:space="preserve">Appendix 6  Bed demand curve, occupancy programme and sectional completion</w:t>
      </w:r>
    </w:p>
    <w:p>
      <w:pPr>
        <w:spacing w:after="60" w:before="60" w:line="260"/>
      </w:pPr>
      <w:r>
        <w:rPr>
          <w:rFonts w:ascii="Arial" w:cs="Arial" w:eastAsia="Arial" w:hAnsi="Arial"/>
          <w:color w:val="14181D"/>
          <w:sz w:val="19"/>
          <w:szCs w:val="19"/>
        </w:rPr>
        <w:t xml:space="preserve">Every number in this village comes off this curve. Beds, kitchen covers, drainage discharge, transport, laundry, catering, the size of the reception — all of it is sized from the peak, and a village sized off a peak that is really a spike is a village half empty for thirty months.</w:t>
      </w:r>
    </w:p>
    <w:p>
      <w:pPr>
        <w:spacing w:after="60" w:before="60" w:line="260"/>
      </w:pPr>
      <w:r>
        <w:rPr>
          <w:rFonts w:ascii="Arial" w:cs="Arial" w:eastAsia="Arial" w:hAnsi="Arial"/>
          <w:color w:val="14181D"/>
          <w:sz w:val="19"/>
          <w:szCs w:val="19"/>
        </w:rPr>
        <w:t xml:space="preserve">The delivery sequence at 7.2 is driven by this curve and not by manufacturing convenience. A tenderer proposing a different sequence prices it as a departure and states the effect on the first-occupation date.</w:t>
      </w:r>
    </w:p>
    <w:p>
      <w:pPr>
        <w:pStyle w:val="Heading2"/>
        <w:spacing w:after="95" w:before="230"/>
      </w:pPr>
      <w:r>
        <w:rPr>
          <w:rFonts w:ascii="Arial" w:cs="Arial" w:eastAsia="Arial" w:hAnsi="Arial"/>
          <w:b/>
          <w:bCs/>
          <w:color w:val="9C7A3C"/>
          <w:sz w:val="21"/>
          <w:szCs w:val="21"/>
        </w:rPr>
        <w:t xml:space="preserve">6.1  Sectional completion dates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500"/>
        <w:gridCol w:w="5320"/>
      </w:tblGrid>
      <w:tr>
        <w:trPr>
          <w:tblHeader/>
        </w:trPr>
        <w:tc>
          <w:tcPr>
            <w:tcW w:type="dxa" w:w="9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Section</w:t>
            </w:r>
          </w:p>
        </w:tc>
        <w:tc>
          <w:tcPr>
            <w:tcW w:type="dxa" w:w="13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Beds</w:t>
            </w:r>
          </w:p>
        </w:tc>
        <w:tc>
          <w:tcPr>
            <w:tcW w:type="dxa" w:w="15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Complete by</w:t>
            </w:r>
          </w:p>
        </w:tc>
        <w:tc>
          <w:tcPr>
            <w:tcW w:type="dxa" w:w="53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What it comprises</w:t>
            </w:r>
          </w:p>
        </w:tc>
      </w:tr>
      <w:tr>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Section 1</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65</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End of month 3</w:t>
            </w:r>
          </w:p>
        </w:tc>
        <w:tc>
          <w:tcPr>
            <w:tcW w:type="dxa" w:w="5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Cumulative 65. First occupation: reception, one block, and the kitchen shell handed to P3.</w:t>
            </w:r>
          </w:p>
        </w:tc>
      </w:tr>
      <w:tr>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Section 2</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85</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End of month 6</w:t>
            </w:r>
          </w:p>
        </w:tc>
        <w:tc>
          <w:tcPr>
            <w:tcW w:type="dxa" w:w="5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Cumulative 150. Amenity and laundry complete.</w:t>
            </w:r>
          </w:p>
        </w:tc>
      </w:tr>
      <w:tr>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Section 3</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55</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End of month 9</w:t>
            </w:r>
          </w:p>
        </w:tc>
        <w:tc>
          <w:tcPr>
            <w:tcW w:type="dxa" w:w="5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Cumulative 205.</w:t>
            </w:r>
          </w:p>
        </w:tc>
      </w:tr>
      <w:tr>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Section 4</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20</w:t>
            </w:r>
          </w:p>
        </w:tc>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End of month 12</w:t>
            </w:r>
          </w:p>
        </w:tc>
        <w:tc>
          <w:tcPr>
            <w:tcW w:type="dxa" w:w="5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Cumulative 225 — the full village, including all 12 RT-02 rooms.</w:t>
            </w:r>
          </w:p>
        </w:tc>
      </w:tr>
    </w:tbl>
    <w:p>
      <w:pPr>
        <w:spacing w:after="60" w:before="90" w:line="260"/>
      </w:pPr>
      <w:r>
        <w:rPr>
          <w:rFonts w:ascii="Arial" w:cs="Arial" w:eastAsia="Arial" w:hAnsi="Arial"/>
          <w:i/>
          <w:iCs/>
          <w:color w:val="C0392B"/>
          <w:sz w:val="17"/>
          <w:szCs w:val="17"/>
        </w:rPr>
        <w:t xml:space="preserve">Liquidated damages at 18.2 are £145 per bed per calendar day, applied per section from its completion date until it is certified, capped in aggregate at 7.5% of the contract sum. The build-up is at 18.2 and is stated there so the rate survives being looked at.</w:t>
      </w:r>
    </w:p>
    <w:p>
      <w:pPr>
        <w:pStyle w:val="Heading2"/>
        <w:spacing w:after="95" w:before="230"/>
      </w:pPr>
      <w:r>
        <w:rPr>
          <w:rFonts w:ascii="Arial" w:cs="Arial" w:eastAsia="Arial" w:hAnsi="Arial"/>
          <w:b/>
          <w:bCs/>
          <w:color w:val="9C7A3C"/>
          <w:sz w:val="21"/>
          <w:szCs w:val="21"/>
        </w:rPr>
        <w:t xml:space="preserve">6.2  The curve, month by month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1700"/>
        <w:gridCol w:w="1700"/>
        <w:gridCol w:w="2920"/>
      </w:tblGrid>
      <w:tr>
        <w:trPr>
          <w:tblHeader/>
        </w:trPr>
        <w:tc>
          <w:tcPr>
            <w:tcW w:type="dxa" w:w="10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
            </w:r>
          </w:p>
        </w:tc>
        <w:tc>
          <w:tcPr>
            <w:tcW w:type="dxa" w:w="1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Beds required</w:t>
            </w:r>
          </w:p>
        </w:tc>
        <w:tc>
          <w:tcPr>
            <w:tcW w:type="dxa" w:w="1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Beds available</w:t>
            </w:r>
          </w:p>
        </w:tc>
        <w:tc>
          <w:tcPr>
            <w:tcW w:type="dxa" w:w="1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On day shift</w:t>
            </w:r>
          </w:p>
        </w:tc>
        <w:tc>
          <w:tcPr>
            <w:tcW w:type="dxa" w:w="29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Event</w:t>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1</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0</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0</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2</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0</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0</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3</w:t>
            </w:r>
          </w:p>
        </w:tc>
        <w:tc>
          <w:tcPr>
            <w:tcW w:type="dxa" w:w="17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0</w:t>
            </w:r>
          </w:p>
        </w:tc>
        <w:tc>
          <w:tcPr>
            <w:tcW w:type="dxa" w:w="17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0</w:t>
            </w:r>
          </w:p>
        </w:tc>
        <w:tc>
          <w:tcPr>
            <w:tcW w:type="dxa" w:w="17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292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1 COMPLETES — 65 beds available from month 4</w:t>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4</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58</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58 (100%)</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62</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62 (100%)</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6</w:t>
            </w:r>
          </w:p>
        </w:tc>
        <w:tc>
          <w:tcPr>
            <w:tcW w:type="dxa" w:w="17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60</w:t>
            </w:r>
          </w:p>
        </w:tc>
        <w:tc>
          <w:tcPr>
            <w:tcW w:type="dxa" w:w="17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65</w:t>
            </w:r>
          </w:p>
        </w:tc>
        <w:tc>
          <w:tcPr>
            <w:tcW w:type="dxa" w:w="17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60 (100%)</w:t>
            </w:r>
          </w:p>
        </w:tc>
        <w:tc>
          <w:tcPr>
            <w:tcW w:type="dxa" w:w="292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2 COMPLETES — 150 beds available from month 7</w:t>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7</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96</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150</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82 (85%)</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8</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128</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150</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100 (78%)</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9</w:t>
            </w:r>
          </w:p>
        </w:tc>
        <w:tc>
          <w:tcPr>
            <w:tcW w:type="dxa" w:w="17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141</w:t>
            </w:r>
          </w:p>
        </w:tc>
        <w:tc>
          <w:tcPr>
            <w:tcW w:type="dxa" w:w="17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150</w:t>
            </w:r>
          </w:p>
        </w:tc>
        <w:tc>
          <w:tcPr>
            <w:tcW w:type="dxa" w:w="17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102 (72%)</w:t>
            </w:r>
          </w:p>
        </w:tc>
        <w:tc>
          <w:tcPr>
            <w:tcW w:type="dxa" w:w="292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3 COMPLETES — 205 beds available from month 10</w:t>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10</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168</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205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114 (68%)</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11</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190</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205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124 (65%)</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12</w:t>
            </w:r>
          </w:p>
        </w:tc>
        <w:tc>
          <w:tcPr>
            <w:tcW w:type="dxa" w:w="17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199</w:t>
            </w:r>
          </w:p>
        </w:tc>
        <w:tc>
          <w:tcPr>
            <w:tcW w:type="dxa" w:w="17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205</w:t>
            </w:r>
          </w:p>
        </w:tc>
        <w:tc>
          <w:tcPr>
            <w:tcW w:type="dxa" w:w="17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123 (62%)</w:t>
            </w:r>
          </w:p>
        </w:tc>
        <w:tc>
          <w:tcPr>
            <w:tcW w:type="dxa" w:w="292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4 COMPLETES — 225 beds available from month 13</w:t>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13</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214</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128 (60%)</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14</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221</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128 (58%)</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15</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124 (55%)</w:t>
            </w:r>
          </w:p>
        </w:tc>
        <w:tc>
          <w:tcPr>
            <w:tcW w:type="dxa" w:w="29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Peak</w:t>
            </w:r>
          </w:p>
        </w:tc>
      </w:tr>
      <w:tr>
        <w:tc>
          <w:tcPr>
            <w:tcW w:type="dxa" w:w="1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16</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124 (55%)</w:t>
            </w:r>
          </w:p>
        </w:tc>
        <w:tc>
          <w:tcPr>
            <w:tcW w:type="dxa" w:w="29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Peak</w:t>
            </w:r>
          </w:p>
        </w:tc>
      </w:tr>
      <w:tr>
        <w:tc>
          <w:tcPr>
            <w:tcW w:type="dxa" w:w="1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17</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124 (55%)</w:t>
            </w:r>
          </w:p>
        </w:tc>
        <w:tc>
          <w:tcPr>
            <w:tcW w:type="dxa" w:w="29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Peak</w:t>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18</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224</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123 (55%)</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19</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124 (55%)</w:t>
            </w:r>
          </w:p>
        </w:tc>
        <w:tc>
          <w:tcPr>
            <w:tcW w:type="dxa" w:w="29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Peak</w:t>
            </w:r>
          </w:p>
        </w:tc>
      </w:tr>
      <w:tr>
        <w:tc>
          <w:tcPr>
            <w:tcW w:type="dxa" w:w="1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20</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124 (55%)</w:t>
            </w:r>
          </w:p>
        </w:tc>
        <w:tc>
          <w:tcPr>
            <w:tcW w:type="dxa" w:w="29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Peak</w:t>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21</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223</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123 (55%)</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22</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124 (55%)</w:t>
            </w:r>
          </w:p>
        </w:tc>
        <w:tc>
          <w:tcPr>
            <w:tcW w:type="dxa" w:w="29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Peak</w:t>
            </w:r>
          </w:p>
        </w:tc>
      </w:tr>
      <w:tr>
        <w:tc>
          <w:tcPr>
            <w:tcW w:type="dxa" w:w="1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23</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131 (58%)</w:t>
            </w:r>
          </w:p>
        </w:tc>
        <w:tc>
          <w:tcPr>
            <w:tcW w:type="dxa" w:w="292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Peak</w:t>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24</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220</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132 (60%)</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25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218</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135 (62%)</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26</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214</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139 (65%)</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27</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205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139 (68%)</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28</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196</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137 (70%)</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29</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178</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132 (74%)</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30</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162</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126 (78%)</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31</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140</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115 (82%)</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32</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121</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104 (86%)</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33</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98</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88 (90%)</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34</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74</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70 (94%)</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35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52</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52 (100%)</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36</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31</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31 (100%)</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37</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14</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14 (100%)</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0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Month 38</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0</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w:t>
            </w:r>
          </w:p>
        </w:tc>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c>
          <w:tcPr>
            <w:tcW w:type="dxa" w:w="2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bl>
    <w:p>
      <w:pPr>
        <w:pStyle w:val="Heading2"/>
        <w:spacing w:after="95" w:before="230"/>
      </w:pPr>
      <w:r>
        <w:rPr>
          <w:rFonts w:ascii="Arial" w:cs="Arial" w:eastAsia="Arial" w:hAnsi="Arial"/>
          <w:b/>
          <w:bCs/>
          <w:color w:val="9C7A3C"/>
          <w:sz w:val="21"/>
          <w:szCs w:val="21"/>
        </w:rPr>
        <w:t xml:space="preserve">6.3  What the curve means</w:t>
      </w:r>
    </w:p>
    <w:p>
      <w:pPr>
        <w:spacing w:after="18" w:before="18" w:line="260"/>
        <w:ind w:left="280"/>
      </w:pPr>
      <w:r>
        <w:rPr>
          <w:rFonts w:ascii="Arial" w:cs="Arial" w:eastAsia="Arial" w:hAnsi="Arial"/>
          <w:color w:val="14181D"/>
          <w:sz w:val="18"/>
          <w:szCs w:val="18"/>
        </w:rPr>
        <w:t xml:space="preserve">·   PEAK. 225 beds, first reached in month 15 and held, within two beds, from month 15 to month 23. This matches the room schedule at section 2 exactly: 199 RT-01, 12 RT-02, 14 RT-03. The village is nonetheless sized and completed for 225 by the end of month 12, because a bed that arrives in the month it is needed has arrived late.</w:t>
      </w:r>
    </w:p>
    <w:p>
      <w:pPr>
        <w:spacing w:after="18" w:before="18" w:line="260"/>
        <w:ind w:left="280"/>
      </w:pPr>
      <w:r>
        <w:rPr>
          <w:rFonts w:ascii="Arial" w:cs="Arial" w:eastAsia="Arial" w:hAnsi="Arial"/>
          <w:color w:val="14181D"/>
          <w:sz w:val="18"/>
          <w:szCs w:val="18"/>
        </w:rPr>
        <w:t xml:space="preserve">·   THE ACCESSIBLE ROOMS ARE NOT PROPORTIONAL. All twelve RT-02 rooms are required by sectional completion 4. They are not distributed pro rata across the four sections, because an accessible room is required by whoever needs one, in whatever month they arrive, and the Employer cannot programme that.</w:t>
      </w:r>
    </w:p>
    <w:p>
      <w:pPr>
        <w:spacing w:after="18" w:before="18" w:line="260"/>
        <w:ind w:left="280"/>
      </w:pPr>
      <w:r>
        <w:rPr>
          <w:rFonts w:ascii="Arial" w:cs="Arial" w:eastAsia="Arial" w:hAnsi="Arial"/>
          <w:color w:val="14181D"/>
          <w:sz w:val="18"/>
          <w:szCs w:val="18"/>
        </w:rPr>
        <w:t xml:space="preserve">·   DAY-SHIFT PROPORTION. The last column drives Appendix 9 Criterion C. At the peak, 45% of residents are sleeping during the day. A thermal model run on a night-occupancy profile does not describe this building.</w:t>
      </w:r>
    </w:p>
    <w:p>
      <w:pPr>
        <w:spacing w:after="18" w:before="18" w:line="260"/>
        <w:ind w:left="280"/>
      </w:pPr>
      <w:r>
        <w:rPr>
          <w:rFonts w:ascii="Arial" w:cs="Arial" w:eastAsia="Arial" w:hAnsi="Arial"/>
          <w:color w:val="14181D"/>
          <w:sz w:val="18"/>
          <w:szCs w:val="18"/>
        </w:rPr>
        <w:t xml:space="preserve">·   THE CURVE IS THE EMPLOYER'S FORECAST, NOT A GUARANTEE. It is issued so that the Contractor sizes to it and so that the sectional completion dates can be tested against it. Variation within it is not a change; a change to the peak or to a sectional completion date is.</w:t>
      </w:r>
    </w:p>
    <w:p>
      <w:pPr>
        <w:spacing w:after="18" w:before="18" w:line="260"/>
        <w:ind w:left="280"/>
      </w:pPr>
      <w:r>
        <w:rPr>
          <w:rFonts w:ascii="Arial" w:cs="Arial" w:eastAsia="Arial" w:hAnsi="Arial"/>
          <w:color w:val="14181D"/>
          <w:sz w:val="18"/>
          <w:szCs w:val="18"/>
        </w:rPr>
        <w:t xml:space="preserve">·   STANDING TIME. Blocks complete against this curve stand partly occupied or unoccupied for months. That is the specific legionella risk at 4.12, and the written scheme of control shall address it rather than assume continuous occupation.</w:t>
      </w:r>
    </w:p>
    <w:p>
      <w:r>
        <w:br w:type="page"/>
      </w:r>
    </w:p>
    <w:p>
      <w:pPr>
        <w:pStyle w:val="Heading1"/>
        <w:spacing w:after="130" w:before="340"/>
      </w:pPr>
      <w:r>
        <w:rPr>
          <w:rFonts w:ascii="Arial" w:cs="Arial" w:eastAsia="Arial" w:hAnsi="Arial"/>
          <w:b/>
          <w:bCs/>
          <w:color w:val="14181D"/>
          <w:sz w:val="28"/>
          <w:szCs w:val="28"/>
        </w:rPr>
        <w:t xml:space="preserve">Appendix 7  Abnormal load route assessment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Authored by</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The Employer's transport consultant, with the highway authority</w:t>
            </w:r>
          </w:p>
        </w:tc>
      </w:tr>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8"/>
                <w:szCs w:val="18"/>
              </w:rPr>
              <w:t xml:space="preserve">Status</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8"/>
                <w:szCs w:val="18"/>
              </w:rPr>
              <w:t xml:space="preserve">DRAFT AND INCOMPLETE. It is issued in that state deliberately. The route includes a structure subject to assessment and the assessment is not finished.</w:t>
            </w:r>
          </w:p>
        </w:tc>
      </w:tr>
    </w:tbl>
    <w:p>
      <w:pPr>
        <w:pStyle w:val="Heading2"/>
        <w:spacing w:after="95" w:before="230"/>
      </w:pPr>
      <w:r>
        <w:rPr>
          <w:rFonts w:ascii="Arial" w:cs="Arial" w:eastAsia="Arial" w:hAnsi="Arial"/>
          <w:b/>
          <w:bCs/>
          <w:color w:val="9C7A3C"/>
          <w:sz w:val="21"/>
          <w:szCs w:val="21"/>
        </w:rPr>
        <w:t xml:space="preserve">7.1  What the Employer's Requirements depend on it for</w:t>
      </w:r>
    </w:p>
    <w:p>
      <w:pPr>
        <w:spacing w:after="18" w:before="18" w:line="260"/>
        <w:ind w:left="280"/>
      </w:pPr>
      <w:r>
        <w:rPr>
          <w:rFonts w:ascii="Arial" w:cs="Arial" w:eastAsia="Arial" w:hAnsi="Arial"/>
          <w:color w:val="14181D"/>
          <w:sz w:val="18"/>
          <w:szCs w:val="18"/>
        </w:rPr>
        <w:t xml:space="preserve">·   The delivery method and vehicle configuration at 7.3.</w:t>
      </w:r>
    </w:p>
    <w:p>
      <w:pPr>
        <w:spacing w:after="18" w:before="18" w:line="260"/>
        <w:ind w:left="280"/>
      </w:pPr>
      <w:r>
        <w:rPr>
          <w:rFonts w:ascii="Arial" w:cs="Arial" w:eastAsia="Arial" w:hAnsi="Arial"/>
          <w:color w:val="14181D"/>
          <w:sz w:val="18"/>
          <w:szCs w:val="18"/>
        </w:rPr>
        <w:t xml:space="preserve">·   The module dimensions the Contractor's design produces — the route constrains the module, not the other way round, until the assessment says otherwise.</w:t>
      </w:r>
    </w:p>
    <w:p>
      <w:pPr>
        <w:spacing w:after="18" w:before="18" w:line="260"/>
        <w:ind w:left="280"/>
      </w:pPr>
      <w:r>
        <w:rPr>
          <w:rFonts w:ascii="Arial" w:cs="Arial" w:eastAsia="Arial" w:hAnsi="Arial"/>
          <w:color w:val="14181D"/>
          <w:sz w:val="18"/>
          <w:szCs w:val="18"/>
        </w:rPr>
        <w:t xml:space="preserve">·   Escort, permit and timing requirements at item D3 of Appendix 1.</w:t>
      </w:r>
    </w:p>
    <w:p>
      <w:pPr>
        <w:pStyle w:val="Heading2"/>
        <w:spacing w:after="95" w:before="230"/>
      </w:pPr>
      <w:r>
        <w:rPr>
          <w:rFonts w:ascii="Arial" w:cs="Arial" w:eastAsia="Arial" w:hAnsi="Arial"/>
          <w:b/>
          <w:bCs/>
          <w:color w:val="9C7A3C"/>
          <w:sz w:val="21"/>
          <w:szCs w:val="21"/>
        </w:rPr>
        <w:t xml:space="preserve">7.2  What a tenderer prices until it arrives</w:t>
      </w:r>
    </w:p>
    <w:p>
      <w:pPr>
        <w:spacing w:after="60" w:before="60" w:line="260"/>
      </w:pPr>
      <w:r>
        <w:rPr>
          <w:rFonts w:ascii="Arial" w:cs="Arial" w:eastAsia="Arial" w:hAnsi="Arial"/>
          <w:b/>
          <w:bCs/>
          <w:color w:val="14181D"/>
          <w:sz w:val="19"/>
          <w:szCs w:val="19"/>
        </w:rPr>
        <w:t xml:space="preserve">Price on this basis. State in the tender that you have done so. Do not price a worst case against it.</w:t>
      </w:r>
    </w:p>
    <w:p>
      <w:pPr>
        <w:spacing w:after="18" w:before="18" w:line="260"/>
        <w:ind w:left="280"/>
      </w:pPr>
      <w:r>
        <w:rPr>
          <w:rFonts w:ascii="Arial" w:cs="Arial" w:eastAsia="Arial" w:hAnsi="Arial"/>
          <w:color w:val="14181D"/>
          <w:sz w:val="18"/>
          <w:szCs w:val="18"/>
        </w:rPr>
        <w:t xml:space="preserve">·   The route as drafted, with the structure available.</w:t>
      </w:r>
    </w:p>
    <w:p>
      <w:pPr>
        <w:spacing w:after="18" w:before="18" w:line="260"/>
        <w:ind w:left="280"/>
      </w:pPr>
      <w:r>
        <w:rPr>
          <w:rFonts w:ascii="Arial" w:cs="Arial" w:eastAsia="Arial" w:hAnsi="Arial"/>
          <w:color w:val="14181D"/>
          <w:sz w:val="18"/>
          <w:szCs w:val="18"/>
        </w:rPr>
        <w:t xml:space="preserve">·   Vehicle configuration and axle loading as the tenderer states with its tender, per 7.3.</w:t>
      </w:r>
    </w:p>
    <w:p>
      <w:pPr>
        <w:pStyle w:val="Heading2"/>
        <w:spacing w:after="95" w:before="230"/>
      </w:pPr>
      <w:r>
        <w:rPr>
          <w:rFonts w:ascii="Arial" w:cs="Arial" w:eastAsia="Arial" w:hAnsi="Arial"/>
          <w:b/>
          <w:bCs/>
          <w:color w:val="9C7A3C"/>
          <w:sz w:val="21"/>
          <w:szCs w:val="21"/>
        </w:rPr>
        <w:t xml:space="preserve">7.3  If the issued document differs</w:t>
      </w:r>
    </w:p>
    <w:p>
      <w:pPr>
        <w:spacing w:after="60" w:before="60" w:line="260"/>
      </w:pPr>
      <w:r>
        <w:rPr>
          <w:rFonts w:ascii="Arial" w:cs="Arial" w:eastAsia="Arial" w:hAnsi="Arial"/>
          <w:color w:val="14181D"/>
          <w:sz w:val="19"/>
          <w:szCs w:val="19"/>
        </w:rPr>
        <w:t xml:space="preserve">THE RISK THAT THE ROUTE IS UNAVAILABLE IS THE EMPLOYER'S. It is a relevant event for an extension of time under 18.3, and it is stated as such at 11.1. The Contractor shall not assume the route is available and shall not price a contingency for it — the risk is not the Contractor's to carry and a tenderer carrying it prices itself out. What the Contractor shall do is state the vehicle configuration it needs, so that the assessment is completed against a real vehicle rather than an assumed one.</w:t>
      </w:r>
    </w:p>
    <w:p>
      <w:r>
        <w:br w:type="page"/>
      </w:r>
    </w:p>
    <w:p>
      <w:pPr>
        <w:pStyle w:val="Heading1"/>
        <w:spacing w:after="130" w:before="340"/>
      </w:pPr>
      <w:r>
        <w:rPr>
          <w:rFonts w:ascii="Arial" w:cs="Arial" w:eastAsia="Arial" w:hAnsi="Arial"/>
          <w:b/>
          <w:bCs/>
          <w:color w:val="14181D"/>
          <w:sz w:val="28"/>
          <w:szCs w:val="28"/>
        </w:rPr>
        <w:t xml:space="preserve">Appendix 8  Design loadings, site exposure and service supply characteristics</w:t>
      </w:r>
    </w:p>
    <w:p>
      <w:pPr>
        <w:spacing w:after="60" w:before="60" w:line="260"/>
      </w:pPr>
      <w:r>
        <w:rPr>
          <w:rFonts w:ascii="Arial" w:cs="Arial" w:eastAsia="Arial" w:hAnsi="Arial"/>
          <w:color w:val="14181D"/>
          <w:sz w:val="19"/>
          <w:szCs w:val="19"/>
        </w:rPr>
        <w:t xml:space="preserve">The design data the Contractor designs to. Where a figure below is marked TO BE CONFIRMED, the Contractor shall design to the stated assumption, state in its tender that it has done so, and price the assumption — it shall not treat the value as established. A figure that is confirmed later at a worse value is a change under section 17; a figure a tenderer assumed silently is not.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200"/>
        <w:gridCol w:w="2320"/>
      </w:tblGrid>
      <w:tr>
        <w:trPr>
          <w:tblHeader/>
        </w:trPr>
        <w:tc>
          <w:tcPr>
            <w:tcW w:type="dxa" w:w="18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Group</w:t>
            </w:r>
          </w:p>
        </w:tc>
        <w:tc>
          <w:tcPr>
            <w:tcW w:type="dxa" w:w="2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Parameter</w:t>
            </w:r>
          </w:p>
        </w:tc>
        <w:tc>
          <w:tcPr>
            <w:tcW w:type="dxa" w:w="22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Value</w:t>
            </w:r>
          </w:p>
        </w:tc>
        <w:tc>
          <w:tcPr>
            <w:tcW w:type="dxa" w:w="23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Source or basis</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SITE AND EXPOSURE</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Site altitude above sea level</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68 m</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Topographical survey NR-SV-001</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Distance to shoreline</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Greater than 100 km</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Inland site — Terrain Category III</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Terrain category</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III (country with hedges and isolated buildings)</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BS EN 1991-1-4 and its UK National Annex</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Atmospheric corrosivity category</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C3 (moderate)</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BS EN ISO 12944-2. Drives the coating class at 4.22</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STRUCTURAL — WIND</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Fundamental basic wind velocity, v(b,map)</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22.5 m/s</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BS EN 1991-1-4 UK NA Figure NA.1</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Return period for the permanent condition</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50 years</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Return period, part-erected block left overnight or over a weekend</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 years for the exposure period</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4.27. The Contractor states the wind speed at which a part-erected block must be tied down</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Directional and seasonal factors</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To be taken as 1.0 unless justified</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reduction claimed must be shown</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STRUCTURAL — SNOW AND LOADS</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Characteristic ground snow load, s(k)</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0.50 kN/m²</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BS EN 1991-1-3 UK NA for the site altitude</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Imposed floor load, bedrooms</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1.5 kN/m²</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6</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Imposed floor load, circulation and stairs</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2.0 kN/m²</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6</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Imposed floor load, amenity and dining</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3.0 kN/m²</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Assembly use</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Imposed roof load, maintenance access only</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0.6 kN/m²</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Basin fixing, vertical load at the front edge</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130 kg</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Room data sheets</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THERMAL</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External design temperature, winter</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 °C</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CIBSE Guide A, 24-hour building. Drives the heating duty in the room data sheets</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Internal design temperature, bedrooms</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21 °C dry resultant</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Room data sheets</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Heat-up requirement, cold start</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 °C to 21 °C within 90 minutes</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Room data sheets</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Degree days, base 15.5 °C</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2,180</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For the operational energy declaration at 16.3</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Design weather file for the TM59 model</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CIBSE DSY1, 2020 high-emissions, 50th percentile</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Appendix 9</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RAINFALL AND DRAINAGE</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Design rainfall intensity, roof drainage</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0.022 l/s per m² (2 minute duration, 1 in 50 year)</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BS EN 12056-3. Drives the sizing at 4.4</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Foul connection invert, per block</w:t>
            </w:r>
          </w:p>
        </w:tc>
        <w:tc>
          <w:tcPr>
            <w:tcW w:type="dxa" w:w="22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TO BE CONFIRMED — assume 1.20 m below finished floor level</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P1 coordination drawing NR-TW-VIL-0203. Design to the assumption and price it</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Surface water discharge rate permitted</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 l/s per hectare</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Planning condition — Appendix 3</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ELECTRICAL SUPPLY</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Supply characteristics at the P1 termination point</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400/230 V, 50 Hz, three phase and neutral, TN-S</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4.24</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Prospective fault current at the origin</w:t>
            </w:r>
          </w:p>
        </w:tc>
        <w:tc>
          <w:tcPr>
            <w:tcW w:type="dxa" w:w="22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TO BE CONFIRMED — assume 16 kA</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DNO application in progress. 4.24</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External earth fault loop impedance, Ze</w:t>
            </w:r>
          </w:p>
        </w:tc>
        <w:tc>
          <w:tcPr>
            <w:tcW w:type="dxa" w:w="22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TO BE CONFIRMED — assume 0.35 Ω</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Measured and recorded per block at commissioning</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Maximum demand available, per accommodation block</w:t>
            </w:r>
          </w:p>
        </w:tc>
        <w:tc>
          <w:tcPr>
            <w:tcW w:type="dxa" w:w="22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TO BE CONFIRMED — assume 250 kVA</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Contractor's heating choice at 4.10 is checked against this. Reinforcement arising from its choice is its cost</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Standby generation available</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One 500 kVA set under P1, for life-safety and essential loads only</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Contractor states which circuits it requires supported</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WATER SUPPLY</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Static head at the termination point</w:t>
            </w:r>
          </w:p>
        </w:tc>
        <w:tc>
          <w:tcPr>
            <w:tcW w:type="dxa" w:w="22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TO BE CONFIRMED — assume 3.5 bar</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4.25</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Dynamic pressure and flow at the termination point</w:t>
            </w:r>
          </w:p>
        </w:tc>
        <w:tc>
          <w:tcPr>
            <w:tcW w:type="dxa" w:w="22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TO BE CONFIRMED — assume 2.0 bar at 1.5 l/s</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Design to this and state the assumption. Boosting, if required, is within P2</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Fluid category at the incomer</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Category 5</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Backflow protection to BS EN 1717 and the Water Supply (Water Fittings) Regulations 1999</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Maximum static pressure permitted at any outlet</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5 bar</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Pressure reducing valves where the design exceeds it</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Incoming cold water temperature, summer design</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20 °C</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Drives the insulation requirement in the room data sheets</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DATA AND COMMS</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Fibre presented at the termination point</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 no. single-mode pairs per block</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Terminated by P1; the Contractor terminates within the block</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Wireless coverage requirement</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−67 dBm minimum, 2 devices per resident concurrently</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Section 6</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ACCESS AND LOGISTICS</w:t>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Laydown area allocated to this package</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0.42 ha, as shown on NR-TW-VIL-0201 Rev B</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14.3. Smaller than a tenderer may assume — satisfy yourself at tender</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Crane hardstanding design bearing pressure</w:t>
            </w:r>
          </w:p>
        </w:tc>
        <w:tc>
          <w:tcPr>
            <w:tcW w:type="dxa" w:w="2200"/>
            <w:tcBorders>
              <w:top w:val="single" w:color="D5D5D5" w:sz="2"/>
              <w:left w:val="single" w:color="D5D5D5" w:sz="2"/>
              <w:bottom w:val="single" w:color="D5D5D5" w:sz="2"/>
              <w:right w:val="single" w:color="D5D5D5" w:sz="2"/>
            </w:tcBorders>
            <w:shd w:fill="F6E9E6"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TO BE DESIGNED BY P1 to the pressure this Contractor states</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IF-03, 4.21. Not an assumption for either party to make alone</w:t>
            </w:r>
          </w:p>
        </w:tc>
      </w:tr>
      <w:tr>
        <w:tc>
          <w:tcPr>
            <w:tcW w:type="dxa" w:w="1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
            </w:r>
          </w:p>
        </w:tc>
        <w:tc>
          <w:tcPr>
            <w:tcW w:type="dxa" w:w="2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Working hours</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 the planning consent at Appendix 3</w:t>
            </w:r>
          </w:p>
        </w:tc>
        <w:tc>
          <w:tcPr>
            <w:tcW w:type="dxa" w:w="23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7.4</w:t>
            </w:r>
          </w:p>
        </w:tc>
      </w:tr>
    </w:tbl>
    <w:p>
      <w:pPr>
        <w:spacing w:after="60" w:before="90" w:line="260"/>
      </w:pPr>
      <w:r>
        <w:rPr>
          <w:rFonts w:ascii="Arial" w:cs="Arial" w:eastAsia="Arial" w:hAnsi="Arial"/>
          <w:i/>
          <w:iCs/>
          <w:color w:val="C0392B"/>
          <w:sz w:val="17"/>
          <w:szCs w:val="17"/>
        </w:rPr>
        <w:t xml:space="preserve">Seven values are marked TO BE CONFIRMED. Design to the stated assumption, say so in the tender, and price it. A figure confirmed later at a worse value is a change under section 17; a figure assumed silently is not.</w:t>
      </w:r>
    </w:p>
    <w:p>
      <w:r>
        <w:br w:type="page"/>
      </w:r>
    </w:p>
    <w:p>
      <w:pPr>
        <w:pStyle w:val="Heading1"/>
        <w:spacing w:after="130" w:before="340"/>
      </w:pPr>
      <w:r>
        <w:rPr>
          <w:rFonts w:ascii="Arial" w:cs="Arial" w:eastAsia="Arial" w:hAnsi="Arial"/>
          <w:b/>
          <w:bCs/>
          <w:color w:val="14181D"/>
          <w:sz w:val="28"/>
          <w:szCs w:val="28"/>
        </w:rPr>
        <w:t xml:space="preserve">Appendix 9  Overheating criterion and the Employer's comfort brief</w:t>
      </w:r>
    </w:p>
    <w:p>
      <w:pPr>
        <w:spacing w:after="60" w:before="60" w:line="260"/>
      </w:pPr>
      <w:r>
        <w:rPr>
          <w:rFonts w:ascii="Arial" w:cs="Arial" w:eastAsia="Arial" w:hAnsi="Arial"/>
          <w:color w:val="14181D"/>
          <w:sz w:val="19"/>
          <w:szCs w:val="19"/>
        </w:rPr>
        <w:t xml:space="preserve">This village accommodates shift workers. A proportion of them sleep during the day, in a bedroom on the sunlit side of a building, in a month when the standard overheating assessment assumes the room is empty. The criterion below is written for that, because an assessment run on a default residential occupancy profile would pass a building these residents cannot sleep in.</w:t>
      </w:r>
    </w:p>
    <w:p>
      <w:pPr>
        <w:pStyle w:val="Heading2"/>
        <w:spacing w:after="95" w:before="230"/>
      </w:pPr>
      <w:r>
        <w:rPr>
          <w:rFonts w:ascii="Arial" w:cs="Arial" w:eastAsia="Arial" w:hAnsi="Arial"/>
          <w:b/>
          <w:bCs/>
          <w:color w:val="9C7A3C"/>
          <w:sz w:val="21"/>
          <w:szCs w:val="21"/>
        </w:rPr>
        <w:t xml:space="preserve">9.1  The criterion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0"/>
      </w:tblGrid>
      <w:tr>
        <w:trPr>
          <w:tblHeader/>
        </w:trPr>
        <w:tc>
          <w:tcPr>
            <w:tcW w:type="dxa" w:w="22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
            </w:r>
          </w:p>
        </w:tc>
        <w:tc>
          <w:tcPr>
            <w:tcW w:type="dxa" w:w="44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Requirement</w:t>
            </w:r>
          </w:p>
        </w:tc>
        <w:tc>
          <w:tcPr>
            <w:tcW w:type="dxa" w:w="24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Note</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Method</w:t>
            </w:r>
          </w:p>
        </w:tc>
        <w:tc>
          <w:tcPr>
            <w:tcW w:type="dxa" w:w="4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CIBSE TM59, dynamic thermal modelling, using the weather file at Appendix 8 (CIBSE DSY1, 2020 high-emissions, 50th percentile) for the nearest applicable location.</w:t>
            </w:r>
          </w:p>
        </w:tc>
        <w:tc>
          <w:tcPr>
            <w:tcW w:type="dxa" w:w="24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model, its assumptions and its inputs are submitted before manufacture under 13.5.</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Criterion A — living and amenity areas</w:t>
            </w:r>
          </w:p>
        </w:tc>
        <w:tc>
          <w:tcPr>
            <w:tcW w:type="dxa" w:w="4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Hours of exceedance of the adaptive comfort threshold ΔT ≥ 1 K shall not exceed 3% of occupied hours between 1 May and 30 September.</w:t>
            </w:r>
          </w:p>
        </w:tc>
        <w:tc>
          <w:tcPr>
            <w:tcW w:type="dxa" w:w="24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CIBSE TM52 Criterion 1, applied through TM59.</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Criterion B — bedrooms, night</w:t>
            </w:r>
          </w:p>
        </w:tc>
        <w:tc>
          <w:tcPr>
            <w:tcW w:type="dxa" w:w="4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Operative temperature shall not exceed 26 °C for more than 1% of the annual hours between 22:00 and 07:00.</w:t>
            </w:r>
          </w:p>
        </w:tc>
        <w:tc>
          <w:tcPr>
            <w:tcW w:type="dxa" w:w="24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standard TM59 bedroom criterion.</w:t>
            </w:r>
          </w:p>
        </w:tc>
      </w:tr>
      <w:tr>
        <w:tc>
          <w:tcPr>
            <w:tcW w:type="dxa" w:w="22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Criterion C — bedrooms, DAY-SLEEPING (this project)</w:t>
            </w:r>
          </w:p>
        </w:tc>
        <w:tc>
          <w:tcPr>
            <w:tcW w:type="dxa" w:w="44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 every room modelled as day-occupied, operative temperature shall not exceed 26 °C for more than 1% of the annual hours between 08:00 and 16:00.</w:t>
            </w:r>
          </w:p>
        </w:tc>
        <w:tc>
          <w:tcPr>
            <w:tcW w:type="dxa" w:w="242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IS THE ADDITIONAL CRITERION. It is not in TM59 and it is required here.</w:t>
            </w:r>
          </w:p>
        </w:tc>
      </w:tr>
      <w:tr>
        <w:tc>
          <w:tcPr>
            <w:tcW w:type="dxa" w:w="22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Rooms to be modelled as day-occupied</w:t>
            </w:r>
          </w:p>
        </w:tc>
        <w:tc>
          <w:tcPr>
            <w:tcW w:type="dxa" w:w="44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less than 30% of RT-01 rooms, selected as the worst case for orientation and floor level, distributed across every block.</w:t>
            </w:r>
          </w:p>
        </w:tc>
        <w:tc>
          <w:tcPr>
            <w:tcW w:type="dxa" w:w="242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Appendix 6 shows the day-shift proportion. Modelling the best-oriented room proves nothing.</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Occupancy assumption, day-sleeping rooms</w:t>
            </w:r>
          </w:p>
        </w:tc>
        <w:tc>
          <w:tcPr>
            <w:tcW w:type="dxa" w:w="4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One person, sleeping, 08:00 to 16:00, with the blind closed and the window closed for security and noise.</w:t>
            </w:r>
          </w:p>
        </w:tc>
        <w:tc>
          <w:tcPr>
            <w:tcW w:type="dxa" w:w="24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window-open assumption that rescues most residential models is not available here — the village adjoins a live construction site.</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Internal gains</w:t>
            </w:r>
          </w:p>
        </w:tc>
        <w:tc>
          <w:tcPr>
            <w:tcW w:type="dxa" w:w="4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TM59 residential gains, plus the actual connected load of the Contractor's own equipment selection at 4.10 and G-series items.</w:t>
            </w:r>
          </w:p>
        </w:tc>
        <w:tc>
          <w:tcPr>
            <w:tcW w:type="dxa" w:w="24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model run on default gains and a design with higher-output equipment do not describe the same building.</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Mechanical cooling</w:t>
            </w:r>
          </w:p>
        </w:tc>
        <w:tc>
          <w:tcPr>
            <w:tcW w:type="dxa" w:w="4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permitted as the primary means of meeting these criteria. It may be offered as a departure under 13.4, priced separately, with its energy and maintenance consequence stated for P5.</w:t>
            </w:r>
          </w:p>
        </w:tc>
        <w:tc>
          <w:tcPr>
            <w:tcW w:type="dxa" w:w="24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village cooled mechanically for thirty-eight months is a different operating cost, and it is P5 that pays it.</w:t>
            </w:r>
          </w:p>
        </w:tc>
      </w:tr>
      <w:tr>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Failure</w:t>
            </w:r>
          </w:p>
        </w:tc>
        <w:tc>
          <w:tcPr>
            <w:tcW w:type="dxa" w:w="4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Where the model fails any criterion, the Contractor shall change the design and re-model. It shall not adjust the occupancy, the gains or the weather file to obtain a pass.</w:t>
            </w:r>
          </w:p>
        </w:tc>
        <w:tc>
          <w:tcPr>
            <w:tcW w:type="dxa" w:w="24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Stated because it is the commonest way an overheating assessment is made to succeed.</w:t>
            </w:r>
          </w:p>
        </w:tc>
      </w:tr>
    </w:tbl>
    <w:p>
      <w:pPr>
        <w:spacing w:after="60" w:before="90" w:line="260"/>
      </w:pPr>
      <w:r>
        <w:rPr>
          <w:rFonts w:ascii="Arial" w:cs="Arial" w:eastAsia="Arial" w:hAnsi="Arial"/>
          <w:i/>
          <w:iCs/>
          <w:color w:val="C0392B"/>
          <w:sz w:val="17"/>
          <w:szCs w:val="17"/>
        </w:rPr>
        <w:t xml:space="preserve">Criterion C is the one that is not in TM59. It is required here because a proportion of these residents sleep between 08:00 and 16:00, and a model run on a night-occupancy profile does not describe the building they will sleep in.</w:t>
      </w:r>
    </w:p>
    <w:p>
      <w:pPr>
        <w:pStyle w:val="Heading2"/>
        <w:spacing w:after="95" w:before="230"/>
      </w:pPr>
      <w:r>
        <w:rPr>
          <w:rFonts w:ascii="Arial" w:cs="Arial" w:eastAsia="Arial" w:hAnsi="Arial"/>
          <w:b/>
          <w:bCs/>
          <w:color w:val="9C7A3C"/>
          <w:sz w:val="21"/>
          <w:szCs w:val="21"/>
        </w:rPr>
        <w:t xml:space="preserve">9.2  The comfort brief</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gridCol w:w="2220"/>
      </w:tblGrid>
      <w:tr>
        <w:trPr>
          <w:tblHeader/>
        </w:trPr>
        <w:tc>
          <w:tcPr>
            <w:tcW w:type="dxa" w:w="15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
            </w:r>
          </w:p>
        </w:tc>
        <w:tc>
          <w:tcPr>
            <w:tcW w:type="dxa" w:w="53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Requirement</w:t>
            </w:r>
          </w:p>
        </w:tc>
        <w:tc>
          <w:tcPr>
            <w:tcW w:type="dxa" w:w="22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Where it comes from</w:t>
            </w:r>
          </w:p>
        </w:tc>
      </w:tr>
      <w:tr>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Acoustic</w:t>
            </w:r>
          </w:p>
        </w:tc>
        <w:tc>
          <w:tcPr>
            <w:tcW w:type="dxa" w:w="5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village adjoins a live construction site with consented working hours from 07:00. A day-sleeping resident is exposed to construction noise through the sleeping period, and the bedroom-to-outside sound insulation shall be designed for it — not merely for the bedroom-to-bedroom figure at section 6.</w:t>
            </w:r>
          </w:p>
        </w:tc>
        <w:tc>
          <w:tcPr>
            <w:tcW w:type="dxa" w:w="22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Design and demonstrate. This interacts with overheating: a resident who must open a window for temperature loses the acoustic performance the design assumed.</w:t>
            </w:r>
          </w:p>
        </w:tc>
      </w:tr>
      <w:tr>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Light</w:t>
            </w:r>
          </w:p>
        </w:tc>
        <w:tc>
          <w:tcPr>
            <w:tcW w:type="dxa" w:w="5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Blackout to not more than 5 lux at the bed head with 20,000 lux on the external face of the glazing, per the room data sheets. A day-sleeping resident's blind is the only thing between them and the middle of the afternoon.</w:t>
            </w:r>
          </w:p>
        </w:tc>
        <w:tc>
          <w:tcPr>
            <w:tcW w:type="dxa" w:w="22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Room data sheets, internal blind.</w:t>
            </w:r>
          </w:p>
        </w:tc>
      </w:tr>
      <w:tr>
        <w:tc>
          <w:tcPr>
            <w:tcW w:type="dxa" w:w="15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Ventilation</w:t>
            </w:r>
          </w:p>
        </w:tc>
        <w:tc>
          <w:tcPr>
            <w:tcW w:type="dxa" w:w="5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room shall be habitable with the window closed. Purge ventilation is a facility, not a design assumption.</w:t>
            </w:r>
          </w:p>
        </w:tc>
        <w:tc>
          <w:tcPr>
            <w:tcW w:type="dxa" w:w="22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Room data sheets and 4.10.</w:t>
            </w:r>
          </w:p>
        </w:tc>
      </w:tr>
    </w:tbl>
    <w:p>
      <w:r>
        <w:br w:type="page"/>
      </w:r>
    </w:p>
    <w:p>
      <w:pPr>
        <w:pStyle w:val="Heading1"/>
        <w:spacing w:after="130" w:before="340"/>
      </w:pPr>
      <w:r>
        <w:rPr>
          <w:rFonts w:ascii="Arial" w:cs="Arial" w:eastAsia="Arial" w:hAnsi="Arial"/>
          <w:b/>
          <w:bCs/>
          <w:color w:val="14181D"/>
          <w:sz w:val="28"/>
          <w:szCs w:val="28"/>
        </w:rPr>
        <w:t xml:space="preserve">Appendix 10  Form of collateral warranty — content schedule</w:t>
      </w:r>
    </w:p>
    <w:p>
      <w:pPr>
        <w:spacing w:after="60" w:before="60" w:line="260"/>
      </w:pPr>
      <w:r>
        <w:rPr>
          <w:rFonts w:ascii="Arial" w:cs="Arial" w:eastAsia="Arial" w:hAnsi="Arial"/>
          <w:color w:val="14181D"/>
          <w:sz w:val="19"/>
          <w:szCs w:val="19"/>
        </w:rPr>
        <w:t xml:space="preserve">This is a CONTENT SCHEDULE, not a warranty. The form itself is drafted by the Employer's legal adviser and issued as an addendum before the clarification deadline. It is issued in this form now so that a tenderer can price the obligation — the number of warranties, the insurance it must carry and for how long — rather than pricing a document it has not seen.</w:t>
      </w:r>
    </w:p>
    <w:p>
      <w:pPr>
        <w:spacing w:after="60" w:before="60" w:line="260"/>
      </w:pPr>
      <w:r>
        <w:rPr>
          <w:rFonts w:ascii="Arial" w:cs="Arial" w:eastAsia="Arial" w:hAnsi="Arial"/>
          <w:color w:val="14181D"/>
          <w:sz w:val="19"/>
          <w:szCs w:val="19"/>
        </w:rPr>
        <w:t xml:space="preserve">A tenderer that requires an amendment to any clause below shall state it as a departure under 13.4 at tender. An amendment raised after award is a negotiation the Employer conducts having already lost its alternative.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00"/>
        <w:gridCol w:w="3100"/>
        <w:gridCol w:w="2160"/>
        <w:gridCol w:w="2160"/>
      </w:tblGrid>
      <w:tr>
        <w:trPr>
          <w:tblHeader/>
        </w:trPr>
        <w:tc>
          <w:tcPr>
            <w:tcW w:type="dxa" w:w="16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Clause</w:t>
            </w:r>
          </w:p>
        </w:tc>
        <w:tc>
          <w:tcPr>
            <w:tcW w:type="dxa" w:w="31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What it requires</w:t>
            </w:r>
          </w:p>
        </w:tc>
        <w:tc>
          <w:tcPr>
            <w:tcW w:type="dxa" w:w="216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Why it is there</w:t>
            </w:r>
          </w:p>
        </w:tc>
        <w:tc>
          <w:tcPr>
            <w:tcW w:type="dxa" w:w="216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The negotiation to expect</w:t>
            </w:r>
          </w:p>
        </w:tc>
      </w:tr>
      <w:tr>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Duty of care</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warrantor warrants it has exercised and will exercise the reasonable skill and care of a consultant experienced in work of a similar size, scope and complexity.</w:t>
            </w:r>
          </w:p>
        </w:tc>
        <w:tc>
          <w:tcPr>
            <w:tcW w:type="dxa" w:w="2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It gives the beneficiary a direct contractual route where none otherwise exists.</w:t>
            </w:r>
          </w:p>
        </w:tc>
        <w:tc>
          <w:tcPr>
            <w:tcW w:type="dxa" w:w="2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warrantor may seek 'reasonable skill and care' without the experience qualifier. The qualifier is what makes the standard measurable and it should be kept.</w:t>
            </w:r>
          </w:p>
        </w:tc>
      </w:tr>
      <w:tr>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No greater liability</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warrantor owes no greater duty to the beneficiary than it owes under the underlying contract, and may rely on any defence it would have under it.</w:t>
            </w:r>
          </w:p>
        </w:tc>
        <w:tc>
          <w:tcPr>
            <w:tcW w:type="dxa" w:w="2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Without it the warranty can be a larger liability than the contract it warrants, and the warrantor's insurer will say so.</w:t>
            </w:r>
          </w:p>
        </w:tc>
        <w:tc>
          <w:tcPr>
            <w:tcW w:type="dxa" w:w="2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This one is standard and is not usually resisted. A warranty offered without it should be looked at twice.</w:t>
            </w:r>
          </w:p>
        </w:tc>
      </w:tr>
      <w:tr>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Net contribution</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Liability is limited to the proportion that would be just and equitable having regard to the responsibility of other parties.</w:t>
            </w:r>
          </w:p>
        </w:tc>
        <w:tc>
          <w:tcPr>
            <w:tcW w:type="dxa" w:w="2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It is the clause the warrantor's insurer requires. Refusing it usually means no warranty at all.</w:t>
            </w:r>
          </w:p>
        </w:tc>
        <w:tc>
          <w:tcPr>
            <w:tcW w:type="dxa" w:w="2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Expect it. The Employer's protection is to hold warranties from every designer rather than to refuse this clause to one.</w:t>
            </w:r>
          </w:p>
        </w:tc>
      </w:tr>
      <w:tr>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Copyright and licence</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An irrevocable, royalty-free, non-exclusive licence with the right to sub-licence, for every purpose connected with the village — including relocation under 13.7 — surviving termination and not conditional on payment of any sum not already due.</w:t>
            </w:r>
          </w:p>
        </w:tc>
        <w:tc>
          <w:tcPr>
            <w:tcW w:type="dxa" w:w="2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Employer intends to move this village. A licence that dies with the contract makes that impossible.</w:t>
            </w:r>
          </w:p>
        </w:tc>
        <w:tc>
          <w:tcPr>
            <w:tcW w:type="dxa" w:w="2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warrantor may want the licence conditional on payment. Resist: the licence must survive a dispute, because a dispute is exactly when the Employer needs it.</w:t>
            </w:r>
          </w:p>
        </w:tc>
      </w:tr>
      <w:tr>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Professional indemnity insurance</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less than £5,000,000 for each and every claim, maintained for twelve years from the last sectional completion, with evidence of renewal produced annually, and immediate notice if cover ceases to be available on commercially reasonable terms.</w:t>
            </w:r>
          </w:p>
        </w:tc>
        <w:tc>
          <w:tcPr>
            <w:tcW w:type="dxa" w:w="2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13.6. Twelve years matches the limitation period for a deed.</w:t>
            </w:r>
          </w:p>
        </w:tc>
        <w:tc>
          <w:tcPr>
            <w:tcW w:type="dxa" w:w="2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smaller warrantor may only carry £2m, or carry it in the aggregate. Decide the minimum before tender and state it, rather than discovering the position at warranty stage.</w:t>
            </w:r>
          </w:p>
        </w:tc>
      </w:tr>
      <w:tr>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Step-in rights</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beneficiary may, on notice, step into the underlying contract in place of the Employer, and the warrantor shall not terminate without first giving the beneficiary notice and a period in which to step in.</w:t>
            </w:r>
          </w:p>
        </w:tc>
        <w:tc>
          <w:tcPr>
            <w:tcW w:type="dxa" w:w="2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It is what makes a warranty worth having to a funder. Without it, the funder's security is a right to sue after the project has stopped.</w:t>
            </w:r>
          </w:p>
        </w:tc>
        <w:tc>
          <w:tcPr>
            <w:tcW w:type="dxa" w:w="2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Warrantors accept step-in but negotiate the notice period. Twenty-one days is usual; less than fourteen is not workable.</w:t>
            </w:r>
          </w:p>
        </w:tc>
      </w:tr>
      <w:tr>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Assignment</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Assignable by the beneficiary on not fewer than two occasions without the warrantor's consent.</w:t>
            </w:r>
          </w:p>
        </w:tc>
        <w:tc>
          <w:tcPr>
            <w:tcW w:type="dxa" w:w="2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village that may be sold or relocated may change hands. A warranty that cannot follow it is worth nothing to the next owner.</w:t>
            </w:r>
          </w:p>
        </w:tc>
        <w:tc>
          <w:tcPr>
            <w:tcW w:type="dxa" w:w="2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Two is the market position. A warrantor offering one is offering half of what is needed here.</w:t>
            </w:r>
          </w:p>
        </w:tc>
      </w:tr>
      <w:tr>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Deleterious materials</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warrantor has not and will not specify materials known at the time of specification to be deleterious, or not in accordance with relevant British or European Standards or Agrément certificates.</w:t>
            </w:r>
          </w:p>
        </w:tc>
        <w:tc>
          <w:tcPr>
            <w:tcW w:type="dxa" w:w="2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It is a design warranty in a specific and testable form.</w:t>
            </w:r>
          </w:p>
        </w:tc>
        <w:tc>
          <w:tcPr>
            <w:tcW w:type="dxa" w:w="2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Expect a request to limit it to a named list. A list dated at execution ages badly; the general obligation does not.</w:t>
            </w:r>
          </w:p>
        </w:tc>
      </w:tr>
      <w:tr>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Execution</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 a deed, so that the limitation period is twelve years rather than six.</w:t>
            </w:r>
          </w:p>
        </w:tc>
        <w:tc>
          <w:tcPr>
            <w:tcW w:type="dxa" w:w="2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Six years is not long enough for a latent defect in sleeping accommodation to appear and be traced.</w:t>
            </w:r>
          </w:p>
        </w:tc>
        <w:tc>
          <w:tcPr>
            <w:tcW w:type="dxa" w:w="2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Not usually resisted, but it must be executed correctly — a deed executed as a simple contract is a six-year warranty nobody realises they have.</w:t>
            </w:r>
          </w:p>
        </w:tc>
      </w:tr>
      <w:tr>
        <w:tc>
          <w:tcPr>
            <w:tcW w:type="dxa" w:w="16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Beneficiaries required</w:t>
            </w:r>
          </w:p>
        </w:tc>
        <w:tc>
          <w:tcPr>
            <w:tcW w:type="dxa" w:w="3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To the Employer, and to any funder, purchaser or subsequent site owner the Employer names. Two beneficiaries assumed at tender; item A11 of Appendix 1 prices six warranties in total across the Contractor and its designing sub-contractors.</w:t>
            </w:r>
          </w:p>
        </w:tc>
        <w:tc>
          <w:tcPr>
            <w:tcW w:type="dxa" w:w="2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So the count is priced rather than argued about.</w:t>
            </w:r>
          </w:p>
        </w:tc>
        <w:tc>
          <w:tcPr>
            <w:tcW w:type="dxa" w:w="216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Where the Employer later names more beneficiaries than assumed, the additional warranties are valued under section 17 at the rate in item A11.</w:t>
            </w:r>
          </w:p>
        </w:tc>
      </w:tr>
    </w:tbl>
    <w:p>
      <w:pPr>
        <w:spacing w:after="60" w:before="90" w:line="260"/>
      </w:pPr>
      <w:r>
        <w:rPr>
          <w:rFonts w:ascii="Arial" w:cs="Arial" w:eastAsia="Arial" w:hAnsi="Arial"/>
          <w:i/>
          <w:iCs/>
          <w:color w:val="C0392B"/>
          <w:sz w:val="17"/>
          <w:szCs w:val="17"/>
        </w:rPr>
        <w:t xml:space="preserve">This is a content schedule. The form itself is drafted by the Employer's legal adviser and issued as an addendum before the clarification deadline. Nothing in this appendix is legal advice.</w:t>
      </w:r>
    </w:p>
    <w:p>
      <w:r>
        <w:br w:type="page"/>
      </w:r>
    </w:p>
    <w:p>
      <w:pPr>
        <w:pStyle w:val="Heading1"/>
        <w:spacing w:after="130" w:before="340"/>
      </w:pPr>
      <w:r>
        <w:rPr>
          <w:rFonts w:ascii="Arial" w:cs="Arial" w:eastAsia="Arial" w:hAnsi="Arial"/>
          <w:b/>
          <w:bCs/>
          <w:color w:val="14181D"/>
          <w:sz w:val="28"/>
          <w:szCs w:val="28"/>
        </w:rPr>
        <w:t xml:space="preserve">Appendix 11  Asset information requirements and the data schema</w:t>
      </w:r>
    </w:p>
    <w:p>
      <w:pPr>
        <w:spacing w:after="60" w:before="60" w:line="260"/>
      </w:pPr>
      <w:r>
        <w:rPr>
          <w:rFonts w:ascii="Arial" w:cs="Arial" w:eastAsia="Arial" w:hAnsi="Arial"/>
          <w:color w:val="14181D"/>
          <w:sz w:val="19"/>
          <w:szCs w:val="19"/>
        </w:rPr>
        <w:t xml:space="preserve">The asset data the Employer needs to operate and later relocate this village. The schema is agreed under IF-14 within eight weeks of award and BEFORE data collection begins — agreeing it afterwards produces a second collection exercise at the Contractor's cost.</w:t>
      </w:r>
    </w:p>
    <w:p>
      <w:pPr>
        <w:spacing w:after="60" w:before="60" w:line="260"/>
      </w:pPr>
      <w:r>
        <w:rPr>
          <w:rFonts w:ascii="Arial" w:cs="Arial" w:eastAsia="Arial" w:hAnsi="Arial"/>
          <w:color w:val="14181D"/>
          <w:sz w:val="19"/>
          <w:szCs w:val="19"/>
        </w:rPr>
        <w:t xml:space="preserve">Delivery is as structured data. A folder of manufacturer PDFs is not an asset register; literature is required in addition, indexed against the same identifiers.</w:t>
      </w:r>
    </w:p>
    <w:p>
      <w:pPr>
        <w:pStyle w:val="Heading2"/>
        <w:spacing w:after="95" w:before="230"/>
      </w:pPr>
      <w:r>
        <w:rPr>
          <w:rFonts w:ascii="Arial" w:cs="Arial" w:eastAsia="Arial" w:hAnsi="Arial"/>
          <w:b/>
          <w:bCs/>
          <w:color w:val="9C7A3C"/>
          <w:sz w:val="21"/>
          <w:szCs w:val="21"/>
        </w:rPr>
        <w:t xml:space="preserve">11.1  The schema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3200"/>
        <w:gridCol w:w="1300"/>
        <w:gridCol w:w="1920"/>
      </w:tblGrid>
      <w:tr>
        <w:trPr>
          <w:tblHeader/>
        </w:trPr>
        <w:tc>
          <w:tcPr>
            <w:tcW w:type="dxa" w:w="17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Field</w:t>
            </w:r>
          </w:p>
        </w:tc>
        <w:tc>
          <w:tcPr>
            <w:tcW w:type="dxa" w:w="9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Type</w:t>
            </w:r>
          </w:p>
        </w:tc>
        <w:tc>
          <w:tcPr>
            <w:tcW w:type="dxa" w:w="32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Format or domain</w:t>
            </w:r>
          </w:p>
        </w:tc>
        <w:tc>
          <w:tcPr>
            <w:tcW w:type="dxa" w:w="13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Mandatory</w:t>
            </w:r>
          </w:p>
        </w:tc>
        <w:tc>
          <w:tcPr>
            <w:tcW w:type="dxa" w:w="19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Example</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assetId</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Text</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NR-P2-&lt;block&gt;-&lt;floor&gt;-&lt;room&gt;-&lt;type&gt;-&lt;nnn&gt;. Must match a durable physical label on the asset.</w:t>
            </w:r>
          </w:p>
        </w:tc>
        <w:tc>
          <w:tcPr>
            <w:tcW w:type="dxa" w:w="13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Yes</w:t>
            </w:r>
          </w:p>
        </w:tc>
        <w:tc>
          <w:tcPr>
            <w:tcW w:type="dxa" w:w="1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NR-P2-A-01-A114-TMV-007</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classification</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Text</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Uniclass 2015 table Pr code</w:t>
            </w:r>
          </w:p>
        </w:tc>
        <w:tc>
          <w:tcPr>
            <w:tcW w:type="dxa" w:w="13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Yes</w:t>
            </w:r>
          </w:p>
        </w:tc>
        <w:tc>
          <w:tcPr>
            <w:tcW w:type="dxa" w:w="1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Pr_65_52_84_88</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assetType</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Text</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From the Employer's controlled list, issued with the schema</w:t>
            </w:r>
          </w:p>
        </w:tc>
        <w:tc>
          <w:tcPr>
            <w:tcW w:type="dxa" w:w="13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Yes</w:t>
            </w:r>
          </w:p>
        </w:tc>
        <w:tc>
          <w:tcPr>
            <w:tcW w:type="dxa" w:w="1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Thermostatic mixing valve</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manufacturer</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Text</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As on the product, not the supplier</w:t>
            </w:r>
          </w:p>
        </w:tc>
        <w:tc>
          <w:tcPr>
            <w:tcW w:type="dxa" w:w="13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Yes</w:t>
            </w:r>
          </w:p>
        </w:tc>
        <w:tc>
          <w:tcPr>
            <w:tcW w:type="dxa" w:w="1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model</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Text</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Full model reference including variant</w:t>
            </w:r>
          </w:p>
        </w:tc>
        <w:tc>
          <w:tcPr>
            <w:tcW w:type="dxa" w:w="13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Yes</w:t>
            </w:r>
          </w:p>
        </w:tc>
        <w:tc>
          <w:tcPr>
            <w:tcW w:type="dxa" w:w="1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serial</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Text</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Where the asset carries one</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Where applicable</w:t>
            </w:r>
          </w:p>
        </w:tc>
        <w:tc>
          <w:tcPr>
            <w:tcW w:type="dxa" w:w="1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block</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Text</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 to H</w:t>
            </w:r>
          </w:p>
        </w:tc>
        <w:tc>
          <w:tcPr>
            <w:tcW w:type="dxa" w:w="13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Yes</w:t>
            </w:r>
          </w:p>
        </w:tc>
        <w:tc>
          <w:tcPr>
            <w:tcW w:type="dxa" w:w="1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floor</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Integer</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0 or 1</w:t>
            </w:r>
          </w:p>
        </w:tc>
        <w:tc>
          <w:tcPr>
            <w:tcW w:type="dxa" w:w="13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Yes</w:t>
            </w:r>
          </w:p>
        </w:tc>
        <w:tc>
          <w:tcPr>
            <w:tcW w:type="dxa" w:w="1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room</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Text</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room number as it appears on the signage at 4.20</w:t>
            </w:r>
          </w:p>
        </w:tc>
        <w:tc>
          <w:tcPr>
            <w:tcW w:type="dxa" w:w="13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Yes</w:t>
            </w:r>
          </w:p>
        </w:tc>
        <w:tc>
          <w:tcPr>
            <w:tcW w:type="dxa" w:w="1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A114</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installedDate</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Date</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ISO 8601, YYYY-MM-DD</w:t>
            </w:r>
          </w:p>
        </w:tc>
        <w:tc>
          <w:tcPr>
            <w:tcW w:type="dxa" w:w="13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Yes</w:t>
            </w:r>
          </w:p>
        </w:tc>
        <w:tc>
          <w:tcPr>
            <w:tcW w:type="dxa" w:w="1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2027-03-14</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commissionedDate</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Date</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ISO 8601</w:t>
            </w:r>
          </w:p>
        </w:tc>
        <w:tc>
          <w:tcPr>
            <w:tcW w:type="dxa" w:w="13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Yes</w:t>
            </w:r>
          </w:p>
        </w:tc>
        <w:tc>
          <w:tcPr>
            <w:tcW w:type="dxa" w:w="1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2027-03-28</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warrantyStart</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Date</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ISO 8601</w:t>
            </w:r>
          </w:p>
        </w:tc>
        <w:tc>
          <w:tcPr>
            <w:tcW w:type="dxa" w:w="13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Yes</w:t>
            </w:r>
          </w:p>
        </w:tc>
        <w:tc>
          <w:tcPr>
            <w:tcW w:type="dxa" w:w="1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2027-03-28</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warrantyExpiry</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Date</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ISO 8601</w:t>
            </w:r>
          </w:p>
        </w:tc>
        <w:tc>
          <w:tcPr>
            <w:tcW w:type="dxa" w:w="13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Yes</w:t>
            </w:r>
          </w:p>
        </w:tc>
        <w:tc>
          <w:tcPr>
            <w:tcW w:type="dxa" w:w="1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2029-03-27</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expectedLife</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Integer</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Years</w:t>
            </w:r>
          </w:p>
        </w:tc>
        <w:tc>
          <w:tcPr>
            <w:tcW w:type="dxa" w:w="13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Yes</w:t>
            </w:r>
          </w:p>
        </w:tc>
        <w:tc>
          <w:tcPr>
            <w:tcW w:type="dxa" w:w="1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12</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maintenanceActivity</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Text</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 activity, not a reference to a manual</w:t>
            </w:r>
          </w:p>
        </w:tc>
        <w:tc>
          <w:tcPr>
            <w:tcW w:type="dxa" w:w="13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Yes</w:t>
            </w:r>
          </w:p>
        </w:tc>
        <w:tc>
          <w:tcPr>
            <w:tcW w:type="dxa" w:w="1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Thermal disinfection and strainer clean</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maintenanceFrequency</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Text</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Months, or an SFG20 schedule reference</w:t>
            </w:r>
          </w:p>
        </w:tc>
        <w:tc>
          <w:tcPr>
            <w:tcW w:type="dxa" w:w="13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Yes</w:t>
            </w:r>
          </w:p>
        </w:tc>
        <w:tc>
          <w:tcPr>
            <w:tcW w:type="dxa" w:w="1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6</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criticality</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Integer</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 2 or 3. 1 = an occupant cannot remain in the room while it is out of service</w:t>
            </w:r>
          </w:p>
        </w:tc>
        <w:tc>
          <w:tcPr>
            <w:tcW w:type="dxa" w:w="13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Yes</w:t>
            </w:r>
          </w:p>
        </w:tc>
        <w:tc>
          <w:tcPr>
            <w:tcW w:type="dxa" w:w="1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1</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sparesReference</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Text</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Part number, and whether held or lead time</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Where criticality = 1</w:t>
            </w:r>
          </w:p>
        </w:tc>
        <w:tc>
          <w:tcPr>
            <w:tcW w:type="dxa" w:w="1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TMV3-CART-15 / held</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meterPoint</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Text</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Where the asset is metered, the point name used at 4.24 and 4.25</w:t>
            </w:r>
          </w:p>
        </w:tc>
        <w:tc>
          <w:tcPr>
            <w:tcW w:type="dxa" w:w="13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Where applicable</w:t>
            </w:r>
          </w:p>
        </w:tc>
        <w:tc>
          <w:tcPr>
            <w:tcW w:type="dxa" w:w="1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NR-P2-A-ELEC-HEAT</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relocatable</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Boolean</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TRUE where the asset survives dismantling under 13.7</w:t>
            </w:r>
          </w:p>
        </w:tc>
        <w:tc>
          <w:tcPr>
            <w:tcW w:type="dxa" w:w="13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Yes</w:t>
            </w:r>
          </w:p>
        </w:tc>
        <w:tc>
          <w:tcPr>
            <w:tcW w:type="dxa" w:w="1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TRUE</w:t>
            </w:r>
          </w:p>
        </w:tc>
      </w:tr>
      <w:tr>
        <w:tc>
          <w:tcPr>
            <w:tcW w:type="dxa" w:w="17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5"/>
                <w:szCs w:val="15"/>
              </w:rPr>
              <w:t xml:space="preserve">documentRefs</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Text</w:t>
            </w:r>
          </w:p>
        </w:tc>
        <w:tc>
          <w:tcPr>
            <w:tcW w:type="dxa" w:w="3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Semicolon-separated document numbers in the CDE</w:t>
            </w:r>
          </w:p>
        </w:tc>
        <w:tc>
          <w:tcPr>
            <w:tcW w:type="dxa" w:w="13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Yes</w:t>
            </w:r>
          </w:p>
        </w:tc>
        <w:tc>
          <w:tcPr>
            <w:tcW w:type="dxa" w:w="19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5"/>
                <w:szCs w:val="15"/>
              </w:rPr>
              <w:t xml:space="preserve">NR-P2-OM-0114; NR-P2-CERT-0231</w:t>
            </w:r>
          </w:p>
        </w:tc>
      </w:tr>
    </w:tbl>
    <w:p>
      <w:pPr>
        <w:pStyle w:val="Heading2"/>
        <w:spacing w:after="95" w:before="230"/>
      </w:pPr>
      <w:r>
        <w:rPr>
          <w:rFonts w:ascii="Arial" w:cs="Arial" w:eastAsia="Arial" w:hAnsi="Arial"/>
          <w:b/>
          <w:bCs/>
          <w:color w:val="9C7A3C"/>
          <w:sz w:val="21"/>
          <w:szCs w:val="21"/>
        </w:rPr>
        <w:t xml:space="preserve">11.2  Rules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Format</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COBie 2.4 (Component, Type, System, Spare, Job sheets) or the Employer's spreadsheet issued with the schema. Not PDF. Not a proprietary export nobody else can open.</w:t>
            </w:r>
          </w:p>
        </w:tc>
      </w:tr>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Naming and the CDE</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Documents named to BS EN ISO 19650-2 and the Employer's project code, issued through the Employer's CDE. A document sent by email is not issued and does not start any review period at 13.5.</w:t>
            </w:r>
          </w:p>
        </w:tc>
      </w:tr>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Progressive delivery</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The register is populated as assets are installed, not compiled at handover. The Employer may inspect it at any time and it is a hold on payment if it is more than one month behind installation.</w:t>
            </w:r>
          </w:p>
        </w:tc>
      </w:tr>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Meter point naming</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The metering points at 4.24 and 4.25 use the same identifiers as the assets they measure, so that a consumption reading traces to an asset without a translation table.</w:t>
            </w:r>
          </w:p>
        </w:tc>
      </w:tr>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Relocation</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The relocatable flag is what makes the schedule of consumed components at 13.7 checkable. An asset marked TRUE that does not survive dismantling is a defect in the data as much as in the design.</w:t>
            </w:r>
          </w:p>
        </w:tc>
      </w:tr>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Handover test</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P5 shall be able to raise a work order against any asset, find its spare, and see its warranty position, using the register alone, on the day of handover. That is the acceptance test for this appendix.</w:t>
            </w:r>
          </w:p>
        </w:tc>
      </w:tr>
    </w:tbl>
    <w:p>
      <w:r>
        <w:br w:type="page"/>
      </w:r>
    </w:p>
    <w:p>
      <w:pPr>
        <w:pStyle w:val="Heading1"/>
        <w:spacing w:after="130" w:before="340"/>
      </w:pPr>
      <w:r>
        <w:rPr>
          <w:rFonts w:ascii="Arial" w:cs="Arial" w:eastAsia="Arial" w:hAnsi="Arial"/>
          <w:b/>
          <w:bCs/>
          <w:color w:val="14181D"/>
          <w:sz w:val="28"/>
          <w:szCs w:val="28"/>
        </w:rPr>
        <w:t xml:space="preserve">Appendix 12  Social value framework and the travel-to-work area</w:t>
      </w:r>
    </w:p>
    <w:p>
      <w:pPr>
        <w:spacing w:after="60" w:before="60" w:line="260"/>
      </w:pPr>
      <w:r>
        <w:rPr>
          <w:rFonts w:ascii="Arial" w:cs="Arial" w:eastAsia="Arial" w:hAnsi="Arial"/>
          <w:color w:val="14181D"/>
          <w:sz w:val="19"/>
          <w:szCs w:val="19"/>
        </w:rPr>
        <w:t xml:space="preserve">Social value is 5% of the tender score. This appendix says what is measured, in what unit, and what evidence is required, so that what is scored is a commitment rather than an assertion.</w:t>
      </w:r>
    </w:p>
    <w:p>
      <w:pPr>
        <w:spacing w:after="60" w:before="60" w:line="260"/>
      </w:pPr>
      <w:r>
        <w:rPr>
          <w:rFonts w:ascii="Arial" w:cs="Arial" w:eastAsia="Arial" w:hAnsi="Arial"/>
          <w:color w:val="14181D"/>
          <w:sz w:val="19"/>
          <w:szCs w:val="19"/>
        </w:rPr>
        <w:t xml:space="preserve">Commitments offered are CONTRACTUAL. They are reported quarterly in the same units in which they were offered, and a shortfall is made good or explained. A commitment that is not measured is marketing and it will be scored as such.</w:t>
      </w:r>
    </w:p>
    <w:p>
      <w:pPr>
        <w:spacing w:after="60" w:before="140" w:line="260"/>
      </w:pPr>
      <w:r>
        <w:rPr>
          <w:rFonts w:ascii="Arial" w:cs="Arial" w:eastAsia="Arial" w:hAnsi="Arial"/>
          <w:b/>
          <w:bCs/>
          <w:color w:val="14181D"/>
          <w:sz w:val="19"/>
          <w:szCs w:val="19"/>
        </w:rPr>
        <w:t xml:space="preserve">The travel-to-work area for this project is defined as the area within a 25-mile road distance of the site entrance shown on NR-TW-VIL-0201. Where a commitment refers to local employment or local spend, it means within that area, evidenced by postcode.</w:t>
      </w:r>
    </w:p>
    <w:p>
      <w:pPr>
        <w:pStyle w:val="Heading2"/>
        <w:spacing w:after="95" w:before="230"/>
      </w:pPr>
      <w:r>
        <w:rPr>
          <w:rFonts w:ascii="Arial" w:cs="Arial" w:eastAsia="Arial" w:hAnsi="Arial"/>
          <w:b/>
          <w:bCs/>
          <w:color w:val="9C7A3C"/>
          <w:sz w:val="21"/>
          <w:szCs w:val="21"/>
        </w:rPr>
        <w:t xml:space="preserve">12.1  The framework</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2200"/>
        <w:gridCol w:w="900"/>
        <w:gridCol w:w="1620"/>
        <w:gridCol w:w="800"/>
      </w:tblGrid>
      <w:tr>
        <w:trPr>
          <w:tblHeader/>
        </w:trPr>
        <w:tc>
          <w:tcPr>
            <w:tcW w:type="dxa" w:w="14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Theme</w:t>
            </w:r>
          </w:p>
        </w:tc>
        <w:tc>
          <w:tcPr>
            <w:tcW w:type="dxa" w:w="21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Outcome</w:t>
            </w:r>
          </w:p>
        </w:tc>
        <w:tc>
          <w:tcPr>
            <w:tcW w:type="dxa" w:w="22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Measure</w:t>
            </w:r>
          </w:p>
        </w:tc>
        <w:tc>
          <w:tcPr>
            <w:tcW w:type="dxa" w:w="9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Unit</w:t>
            </w:r>
          </w:p>
        </w:tc>
        <w:tc>
          <w:tcPr>
            <w:tcW w:type="dxa" w:w="162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Evidence</w:t>
            </w:r>
          </w:p>
        </w:tc>
        <w:tc>
          <w:tcPr>
            <w:tcW w:type="dxa" w:w="800"/>
            <w:tcBorders>
              <w:top w:val="single" w:color="D5D5D5" w:sz="2"/>
              <w:left w:val="single" w:color="D5D5D5" w:sz="2"/>
              <w:bottom w:val="single" w:color="D5D5D5" w:sz="2"/>
              <w:right w:val="single" w:color="D5D5D5" w:sz="2"/>
            </w:tcBorders>
            <w:shd w:fill="14181D" w:color="auto" w:val="clear"/>
            <w:tcMar>
              <w:top w:type="dxa" w:w="55"/>
              <w:left w:type="dxa" w:w="85"/>
              <w:bottom w:type="dxa" w:w="55"/>
              <w:right w:type="dxa" w:w="85"/>
            </w:tcMar>
          </w:tcPr>
          <w:p>
            <w:pPr>
              <w:spacing w:after="18" w:before="18" w:line="235"/>
            </w:pPr>
            <w:r>
              <w:rPr>
                <w:rFonts w:ascii="Arial" w:cs="Arial" w:eastAsia="Arial" w:hAnsi="Arial"/>
                <w:b/>
                <w:bCs/>
                <w:color w:val="FFFFFF"/>
                <w:sz w:val="15"/>
                <w:szCs w:val="15"/>
              </w:rPr>
              <w:t xml:space="preserve">Weight</w:t>
            </w:r>
          </w:p>
        </w:tc>
      </w:tr>
      <w:tr>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Employment</w:t>
            </w:r>
          </w:p>
        </w:tc>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Local people into work on this package</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Full-time-equivalent roles filled by people resident in the travel-to-work area</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FTE</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Payroll postcode data, quarterly</w:t>
            </w:r>
          </w:p>
        </w:tc>
        <w:tc>
          <w:tcPr>
            <w:tcW w:type="dxa" w:w="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25%</w:t>
            </w:r>
          </w:p>
        </w:tc>
      </w:tr>
      <w:tr>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Employment</w:t>
            </w:r>
          </w:p>
        </w:tc>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People facing barriers into work</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Roles filled by people unemployed for more than six months, care leavers, ex-service personnel or prison leavers at the point of recruitment</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Nr</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Recruitment records and the referring organisation's confirmation</w:t>
            </w:r>
          </w:p>
        </w:tc>
        <w:tc>
          <w:tcPr>
            <w:tcW w:type="dxa" w:w="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15%</w:t>
            </w:r>
          </w:p>
        </w:tc>
      </w:tr>
      <w:tr>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Skills</w:t>
            </w:r>
          </w:p>
        </w:tc>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Apprenticeships and structured training delivered on this package</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Apprenticeship weeks and structured training weeks</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Weeks</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Training provider records and the apprenticeship agreement</w:t>
            </w:r>
          </w:p>
        </w:tc>
        <w:tc>
          <w:tcPr>
            <w:tcW w:type="dxa" w:w="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20%</w:t>
            </w:r>
          </w:p>
        </w:tc>
      </w:tr>
      <w:tr>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Skills</w:t>
            </w:r>
          </w:p>
        </w:tc>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Manufacturing skills, at the place of manufacture</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Training weeks delivered in the factory producing these modules</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Weeks</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Factory training records, and the disclosure required at 10.7</w:t>
            </w:r>
          </w:p>
        </w:tc>
        <w:tc>
          <w:tcPr>
            <w:tcW w:type="dxa" w:w="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10%</w:t>
            </w:r>
          </w:p>
        </w:tc>
      </w:tr>
      <w:tr>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Local economy</w:t>
            </w:r>
          </w:p>
        </w:tc>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Spend with small and medium-sized enterprises</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Contract value sub-let to SMEs as defined by the Companies Act 2006</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 of contract value</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Sub-contract records with company numbers</w:t>
            </w:r>
          </w:p>
        </w:tc>
        <w:tc>
          <w:tcPr>
            <w:tcW w:type="dxa" w:w="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15%</w:t>
            </w:r>
          </w:p>
        </w:tc>
      </w:tr>
      <w:tr>
        <w:tc>
          <w:tcPr>
            <w:tcW w:type="dxa" w:w="14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Local economy</w:t>
            </w:r>
          </w:p>
        </w:tc>
        <w:tc>
          <w:tcPr>
            <w:tcW w:type="dxa" w:w="21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Spend with voluntary, community and social enterprises</w:t>
            </w:r>
          </w:p>
        </w:tc>
        <w:tc>
          <w:tcPr>
            <w:tcW w:type="dxa" w:w="22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Contract value spent with VCSEs</w:t>
            </w:r>
          </w:p>
        </w:tc>
        <w:tc>
          <w:tcPr>
            <w:tcW w:type="dxa" w:w="9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 of contract value</w:t>
            </w:r>
          </w:p>
        </w:tc>
        <w:tc>
          <w:tcPr>
            <w:tcW w:type="dxa" w:w="16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Sub-contract records and charity or CIC numbers</w:t>
            </w:r>
          </w:p>
        </w:tc>
        <w:tc>
          <w:tcPr>
            <w:tcW w:type="dxa" w:w="80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5%</w:t>
            </w:r>
          </w:p>
        </w:tc>
      </w:tr>
      <w:tr>
        <w:tc>
          <w:tcPr>
            <w:tcW w:type="dxa" w:w="14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bCs/>
                <w:color w:val="14181D"/>
                <w:sz w:val="14"/>
                <w:szCs w:val="14"/>
              </w:rPr>
              <w:t xml:space="preserve">The people who live here</w:t>
            </w:r>
          </w:p>
        </w:tc>
        <w:tc>
          <w:tcPr>
            <w:tcW w:type="dxa" w:w="21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One commitment directed at the residents of this village</w:t>
            </w:r>
          </w:p>
        </w:tc>
        <w:tc>
          <w:tcPr>
            <w:tcW w:type="dxa" w:w="22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Stated by the tenderer, measured in the unit it states</w:t>
            </w:r>
          </w:p>
        </w:tc>
        <w:tc>
          <w:tcPr>
            <w:tcW w:type="dxa" w:w="9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As offered</w:t>
            </w:r>
          </w:p>
        </w:tc>
        <w:tc>
          <w:tcPr>
            <w:tcW w:type="dxa" w:w="162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As offered — the tenderer defines the evidence and is held to it</w:t>
            </w:r>
          </w:p>
        </w:tc>
        <w:tc>
          <w:tcPr>
            <w:tcW w:type="dxa" w:w="800"/>
            <w:tcBorders>
              <w:top w:val="single" w:color="D5D5D5" w:sz="2"/>
              <w:left w:val="single" w:color="D5D5D5" w:sz="2"/>
              <w:bottom w:val="single" w:color="D5D5D5" w:sz="2"/>
              <w:right w:val="single" w:color="D5D5D5" w:sz="2"/>
            </w:tcBorders>
            <w:shd w:fill="EFE6D2" w:color="auto" w:val="clear"/>
            <w:tcMar>
              <w:top w:type="dxa" w:w="55"/>
              <w:left w:type="dxa" w:w="85"/>
              <w:bottom w:type="dxa" w:w="55"/>
              <w:right w:type="dxa" w:w="85"/>
            </w:tcMar>
          </w:tcPr>
          <w:p>
            <w:pPr>
              <w:spacing w:after="18" w:before="18" w:line="235"/>
            </w:pPr>
            <w:r>
              <w:rPr>
                <w:rFonts w:ascii="Arial" w:cs="Arial" w:eastAsia="Arial" w:hAnsi="Arial"/>
                <w:b w:val="false"/>
                <w:bCs w:val="false"/>
                <w:color w:val="14181D"/>
                <w:sz w:val="14"/>
                <w:szCs w:val="14"/>
              </w:rPr>
              <w:t xml:space="preserve">10%</w:t>
            </w:r>
          </w:p>
        </w:tc>
      </w:tr>
    </w:tbl>
    <w:p>
      <w:pPr>
        <w:pStyle w:val="Heading2"/>
        <w:spacing w:after="95" w:before="230"/>
      </w:pPr>
      <w:r>
        <w:rPr>
          <w:rFonts w:ascii="Arial" w:cs="Arial" w:eastAsia="Arial" w:hAnsi="Arial"/>
          <w:b/>
          <w:bCs/>
          <w:color w:val="9C7A3C"/>
          <w:sz w:val="21"/>
          <w:szCs w:val="21"/>
        </w:rPr>
        <w:t xml:space="preserve">12.2  Rules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What is not counted</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Work the Contractor would have done anyway, counted as social value. An apprentice already employed before award is not an apprenticeship created by this package, and claiming one is a scoring matter at tender and a contractual one afterwards.</w:t>
            </w:r>
          </w:p>
        </w:tc>
      </w:tr>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Baseline</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Every commitment is stated as an increment over the tenderer's existing position, and the existing position is disclosed. A percentage with no baseline is not a commitment.</w:t>
            </w:r>
          </w:p>
        </w:tc>
      </w:tr>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Reporting</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Quarterly, in the same units offered, with the evidence named in the framework. Reported to the Employer and to P5, who will be operating alongside the same community for thirty-eight months.</w:t>
            </w:r>
          </w:p>
        </w:tc>
      </w:tr>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Shortfall</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Made good within the following quarter, or explained in writing with a proposal for an equivalent. Repeated unexplained shortfall is a matter for the change and performance provisions, not a matter of goodwill.</w:t>
            </w:r>
          </w:p>
        </w:tc>
      </w:tr>
      <w:tr>
        <w:tc>
          <w:tcPr>
            <w:tcW w:type="dxa" w:w="2000"/>
            <w:tcBorders>
              <w:top w:val="single" w:color="D5D5D5" w:sz="2"/>
              <w:left w:val="single" w:color="D5D5D5" w:sz="2"/>
              <w:bottom w:val="single" w:color="D5D5D5" w:sz="2"/>
              <w:right w:val="single" w:color="D5D5D5" w:sz="2"/>
            </w:tcBorders>
            <w:shd w:fill="F2EFE7" w:color="auto" w:val="clear"/>
            <w:tcMar>
              <w:top w:type="dxa" w:w="55"/>
              <w:left w:type="dxa" w:w="85"/>
              <w:bottom w:type="dxa" w:w="55"/>
              <w:right w:type="dxa" w:w="85"/>
            </w:tcMar>
          </w:tcPr>
          <w:p>
            <w:pPr>
              <w:spacing w:after="18" w:before="18" w:line="235"/>
            </w:pPr>
            <w:r>
              <w:rPr>
                <w:rFonts w:ascii="Arial" w:cs="Arial" w:eastAsia="Arial" w:hAnsi="Arial"/>
                <w:b/>
                <w:bCs/>
                <w:color w:val="14181D"/>
                <w:sz w:val="17"/>
                <w:szCs w:val="17"/>
              </w:rPr>
              <w:t xml:space="preserve">The seventh theme</w:t>
            </w:r>
          </w:p>
        </w:tc>
        <w:tc>
          <w:tcPr>
            <w:tcW w:type="dxa" w:w="7020"/>
            <w:tcBorders>
              <w:top w:val="single" w:color="D5D5D5" w:sz="2"/>
              <w:left w:val="single" w:color="D5D5D5" w:sz="2"/>
              <w:bottom w:val="single" w:color="D5D5D5" w:sz="2"/>
              <w:right w:val="single" w:color="D5D5D5" w:sz="2"/>
            </w:tcBorders>
            <w:tcMar>
              <w:top w:type="dxa" w:w="55"/>
              <w:left w:type="dxa" w:w="85"/>
              <w:bottom w:type="dxa" w:w="55"/>
              <w:right w:type="dxa" w:w="85"/>
            </w:tcMar>
          </w:tcPr>
          <w:p>
            <w:pPr>
              <w:spacing w:after="18" w:before="18" w:line="235"/>
            </w:pPr>
            <w:r>
              <w:rPr>
                <w:rFonts w:ascii="Arial" w:cs="Arial" w:eastAsia="Arial" w:hAnsi="Arial"/>
                <w:b w:val="false"/>
                <w:bCs w:val="false"/>
                <w:color w:val="14181D"/>
                <w:sz w:val="17"/>
                <w:szCs w:val="17"/>
              </w:rPr>
              <w:t xml:space="preserve">It carries a tenth of the weight and it is the one the Employer reads first. Two hundred and twenty-five people will live on this site for up to thirty-eight months, some of them a long way from home, working shifts. A commitment aimed at them is worth more than a percentage aimed at a spreadsheet.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Page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672"/>
        <w:sz w:val="14"/>
        <w:szCs w:val="14"/>
      </w:rPr>
      <w:t xml:space="preserve">NR-ER-P2-APX Rev A  ·  appendices to NR-ER-P2 Rev B — Employer's Requirements, P2 Modular Accommodation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Employer's Requirements — the twelve appendices, P2 Modular Accommodation</dc:title>
  <dc:creator>ETABLIX — Integrated Site Services</dc:creator>
  <dc:description>Project NORTHREACH — Workforce Accommodation Village</dc:description>
  <cp:lastModifiedBy>Un-named</cp:lastModifiedBy>
  <cp:revision>1</cp:revision>
  <dcterms:created xsi:type="dcterms:W3CDTF">2026-09-08T06:30:48.048Z</dcterms:created>
  <dcterms:modified xsi:type="dcterms:W3CDTF">2026-09-08T06:30:48.048Z</dcterms:modified>
</cp:coreProperties>
</file>

<file path=docProps/custom.xml><?xml version="1.0" encoding="utf-8"?>
<Properties xmlns="http://schemas.openxmlformats.org/officeDocument/2006/custom-properties" xmlns:vt="http://schemas.openxmlformats.org/officeDocument/2006/docPropsVTypes"/>
</file>