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LINKEDIN COMMENT — CRAIG LITTLE, ADVANCE GRID SOLUTIONS, TWO BESS APPOINTMENTS</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LinkedIn comment — Craig Little, Advance Grid Solutions, two BESS appointments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business/marketing/linkedin-craig-little-ags-bess.md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Post, 14 October 2026.</w:t>
      </w:r>
      <w:r>
        <w:rPr>
          <w:rFonts w:ascii="Arial" w:cs="Arial" w:eastAsia="Arial" w:hAnsi="Arial"/>
          <w:color w:val="14181D"/>
          <w:sz w:val="20"/>
          <w:szCs w:val="20"/>
        </w:rPr>
        <w:t xml:space="preserve"> Craig Little, Managing Director at Advance Grid Solutions, announces two grid-scale battery storage appointments totalling 100 MW and more than 300 MWh, at roughly three hours' duration. Most of the post is credit given away: site teams and engineers for delivering safely and to a high standard, commercial and business development for the relationships and the winning bids, and — unusually — the office and support staff who "keep everything moving behind the scenes."</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comment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line about your office and support staff is the one I would keep.</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On two concurrent sites the administration does not double, it more than doubles — every supplier at every compound is a separate order, a separate invoice query and a separate performance conversation, and the people you have just thanked are the ones who absorb all of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That interface load is exactly what ETABLIX takes off a delivery team. Well done to all of them, and congratulations Craig.</w:t>
      </w:r>
    </w:p>
    <w:p>
      <w:pPr>
        <w:spacing w:after="90" w:before="90" w:line="280"/>
      </w:pPr>
      <w:r>
        <w:rPr>
          <w:rFonts w:ascii="Arial" w:cs="Arial" w:eastAsia="Arial" w:hAnsi="Arial"/>
          <w:i/>
          <w:iCs/>
          <w:color w:val="14181D"/>
          <w:sz w:val="20"/>
          <w:szCs w:val="20"/>
        </w:rPr>
        <w:t xml:space="preserve">82 words, three paragraphs, one idea.</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this one</w:t>
      </w:r>
    </w:p>
    <w:p>
      <w:pPr>
        <w:spacing w:after="90" w:before="90" w:line="280"/>
      </w:pPr>
      <w:r>
        <w:rPr>
          <w:rFonts w:ascii="Arial" w:cs="Arial" w:eastAsia="Arial" w:hAnsi="Arial"/>
          <w:b/>
          <w:bCs/>
          <w:color w:val="14181D"/>
          <w:sz w:val="20"/>
          <w:szCs w:val="20"/>
        </w:rPr>
        <w:t xml:space="preserve">Everybody else will comment on the megawatts.</w:t>
      </w:r>
      <w:r>
        <w:rPr>
          <w:rFonts w:ascii="Arial" w:cs="Arial" w:eastAsia="Arial" w:hAnsi="Arial"/>
          <w:color w:val="14181D"/>
          <w:sz w:val="20"/>
          <w:szCs w:val="20"/>
        </w:rPr>
        <w:t xml:space="preserve"> 100 MW and 300 MWh are the numbers on the graphic, and a hundred replies will repeat them back. The post is not really about the megawatts. Craig spent four sentences giving the credit to his people and one of them to the back office, which almost no managing director bothers to write.</w:t>
      </w:r>
    </w:p>
    <w:p>
      <w:pPr>
        <w:spacing w:after="90" w:before="90" w:line="280"/>
      </w:pPr>
      <w:r>
        <w:rPr>
          <w:rFonts w:ascii="Arial" w:cs="Arial" w:eastAsia="Arial" w:hAnsi="Arial"/>
          <w:b/>
          <w:bCs/>
          <w:color w:val="14181D"/>
          <w:sz w:val="20"/>
          <w:szCs w:val="20"/>
        </w:rPr>
        <w:t xml:space="preserve">So the comment starts where his post ended, not where his graphic started.</w:t>
      </w:r>
      <w:r>
        <w:rPr>
          <w:rFonts w:ascii="Arial" w:cs="Arial" w:eastAsia="Arial" w:hAnsi="Arial"/>
          <w:color w:val="14181D"/>
          <w:sz w:val="20"/>
          <w:szCs w:val="20"/>
        </w:rPr>
        <w:t xml:space="preserve"> Picking up the line most commenters will scroll past is the whole technique here: it proves the post was read rather than reacted to, and it is the part he chose to write himself.</w:t>
      </w:r>
    </w:p>
    <w:p>
      <w:pPr>
        <w:spacing w:after="90" w:before="90" w:line="280"/>
      </w:pPr>
      <w:r>
        <w:rPr>
          <w:rFonts w:ascii="Arial" w:cs="Arial" w:eastAsia="Arial" w:hAnsi="Arial"/>
          <w:b/>
          <w:bCs/>
          <w:color w:val="14181D"/>
          <w:sz w:val="20"/>
          <w:szCs w:val="20"/>
        </w:rPr>
        <w:t xml:space="preserve">And that line is also, honestly, where ETABLIX lives.</w:t>
      </w:r>
      <w:r>
        <w:rPr>
          <w:rFonts w:ascii="Arial" w:cs="Arial" w:eastAsia="Arial" w:hAnsi="Arial"/>
          <w:color w:val="14181D"/>
          <w:sz w:val="20"/>
          <w:szCs w:val="20"/>
        </w:rPr>
        <w:t xml:space="preserve"> The administration of multiple site-service suppliers is precisely the load that falls on office and support staff, and on two simultaneous compounds it scales worse than linearly because nothing can be shared between them. That is a real observation about two concurrent remote sites, not a pivot.</w:t>
      </w:r>
    </w:p>
    <w:p>
      <w:pPr>
        <w:spacing w:after="90" w:before="90" w:line="280"/>
      </w:pPr>
      <w:r>
        <w:rPr>
          <w:rFonts w:ascii="Arial" w:cs="Arial" w:eastAsia="Arial" w:hAnsi="Arial"/>
          <w:b/>
          <w:bCs/>
          <w:color w:val="14181D"/>
          <w:sz w:val="20"/>
          <w:szCs w:val="20"/>
        </w:rPr>
        <w:t xml:space="preserve">It is peer to peer.</w:t>
      </w:r>
      <w:r>
        <w:rPr>
          <w:rFonts w:ascii="Arial" w:cs="Arial" w:eastAsia="Arial" w:hAnsi="Arial"/>
          <w:color w:val="14181D"/>
          <w:sz w:val="20"/>
          <w:szCs w:val="20"/>
        </w:rPr>
        <w:t xml:space="preserve"> Managing director to managing director, first name at the end, and the compliment is to his team rather than to him — which is what he asked for in the post.</w:t>
      </w:r>
    </w:p>
    <w:p>
      <w:pPr>
        <w:spacing w:after="90" w:before="90" w:line="280"/>
      </w:pPr>
      <w:r>
        <w:rPr>
          <w:rFonts w:ascii="Arial" w:cs="Arial" w:eastAsia="Arial" w:hAnsi="Arial"/>
          <w:b/>
          <w:bCs/>
          <w:color w:val="14181D"/>
          <w:sz w:val="20"/>
          <w:szCs w:val="20"/>
        </w:rPr>
        <w:t xml:space="preserve">What it withholds.</w:t>
      </w:r>
      <w:r>
        <w:rPr>
          <w:rFonts w:ascii="Arial" w:cs="Arial" w:eastAsia="Arial" w:hAnsi="Arial"/>
          <w:color w:val="14181D"/>
          <w:sz w:val="20"/>
          <w:szCs w:val="20"/>
        </w:rPr>
        <w:t xml:space="preserve"> No price. No invented statistic — the scaling point is stated as a structural fact, not quantified, because no number exists that can be stood behind. No client, scheme or former employer named. No accreditation. Nothing implying a CDM 2015 duty holder appointment. No exclamation mark, and nothing suggesting anybody is doing anything badly: the argument is that the load is real and lands on people who did not choose it.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LinkedIn comment — Craig Little, Advance Grid Solutions, two BESS appointments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COMMENT — CRAIG LITTLE, ADVANCE GRID SOLUTIONS, TWO BESS APPOINTMENTS</dc:title>
  <dc:creator>ETABLIX — Integrated Site Services</dc:creator>
  <dc:description>ETABLIX LINKEDIN COMMENT — CRAIG LITTLE, ADVANCE GRID SOLUTIONS, TWO BESS APPOINTMENTS</dc:description>
  <cp:lastModifiedBy>Un-named</cp:lastModifiedBy>
  <cp:revision>1</cp:revision>
  <dcterms:created xsi:type="dcterms:W3CDTF">2026-10-14T19:26:13.582Z</dcterms:created>
  <dcterms:modified xsi:type="dcterms:W3CDTF">2026-10-14T19:26:13.582Z</dcterms:modified>
</cp:coreProperties>
</file>

<file path=docProps/custom.xml><?xml version="1.0" encoding="utf-8"?>
<Properties xmlns="http://schemas.openxmlformats.org/officeDocument/2006/custom-properties" xmlns:vt="http://schemas.openxmlformats.org/officeDocument/2006/docPropsVTypes"/>
</file>