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REPLY — FLAMECORE MODULAR BUILDING SOLUTIONS (CHINA)</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Flamecore Modular Building Solutions (China)</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business/marketing/flamecore-china-modular-reply.md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From:</w:t>
      </w:r>
      <w:r>
        <w:rPr>
          <w:rFonts w:ascii="Arial" w:cs="Arial" w:eastAsia="Arial" w:hAnsi="Arial"/>
          <w:color w:val="14181D"/>
          <w:sz w:val="20"/>
          <w:szCs w:val="20"/>
        </w:rPr>
        <w:t xml:space="preserve"> Sherwin Yin, Flamecore, Beijing </w:t>
      </w:r>
      <w:r>
        <w:rPr>
          <w:rFonts w:ascii="Arial" w:cs="Arial" w:eastAsia="Arial" w:hAnsi="Arial"/>
          <w:b/>
          <w:bCs/>
          <w:color w:val="14181D"/>
          <w:sz w:val="20"/>
          <w:szCs w:val="20"/>
        </w:rPr>
        <w:t xml:space="preserve">Via:</w:t>
      </w:r>
      <w:r>
        <w:rPr>
          <w:rFonts w:ascii="Arial" w:cs="Arial" w:eastAsia="Arial" w:hAnsi="Arial"/>
          <w:color w:val="14181D"/>
          <w:sz w:val="20"/>
          <w:szCs w:val="20"/>
        </w:rPr>
        <w:t xml:space="preserve"> the subcontractor/supplier invitation </w:t>
      </w:r>
      <w:r>
        <w:rPr>
          <w:rFonts w:ascii="Arial" w:cs="Arial" w:eastAsia="Arial" w:hAnsi="Arial"/>
          <w:b/>
          <w:bCs/>
          <w:color w:val="14181D"/>
          <w:sz w:val="20"/>
          <w:szCs w:val="20"/>
        </w:rPr>
        <w:t xml:space="preserve">Asked:</w:t>
      </w:r>
      <w:r>
        <w:rPr>
          <w:rFonts w:ascii="Arial" w:cs="Arial" w:eastAsia="Arial" w:hAnsi="Arial"/>
          <w:color w:val="14181D"/>
          <w:sz w:val="20"/>
          <w:szCs w:val="20"/>
        </w:rPr>
        <w:t xml:space="preserve"> do we evaluate China-based supply partners for site offices, welfare and worker accommodation; and what are our technical prequalification requirements, preferred module specifications and relevant destination approvals </w:t>
      </w:r>
      <w:r>
        <w:rPr>
          <w:rFonts w:ascii="Arial" w:cs="Arial" w:eastAsia="Arial" w:hAnsi="Arial"/>
          <w:b/>
          <w:bCs/>
          <w:color w:val="14181D"/>
          <w:sz w:val="20"/>
          <w:szCs w:val="20"/>
        </w:rPr>
        <w:t xml:space="preserve">Attached:</w:t>
      </w:r>
      <w:r>
        <w:rPr>
          <w:rFonts w:ascii="Arial" w:cs="Arial" w:eastAsia="Arial" w:hAnsi="Arial"/>
          <w:color w:val="14181D"/>
          <w:sz w:val="20"/>
          <w:szCs w:val="20"/>
        </w:rPr>
        <w:t xml:space="preserve"> an eight-page capability profile </w:t>
      </w:r>
      <w:r>
        <w:rPr>
          <w:rFonts w:ascii="Arial" w:cs="Arial" w:eastAsia="Arial" w:hAnsi="Arial"/>
          <w:b/>
          <w:bCs/>
          <w:color w:val="14181D"/>
          <w:sz w:val="20"/>
          <w:szCs w:val="20"/>
        </w:rPr>
        <w:t xml:space="preserve">Date:</w:t>
      </w:r>
      <w:r>
        <w:rPr>
          <w:rFonts w:ascii="Arial" w:cs="Arial" w:eastAsia="Arial" w:hAnsi="Arial"/>
          <w:color w:val="14181D"/>
          <w:sz w:val="20"/>
          <w:szCs w:val="20"/>
        </w:rPr>
        <w:t xml:space="preserve"> 14 October 2026</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 profile actually shows</w:t>
      </w:r>
    </w:p>
    <w:p>
      <w:pPr>
        <w:spacing w:after="90" w:before="90" w:line="280"/>
      </w:pPr>
      <w:r>
        <w:rPr>
          <w:rFonts w:ascii="Arial" w:cs="Arial" w:eastAsia="Arial" w:hAnsi="Arial"/>
          <w:color w:val="14181D"/>
          <w:sz w:val="20"/>
          <w:szCs w:val="20"/>
        </w:rPr>
        <w:t xml:space="preserve">Six manufacturing locations across five provinces, a 200,000 sqm production footprint and 1.3 million sqm of designed annual capacity. Fifty-eight listed export projects across twenty-eight countries, 2018 to 2026. Workforce camps are in the record — a Zhejiang camp of 1,200 units delivered in 45 days — along with a 1,800-module Beijing apartment hotel, a 138-room modular hotel at 90 per cent factory completion, a Beijing school and the Hong Kong emergency hospital. The named overseas case study is South Queensland: 23 two-storey townhouses, 60 days from production start to dispatch-ready, with design, manufacture and full factory fit-out in their scope.</w:t>
      </w:r>
    </w:p>
    <w:p>
      <w:pPr>
        <w:spacing w:after="90" w:before="90" w:line="280"/>
      </w:pPr>
      <w:r>
        <w:rPr>
          <w:rFonts w:ascii="Arial" w:cs="Arial" w:eastAsia="Arial" w:hAnsi="Arial"/>
          <w:b/>
          <w:bCs/>
          <w:color w:val="14181D"/>
          <w:sz w:val="20"/>
          <w:szCs w:val="20"/>
        </w:rPr>
        <w:t xml:space="preserve">Two things in that document decide the reply.</w:t>
      </w:r>
    </w:p>
    <w:p>
      <w:pPr>
        <w:spacing w:after="90" w:before="90" w:line="280"/>
      </w:pPr>
      <w:r>
        <w:rPr>
          <w:rFonts w:ascii="Arial" w:cs="Arial" w:eastAsia="Arial" w:hAnsi="Arial"/>
          <w:b/>
          <w:bCs/>
          <w:color w:val="14181D"/>
          <w:sz w:val="20"/>
          <w:szCs w:val="20"/>
        </w:rPr>
        <w:t xml:space="preserve">Their European record is Germany and Montenegro. There is no United Kingdom.</w:t>
      </w:r>
      <w:r>
        <w:rPr>
          <w:rFonts w:ascii="Arial" w:cs="Arial" w:eastAsia="Arial" w:hAnsi="Arial"/>
          <w:color w:val="14181D"/>
          <w:sz w:val="20"/>
          <w:szCs w:val="20"/>
        </w:rPr>
        <w:t xml:space="preserve"> So the question is not whether they can build a module — the camp and hotel numbers answer that — but whether they have ever taken one through Great Britain's approvals and contracting route. Nothing in eight pages says they have.</w:t>
      </w:r>
    </w:p>
    <w:p>
      <w:pPr>
        <w:spacing w:after="90" w:before="90" w:line="280"/>
      </w:pPr>
      <w:r>
        <w:rPr>
          <w:rFonts w:ascii="Arial" w:cs="Arial" w:eastAsia="Arial" w:hAnsi="Arial"/>
          <w:b/>
          <w:bCs/>
          <w:color w:val="14181D"/>
          <w:sz w:val="20"/>
          <w:szCs w:val="20"/>
        </w:rPr>
        <w:t xml:space="preserve">The certification page carries its own asterisk:</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"Certifications held by selected manufacturing partners."</w:t>
      </w:r>
      <w:r>
        <w:rPr>
          <w:rFonts w:ascii="Arial" w:cs="Arial" w:eastAsia="Arial" w:hAnsi="Arial"/>
          <w:color w:val="14181D"/>
          <w:sz w:val="20"/>
          <w:szCs w:val="20"/>
        </w:rPr>
        <w:t xml:space="preserve"> That is honest, and it is also precisely what a prequalification will open first. Flamecore presents as an integrated network rather than a single factory, which means the ISO certificates, the factory production control certificate and the audit history all belong to a specific plant that has to be named per enquiry.</w:t>
      </w:r>
    </w:p>
    <w:p>
      <w:pPr>
        <w:spacing w:after="90" w:before="90" w:line="280"/>
      </w:pPr>
      <w:r>
        <w:rPr>
          <w:rFonts w:ascii="Arial" w:cs="Arial" w:eastAsia="Arial" w:hAnsi="Arial"/>
          <w:b/>
          <w:bCs/>
          <w:color w:val="14181D"/>
          <w:sz w:val="20"/>
          <w:szCs w:val="20"/>
        </w:rPr>
        <w:t xml:space="preserve">The Australia project is the encouraging part and should be said so.</w:t>
      </w:r>
      <w:r>
        <w:rPr>
          <w:rFonts w:ascii="Arial" w:cs="Arial" w:eastAsia="Arial" w:hAnsi="Arial"/>
          <w:color w:val="14181D"/>
          <w:sz w:val="20"/>
          <w:szCs w:val="20"/>
        </w:rPr>
        <w:t xml:space="preserve"> Australia also required destination approvals, certification a local authority would accept, and a contracting route a local client could enforce. They got through it once. That is a far better predictor than the capacity figures.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reply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Re: Modular and accommodation supply — prequalification requirements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Sherwin,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Thank you for a clear introduction and for a capability profile that answers questions rather than avoiding them. It is relevant, so I will not ask you to stop following up — but I will be straight about where we are and what the real gate 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Two things before the technical answer. ETABLIX has nothing out for enquiry at the moment, so nothing I say below is an opportunity in disguise. And origin is not a bar for us: we have no policy against China-based manufacture, and a competitive factory matters a great deal on a village of any size. What decides it is destination approval and an enforceable contracting route, not where the steel is cut.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1. Technical prequalification — what a Great Britain construction site actually requires. These are the items that stop overseas modules at the gate, in the order they usually bite:</w:t>
      </w:r>
    </w:p>
    <w:p>
      <w:pPr>
        <w:pStyle w:val="ListParagraph"/>
        <w:numPr>
          <w:ilvl w:val="0"/>
          <w:numId w:val="2"/>
        </w:numPr>
        <w:spacing w:after="50" w:before="50" w:line="280"/>
      </w:pPr>
      <w:r>
        <w:rPr>
          <w:rFonts w:ascii="Arial" w:cs="Arial" w:eastAsia="Arial" w:hAnsi="Arial"/>
          <w:b/>
          <w:bCs/>
          <w:color w:val="14181D"/>
          <w:sz w:val="20"/>
          <w:szCs w:val="20"/>
        </w:rPr>
        <w:t xml:space="preserve">Structural steelwork.</w:t>
      </w:r>
      <w:r>
        <w:rPr>
          <w:rFonts w:ascii="Arial" w:cs="Arial" w:eastAsia="Arial" w:hAnsi="Arial"/>
          <w:color w:val="14181D"/>
          <w:sz w:val="20"/>
          <w:szCs w:val="20"/>
        </w:rPr>
        <w:t xml:space="preserve"> A Declaration of Performance to BS EN 1090-1 from</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named factory with certified factory production control, the Execution Class stated, and the product marked as currently accepted for construction products placed on the market in Great Britain. The marking regime has moved more than once since 2021, so confirm the position at the time of enquiry rather than relying on a 2023 note.</w:t>
      </w:r>
    </w:p>
    <w:p>
      <w:pPr>
        <w:pStyle w:val="ListParagraph"/>
        <w:numPr>
          <w:ilvl w:val="0"/>
          <w:numId w:val="2"/>
        </w:numPr>
        <w:spacing w:after="50" w:before="50" w:line="280"/>
      </w:pPr>
      <w:r>
        <w:rPr>
          <w:rFonts w:ascii="Arial" w:cs="Arial" w:eastAsia="Arial" w:hAnsi="Arial"/>
          <w:b/>
          <w:bCs/>
          <w:color w:val="14181D"/>
          <w:sz w:val="20"/>
          <w:szCs w:val="20"/>
        </w:rPr>
        <w:t xml:space="preserve">Design loading.</w:t>
      </w:r>
      <w:r>
        <w:rPr>
          <w:rFonts w:ascii="Arial" w:cs="Arial" w:eastAsia="Arial" w:hAnsi="Arial"/>
          <w:color w:val="14181D"/>
          <w:sz w:val="20"/>
          <w:szCs w:val="20"/>
        </w:rPr>
        <w:t xml:space="preserve"> Eurocodes with the </w:t>
      </w:r>
      <w:r>
        <w:rPr>
          <w:rFonts w:ascii="Arial" w:cs="Arial" w:eastAsia="Arial" w:hAnsi="Arial"/>
          <w:b/>
          <w:bCs/>
          <w:color w:val="14181D"/>
          <w:sz w:val="20"/>
          <w:szCs w:val="20"/>
        </w:rPr>
        <w:t xml:space="preserve">UK National Annexes</w:t>
      </w:r>
      <w:r>
        <w:rPr>
          <w:rFonts w:ascii="Arial" w:cs="Arial" w:eastAsia="Arial" w:hAnsi="Arial"/>
          <w:color w:val="14181D"/>
          <w:sz w:val="20"/>
          <w:szCs w:val="20"/>
        </w:rPr>
        <w:t xml:space="preserve"> — in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particular snow to BS EN 1991-1-3 and wind to BS EN 1991-1-4. A module designed to another country's loading map is the most common structural rejection, and it is not a paperwork problem: it changes the frame.</w:t>
      </w:r>
    </w:p>
    <w:p>
      <w:pPr>
        <w:pStyle w:val="ListParagraph"/>
        <w:numPr>
          <w:ilvl w:val="0"/>
          <w:numId w:val="2"/>
        </w:numPr>
        <w:spacing w:after="50" w:before="50" w:line="280"/>
      </w:pPr>
      <w:r>
        <w:rPr>
          <w:rFonts w:ascii="Arial" w:cs="Arial" w:eastAsia="Arial" w:hAnsi="Arial"/>
          <w:b/>
          <w:bCs/>
          <w:color w:val="14181D"/>
          <w:sz w:val="20"/>
          <w:szCs w:val="20"/>
        </w:rPr>
        <w:t xml:space="preserve">Fire.</w:t>
      </w:r>
      <w:r>
        <w:rPr>
          <w:rFonts w:ascii="Arial" w:cs="Arial" w:eastAsia="Arial" w:hAnsi="Arial"/>
          <w:color w:val="14181D"/>
          <w:sz w:val="20"/>
          <w:szCs w:val="20"/>
        </w:rPr>
        <w:t xml:space="preserve"> Reaction-to-fire classification to BS EN 13501-1 for linings and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external surfaces, with test reports from a laboratory whose accreditation a British building control body and a British insurer will both accept. Separately, site accommodation is normally caught by the insurers' Joint Code of Practice on fire prevention on construction sites, which drives separation distances between units, limits on combustible insulation and alarm provision. Sleeping accommodation also needs detection and alarm to BS 5839 and a means-of-escape strategy for the block as arranged on site, not for a single unit in isolation.</w:t>
      </w:r>
    </w:p>
    <w:p>
      <w:pPr>
        <w:pStyle w:val="ListParagraph"/>
        <w:numPr>
          <w:ilvl w:val="0"/>
          <w:numId w:val="2"/>
        </w:numPr>
        <w:spacing w:after="50" w:before="50" w:line="280"/>
      </w:pPr>
      <w:r>
        <w:rPr>
          <w:rFonts w:ascii="Arial" w:cs="Arial" w:eastAsia="Arial" w:hAnsi="Arial"/>
          <w:b/>
          <w:bCs/>
          <w:color w:val="14181D"/>
          <w:sz w:val="20"/>
          <w:szCs w:val="20"/>
        </w:rPr>
        <w:t xml:space="preserve">Electrical.</w:t>
      </w:r>
      <w:r>
        <w:rPr>
          <w:rFonts w:ascii="Arial" w:cs="Arial" w:eastAsia="Arial" w:hAnsi="Arial"/>
          <w:color w:val="14181D"/>
          <w:sz w:val="20"/>
          <w:szCs w:val="20"/>
        </w:rPr>
        <w:t xml:space="preserve"> The quiet killer. Units must be wired to BS 7671, the IET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Wiring Regulations — 230 V at 50 Hz, British socket outlets, residual current protection, and an installation certificate from a competent person in this country. A unit that arrives wired to another standard is rewired here, and the rewire usually consumes the price advantage that justified the shipping.</w:t>
      </w:r>
    </w:p>
    <w:p>
      <w:pPr>
        <w:pStyle w:val="ListParagraph"/>
        <w:numPr>
          <w:ilvl w:val="0"/>
          <w:numId w:val="2"/>
        </w:numPr>
        <w:spacing w:after="50" w:before="50" w:line="280"/>
      </w:pPr>
      <w:r>
        <w:rPr>
          <w:rFonts w:ascii="Arial" w:cs="Arial" w:eastAsia="Arial" w:hAnsi="Arial"/>
          <w:b/>
          <w:bCs/>
          <w:color w:val="14181D"/>
          <w:sz w:val="20"/>
          <w:szCs w:val="20"/>
        </w:rPr>
        <w:t xml:space="preserve">Welfare content.</w:t>
      </w:r>
      <w:r>
        <w:rPr>
          <w:rFonts w:ascii="Arial" w:cs="Arial" w:eastAsia="Arial" w:hAnsi="Arial"/>
          <w:color w:val="14181D"/>
          <w:sz w:val="20"/>
          <w:szCs w:val="20"/>
        </w:rPr>
        <w:t xml:space="preserve"> For a construction site the unit has to deliver what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Schedule 2 of the Construction (Design and Management) Regulations 2015 requires — sanitary conveniences, washing facilities, drinking water, changing rooms and lockers, and rest facilities — in the numbers the workforce served demands. That is a quantity question before it is a product question.</w:t>
      </w:r>
    </w:p>
    <w:p>
      <w:pPr>
        <w:pStyle w:val="ListParagraph"/>
        <w:numPr>
          <w:ilvl w:val="0"/>
          <w:numId w:val="2"/>
        </w:numPr>
        <w:spacing w:after="50" w:before="50" w:line="280"/>
      </w:pPr>
      <w:r>
        <w:rPr>
          <w:rFonts w:ascii="Arial" w:cs="Arial" w:eastAsia="Arial" w:hAnsi="Arial"/>
          <w:b/>
          <w:bCs/>
          <w:color w:val="14181D"/>
          <w:sz w:val="20"/>
          <w:szCs w:val="20"/>
        </w:rPr>
        <w:t xml:space="preserve">Lifting and transport.</w:t>
      </w:r>
      <w:r>
        <w:rPr>
          <w:rFonts w:ascii="Arial" w:cs="Arial" w:eastAsia="Arial" w:hAnsi="Arial"/>
          <w:color w:val="14181D"/>
          <w:sz w:val="20"/>
          <w:szCs w:val="20"/>
        </w:rPr>
        <w:t xml:space="preserve"> Certified lifting points with current test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certificates, and module dimensions checked against British road limits. Above those limits it becomes an abnormal load, with notification periods and escorts that change both programme and cost.</w:t>
      </w:r>
    </w:p>
    <w:p>
      <w:pPr>
        <w:pStyle w:val="ListParagraph"/>
        <w:numPr>
          <w:ilvl w:val="0"/>
          <w:numId w:val="2"/>
        </w:numPr>
        <w:spacing w:after="50" w:before="50" w:line="280"/>
      </w:pPr>
      <w:r>
        <w:rPr>
          <w:rFonts w:ascii="Arial" w:cs="Arial" w:eastAsia="Arial" w:hAnsi="Arial"/>
          <w:b/>
          <w:bCs/>
          <w:color w:val="14181D"/>
          <w:sz w:val="20"/>
          <w:szCs w:val="20"/>
        </w:rPr>
        <w:t xml:space="preserve">Thermal performance.</w:t>
      </w:r>
      <w:r>
        <w:rPr>
          <w:rFonts w:ascii="Arial" w:cs="Arial" w:eastAsia="Arial" w:hAnsi="Arial"/>
          <w:color w:val="14181D"/>
          <w:sz w:val="20"/>
          <w:szCs w:val="20"/>
        </w:rPr>
        <w:t xml:space="preserve"> Clients increasingly set U-values for temporary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accommodation whether or not the regulations compel it, particularly where the units will run for years rather than months.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2. Preferred module specifications. We do not publish one, and I would be misleading you if I invented a standard. ETABLIX writes an output specification per scheme, from workforce demand, phasing, site constraints and the client's own standards — that specification work is a large part of what we are engaged to do. At enquiry you would receive the performance requirements, the quantities, the interface boundaries and the acceptance criteria, and you would price against those rather than guessing at a house type.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3. The commercial gate, which is the one nobody writes to you about. A British client or main contractor needs a counterparty it can pursue in England and Wales. A supplier domiciled only in China, with no local entity, no warranty enforceable here and no product liability cover responding in this jurisdiction, is very difficult to appoint whatever the product is like. The routes that do work are a subsidiary or branch here, a distributor who holds the contract, or a parent company guarantee with English law and jurisdiction and security in the form of a bond or retention. Whichever you choose, deciding it before an enquiry rather than during one is worth more than any technical submission.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4. Two things your own profile invites, and I would raise them before a buyer does. Your certification page states that the ISO certificates are held by selected manufacturing partners. A prequalification will ask which plant is making these particular units and will want that plant's certificates, its factory production control certificate and its audit history — so name the factory per enquiry rather than presenting the network. And supply-chain labour due diligence is now routine here, under the Modern Slavery Act 2015 and under tier-one clients' own standards: a named factory list, recent independent social audits and traceability of the steel and the soft furnishings are asked for as a matter of course. A supplier who has that ready moves through assessment in days rather than months. I mention it as a procedural fact, not as a concern about your business.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One observation, meant encouragingly. Your European record is Germany and Montenegro, and there is no United Kingdom in it — so the approvals route here is genuinely new ground. But South Queensland is the closest thing to a rehearsal you could have. Australia also required destination certification a local authority would accept and a contracting route a local client could enforce, and you cleared it. That history is a better argument to a British buyer than the capacity figures on page two, and I would lead with it rather than with the square metres.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Practical next step. Please register at https://etablix.com/subcontractors#register. Nothing is live today; the register is how the list is built for when something is. One small thing that will help you with every British buyer, not only us: use a company-domain address and include your registered company details. Assessment teams here check the entity before they read the product.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If you would rather not pursue a market with that much front-loaded compliance, I will understand entirely, and the honest answer is better had now than after a shipment.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is written this way</w:t>
      </w:r>
    </w:p>
    <w:p>
      <w:pPr>
        <w:spacing w:after="90" w:before="90" w:line="280"/>
      </w:pPr>
      <w:r>
        <w:rPr>
          <w:rFonts w:ascii="Arial" w:cs="Arial" w:eastAsia="Arial" w:hAnsi="Arial"/>
          <w:b/>
          <w:bCs/>
          <w:color w:val="14181D"/>
          <w:sz w:val="20"/>
          <w:szCs w:val="20"/>
        </w:rPr>
        <w:t xml:space="preserve">He asked three technical questions, so he gets three technical answers.</w:t>
      </w:r>
      <w:r>
        <w:rPr>
          <w:rFonts w:ascii="Arial" w:cs="Arial" w:eastAsia="Arial" w:hAnsi="Arial"/>
          <w:color w:val="14181D"/>
          <w:sz w:val="20"/>
          <w:szCs w:val="20"/>
        </w:rPr>
        <w:t xml:space="preserve"> A short, warm, content-free reply would have been easier and useless. He asked what the prequalification requirements are; telling him properly costs an hour and is the only thing in the exchange he cannot get elsewhere.</w:t>
      </w:r>
    </w:p>
    <w:p>
      <w:pPr>
        <w:spacing w:after="90" w:before="90" w:line="280"/>
      </w:pPr>
      <w:r>
        <w:rPr>
          <w:rFonts w:ascii="Arial" w:cs="Arial" w:eastAsia="Arial" w:hAnsi="Arial"/>
          <w:b/>
          <w:bCs/>
          <w:color w:val="14181D"/>
          <w:sz w:val="20"/>
          <w:szCs w:val="20"/>
        </w:rPr>
        <w:t xml:space="preserve">Answering "is it relevant" directly, in the first line.</w:t>
      </w:r>
      <w:r>
        <w:rPr>
          <w:rFonts w:ascii="Arial" w:cs="Arial" w:eastAsia="Arial" w:hAnsi="Arial"/>
          <w:color w:val="14181D"/>
          <w:sz w:val="20"/>
          <w:szCs w:val="20"/>
        </w:rPr>
        <w:t xml:space="preserve"> He offered to stop following up if it was not. Leaving that unanswered while taking his information would be the rude option, not the polite one.</w:t>
      </w:r>
    </w:p>
    <w:p>
      <w:pPr>
        <w:spacing w:after="90" w:before="90" w:line="280"/>
      </w:pPr>
      <w:r>
        <w:rPr>
          <w:rFonts w:ascii="Arial" w:cs="Arial" w:eastAsia="Arial" w:hAnsi="Arial"/>
          <w:b/>
          <w:bCs/>
          <w:color w:val="14181D"/>
          <w:sz w:val="20"/>
          <w:szCs w:val="20"/>
        </w:rPr>
        <w:t xml:space="preserve">Origin is addressed and dismissed as a factor in one sentence.</w:t>
      </w:r>
      <w:r>
        <w:rPr>
          <w:rFonts w:ascii="Arial" w:cs="Arial" w:eastAsia="Arial" w:hAnsi="Arial"/>
          <w:color w:val="14181D"/>
          <w:sz w:val="20"/>
          <w:szCs w:val="20"/>
        </w:rPr>
        <w:t xml:space="preserve"> He asked whether China-based partners are evaluated, which means he has been refused for that reason before. The honest answer is that the factory's location is not the problem and the approvals and the contracting route are, and saying so plainly is more useful than diplomatic vagueness.</w:t>
      </w:r>
    </w:p>
    <w:p>
      <w:pPr>
        <w:spacing w:after="90" w:before="90" w:line="280"/>
      </w:pPr>
      <w:r>
        <w:rPr>
          <w:rFonts w:ascii="Arial" w:cs="Arial" w:eastAsia="Arial" w:hAnsi="Arial"/>
          <w:b/>
          <w:bCs/>
          <w:color w:val="14181D"/>
          <w:sz w:val="20"/>
          <w:szCs w:val="20"/>
        </w:rPr>
        <w:t xml:space="preserve">The electrical paragraph is the most valuable thing in the letter.</w:t>
      </w:r>
      <w:r>
        <w:rPr>
          <w:rFonts w:ascii="Arial" w:cs="Arial" w:eastAsia="Arial" w:hAnsi="Arial"/>
          <w:color w:val="14181D"/>
          <w:sz w:val="20"/>
          <w:szCs w:val="20"/>
        </w:rPr>
        <w:t xml:space="preserve"> BS 7671 is where overseas units actually fail, and the reason is commercial rather than technical: a rewire on arrival eats the margin that justified the freight. Most people would discover that after the first container.</w:t>
      </w:r>
    </w:p>
    <w:p>
      <w:pPr>
        <w:spacing w:after="90" w:before="90" w:line="280"/>
      </w:pPr>
      <w:r>
        <w:rPr>
          <w:rFonts w:ascii="Arial" w:cs="Arial" w:eastAsia="Arial" w:hAnsi="Arial"/>
          <w:b/>
          <w:bCs/>
          <w:color w:val="14181D"/>
          <w:sz w:val="20"/>
          <w:szCs w:val="20"/>
        </w:rPr>
        <w:t xml:space="preserve">The commercial gate is given its own section because it outranks the technical one.</w:t>
      </w:r>
      <w:r>
        <w:rPr>
          <w:rFonts w:ascii="Arial" w:cs="Arial" w:eastAsia="Arial" w:hAnsi="Arial"/>
          <w:color w:val="14181D"/>
          <w:sz w:val="20"/>
          <w:szCs w:val="20"/>
        </w:rPr>
        <w:t xml:space="preserve"> A perfect module from an unsuable counterparty does not get bought. Naming the three routes that do work — local entity, local distributor holding the contract, or parent guarantee with English jurisdiction and security — is advice he can act on this week.</w:t>
      </w:r>
    </w:p>
    <w:p>
      <w:pPr>
        <w:spacing w:after="90" w:before="90" w:line="280"/>
      </w:pPr>
      <w:r>
        <w:rPr>
          <w:rFonts w:ascii="Arial" w:cs="Arial" w:eastAsia="Arial" w:hAnsi="Arial"/>
          <w:b/>
          <w:bCs/>
          <w:color w:val="14181D"/>
          <w:sz w:val="20"/>
          <w:szCs w:val="20"/>
        </w:rPr>
        <w:t xml:space="preserve">The labour due diligence paragraph is stated as procedure, not suspicion.</w:t>
      </w:r>
      <w:r>
        <w:rPr>
          <w:rFonts w:ascii="Arial" w:cs="Arial" w:eastAsia="Arial" w:hAnsi="Arial"/>
          <w:color w:val="14181D"/>
          <w:sz w:val="20"/>
          <w:szCs w:val="20"/>
        </w:rPr>
        <w:t xml:space="preserve"> It is a real and standard requirement of British public bodies and tier-one contractors, he will meet it at every door, and a supplier who has the audits ready is genuinely advantaged. Framing it as a concern about his business would have been both offensive and wrong; omitting it would have been a disservice.</w:t>
      </w:r>
    </w:p>
    <w:p>
      <w:pPr>
        <w:spacing w:after="90" w:before="90" w:line="280"/>
      </w:pPr>
      <w:r>
        <w:rPr>
          <w:rFonts w:ascii="Arial" w:cs="Arial" w:eastAsia="Arial" w:hAnsi="Arial"/>
          <w:b/>
          <w:bCs/>
          <w:color w:val="14181D"/>
          <w:sz w:val="20"/>
          <w:szCs w:val="20"/>
        </w:rPr>
        <w:t xml:space="preserve">Their own asterisk is read back to them.</w:t>
      </w:r>
      <w:r>
        <w:rPr>
          <w:rFonts w:ascii="Arial" w:cs="Arial" w:eastAsia="Arial" w:hAnsi="Arial"/>
          <w:color w:val="14181D"/>
          <w:sz w:val="20"/>
          <w:szCs w:val="20"/>
        </w:rPr>
        <w:t xml:space="preserve"> The profile says the ISO certificates belong to selected manufacturing partners. That is honest of them and it is also the first thread an assessor pulls, so the advice is to name the plant per enquiry instead of presenting the network.</w:t>
      </w:r>
    </w:p>
    <w:p>
      <w:pPr>
        <w:spacing w:after="90" w:before="90" w:line="280"/>
      </w:pPr>
      <w:r>
        <w:rPr>
          <w:rFonts w:ascii="Arial" w:cs="Arial" w:eastAsia="Arial" w:hAnsi="Arial"/>
          <w:b/>
          <w:bCs/>
          <w:color w:val="14181D"/>
          <w:sz w:val="20"/>
          <w:szCs w:val="20"/>
        </w:rPr>
        <w:t xml:space="preserve">The Australia point is the generous note and it is also the true one.</w:t>
      </w:r>
      <w:r>
        <w:rPr>
          <w:rFonts w:ascii="Arial" w:cs="Arial" w:eastAsia="Arial" w:hAnsi="Arial"/>
          <w:color w:val="14181D"/>
          <w:sz w:val="20"/>
          <w:szCs w:val="20"/>
        </w:rPr>
        <w:t xml:space="preserve"> Their strongest argument to a British buyer is not 1.3 million square metres of capacity; it is that they have already taken a module through another jurisdiction's approvals and come out the other side. Telling a supplier which of their own credentials is the strong one is the most memorable thing in any reply to a cold introduction.</w:t>
      </w:r>
    </w:p>
    <w:p>
      <w:pPr>
        <w:spacing w:after="90" w:before="90" w:line="280"/>
      </w:pPr>
      <w:r>
        <w:rPr>
          <w:rFonts w:ascii="Arial" w:cs="Arial" w:eastAsia="Arial" w:hAnsi="Arial"/>
          <w:b/>
          <w:bCs/>
          <w:color w:val="14181D"/>
          <w:sz w:val="20"/>
          <w:szCs w:val="20"/>
        </w:rPr>
        <w:t xml:space="preserve">The domain-address note is said once, practically, and without condescension.</w:t>
      </w:r>
      <w:r>
        <w:rPr>
          <w:rFonts w:ascii="Arial" w:cs="Arial" w:eastAsia="Arial" w:hAnsi="Arial"/>
          <w:color w:val="14181D"/>
          <w:sz w:val="20"/>
          <w:szCs w:val="20"/>
        </w:rPr>
        <w:t xml:space="preserve"> A gmail address and a WhatsApp number will cost him credibility at every British assessment desk. He should hear it from somebody who replied rather than infer it from everybody who did not.</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 reply withholds</w:t>
      </w:r>
    </w:p>
    <w:p>
      <w:pPr>
        <w:spacing w:after="90" w:before="90" w:line="280"/>
      </w:pPr>
      <w:r>
        <w:rPr>
          <w:rFonts w:ascii="Arial" w:cs="Arial" w:eastAsia="Arial" w:hAnsi="Arial"/>
          <w:color w:val="14181D"/>
          <w:sz w:val="20"/>
          <w:szCs w:val="20"/>
        </w:rPr>
        <w:t xml:space="preserve">No price, and no suggestion of volume, value or a pipeline — the no-live-enquiry sentence is in the second paragraph precisely so nothing that follows reads as an opportunity. No accreditation is claimed for ETABLIX, which holds none. No client, scheme or former employer is named. Nothing implies a Principal Designer or Principal Contractor appointment: every regulatory item is described as a requirement the product must meet, not a duty ETABLIX holds. And no regulatory claim is stated more confidently than it deserves — the construction-products marking regime has changed repeatedly since 2021, so the letter says to confirm the current position at enquiry rather than asserting one.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Reply — Flamecore Modular Building Solutions (China)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 FLAMECORE MODULAR BUILDING SOLUTIONS (CHINA)</dc:title>
  <dc:creator>ETABLIX — Integrated Site Services</dc:creator>
  <dc:description>ETABLIX REPLY — FLAMECORE MODULAR BUILDING SOLUTIONS (CHINA)</dc:description>
  <cp:lastModifiedBy>Un-named</cp:lastModifiedBy>
  <cp:revision>1</cp:revision>
  <dcterms:created xsi:type="dcterms:W3CDTF">2026-10-14T13:10:30.006Z</dcterms:created>
  <dcterms:modified xsi:type="dcterms:W3CDTF">2026-10-14T13:10:30.007Z</dcterms:modified>
</cp:coreProperties>
</file>

<file path=docProps/custom.xml><?xml version="1.0" encoding="utf-8"?>
<Properties xmlns="http://schemas.openxmlformats.org/officeDocument/2006/custom-properties" xmlns:vt="http://schemas.openxmlformats.org/officeDocument/2006/docPropsVTypes"/>
</file>