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60"/>
      </w:pPr>
      <w:r>
        <w:rPr>
          <w:rFonts w:ascii="Arial" w:cs="Arial" w:eastAsia="Arial" w:hAnsi="Arial"/>
          <w:b/>
          <w:bCs/>
          <w:color w:val="14181D"/>
          <w:sz w:val="56"/>
          <w:szCs w:val="56"/>
        </w:rPr>
        <w:t xml:space="preserve">ETABLIX</w:t>
      </w:r>
    </w:p>
    <w:p>
      <w:pPr>
        <w:spacing w:after="60" w:before="0"/>
      </w:pPr>
      <w:r>
        <w:rPr>
          <w:rFonts w:ascii="Arial" w:cs="Arial" w:eastAsia="Arial" w:hAnsi="Arial"/>
          <w:b/>
          <w:bCs/>
          <w:color w:val="9C7A3C"/>
          <w:sz w:val="18"/>
          <w:szCs w:val="18"/>
        </w:rPr>
        <w:t xml:space="preserve">INTEGRATED SITE SERVICES</w:t>
      </w:r>
    </w:p>
    <w:p>
      <w:pPr>
        <w:pBdr>
          <w:bottom w:val="single" w:color="9C7A3C" w:sz="6" w:space="6"/>
        </w:pBdr>
        <w:spacing w:after="380" w:before="90" w:line="280"/>
      </w:pPr>
      <w:r>
        <w:rPr>
          <w:rFonts w:ascii="Arial" w:cs="Arial" w:eastAsia="Arial" w:hAnsi="Arial"/>
          <w:color w:val="5B6672"/>
          <w:sz w:val="18"/>
          <w:szCs w:val="18"/>
        </w:rPr>
        <w:t xml:space="preserve">A trading name of JNN GLOBAL LTD · Company number 15405437</w:t>
      </w:r>
    </w:p>
    <w:p>
      <w:pPr>
        <w:spacing w:after="0" w:before="260"/>
      </w:pPr>
      <w:r>
        <w:rPr>
          <w:rFonts w:ascii="Arial" w:cs="Arial" w:eastAsia="Arial" w:hAnsi="Arial"/>
          <w:b/>
          <w:bCs/>
          <w:color w:val="9C7A3C"/>
          <w:sz w:val="30"/>
          <w:szCs w:val="30"/>
        </w:rPr>
        <w:t xml:space="preserve">WORKING BRIEF</w:t>
      </w:r>
    </w:p>
    <w:p>
      <w:pPr>
        <w:spacing w:after="0" w:before="0"/>
      </w:pPr>
      <w:r>
        <w:rPr>
          <w:rFonts w:ascii="Arial" w:cs="Arial" w:eastAsia="Arial" w:hAnsi="Arial"/>
          <w:b/>
          <w:bCs/>
          <w:color w:val="14181D"/>
          <w:sz w:val="44"/>
          <w:szCs w:val="44"/>
        </w:rPr>
        <w:t xml:space="preserve">MACE GROUP — THE SWITCHBOARD REPLY, AND THE INTRODUCTION IT POINTS TO</w:t>
      </w:r>
    </w:p>
    <w:p>
      <w:pPr>
        <w:spacing w:after="420" w:before="60"/>
      </w:pPr>
      <w:r>
        <w:rPr>
          <w:rFonts w:ascii="Arial" w:cs="Arial" w:eastAsia="Arial" w:hAnsi="Arial"/>
          <w:color w:val="5B6672"/>
          <w:sz w:val="26"/>
          <w:szCs w:val="26"/>
        </w:rPr>
        <w:t xml:space="preserve">internal working document — not for issue to a client or a buyer</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300"/>
        <w:gridCol w:w="6000"/>
      </w:tblGrid>
      <w:tr>
        <w:trPr>
          <w:tblHeader/>
        </w:trPr>
        <w:tc>
          <w:tcPr>
            <w:tcW w:type="dxa" w:w="23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
            </w:r>
          </w:p>
        </w:tc>
        <w:tc>
          <w:tcPr>
            <w:tcW w:type="dxa" w:w="60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
            </w:r>
          </w:p>
        </w:tc>
      </w:tr>
      <w:tr>
        <w:tc>
          <w:tcPr>
            <w:tcW w:type="dxa" w:w="2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Document</w:t>
            </w:r>
          </w:p>
        </w:tc>
        <w:tc>
          <w:tcPr>
            <w:tcW w:type="dxa" w:w="6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Mace Group — the switchboard reply, and the introduction it points to</w:t>
            </w:r>
          </w:p>
        </w:tc>
      </w:tr>
      <w:tr>
        <w:tc>
          <w:tcPr>
            <w:tcW w:type="dxa" w:w="2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Source</w:t>
            </w:r>
          </w:p>
        </w:tc>
        <w:tc>
          <w:tcPr>
            <w:tcW w:type="dxa" w:w="6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business/marketing/mace-group-introduction.md</w:t>
            </w:r>
          </w:p>
        </w:tc>
      </w:tr>
      <w:tr>
        <w:tc>
          <w:tcPr>
            <w:tcW w:type="dxa" w:w="2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Rendered</w:t>
            </w:r>
          </w:p>
        </w:tc>
        <w:tc>
          <w:tcPr>
            <w:tcW w:type="dxa" w:w="6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15 October 2026</w:t>
            </w:r>
          </w:p>
        </w:tc>
      </w:tr>
      <w:tr>
        <w:tc>
          <w:tcPr>
            <w:tcW w:type="dxa" w:w="2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Status</w:t>
            </w:r>
          </w:p>
        </w:tc>
        <w:tc>
          <w:tcPr>
            <w:tcW w:type="dxa" w:w="6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Rendered from the markdown source. Edit the source and re-run; do not edit this file.</w:t>
            </w:r>
          </w:p>
        </w:tc>
      </w:tr>
    </w:tbl>
    <w:p>
      <w:pPr>
        <w:spacing w:after="300" w:before="90" w:line="280"/>
      </w:pPr>
      <w:r>
        <w:rPr>
          <w:rFonts w:ascii="Arial" w:cs="Arial" w:eastAsia="Arial" w:hAnsi="Arial"/>
          <w:color w:val="14181D"/>
          <w:sz w:val="20"/>
          <w:szCs w:val="20"/>
        </w:rPr>
        <w:t xml:space="preserve"/>
      </w:r>
    </w:p>
    <w:p>
      <w:r>
        <w:br w:type="page"/>
      </w:r>
    </w:p>
    <w:p>
      <w:pPr>
        <w:spacing w:after="90" w:before="90" w:line="280"/>
      </w:pPr>
      <w:r>
        <w:rPr>
          <w:rFonts w:ascii="Arial" w:cs="Arial" w:eastAsia="Arial" w:hAnsi="Arial"/>
          <w:b/>
          <w:bCs/>
          <w:color w:val="14181D"/>
          <w:sz w:val="20"/>
          <w:szCs w:val="20"/>
        </w:rPr>
        <w:t xml:space="preserve">From:</w:t>
      </w:r>
      <w:r>
        <w:rPr>
          <w:rFonts w:ascii="Arial" w:cs="Arial" w:eastAsia="Arial" w:hAnsi="Arial"/>
          <w:color w:val="14181D"/>
          <w:sz w:val="20"/>
          <w:szCs w:val="20"/>
        </w:rPr>
        <w:t xml:space="preserve"> Diana Penafiel, Switchboard Customer Advisor, Mace Group </w:t>
      </w:r>
      <w:r>
        <w:rPr>
          <w:rFonts w:ascii="Arial" w:cs="Arial" w:eastAsia="Arial" w:hAnsi="Arial"/>
          <w:b/>
          <w:bCs/>
          <w:color w:val="14181D"/>
          <w:sz w:val="20"/>
          <w:szCs w:val="20"/>
        </w:rPr>
        <w:t xml:space="preserve">Says:</w:t>
      </w:r>
      <w:r>
        <w:rPr>
          <w:rFonts w:ascii="Arial" w:cs="Arial" w:eastAsia="Arial" w:hAnsi="Arial"/>
          <w:color w:val="14181D"/>
          <w:sz w:val="20"/>
          <w:szCs w:val="20"/>
        </w:rPr>
        <w:t xml:space="preserve"> supplier introductions go to scm@macegroup.com, not info@. All new introductions are reviewed for a current or future need; where one exists, the details are passed to the relevant person in Mace. </w:t>
      </w:r>
      <w:r>
        <w:rPr>
          <w:rFonts w:ascii="Arial" w:cs="Arial" w:eastAsia="Arial" w:hAnsi="Arial"/>
          <w:b/>
          <w:bCs/>
          <w:color w:val="14181D"/>
          <w:sz w:val="20"/>
          <w:szCs w:val="20"/>
        </w:rPr>
        <w:t xml:space="preserve">Date:</w:t>
      </w:r>
      <w:r>
        <w:rPr>
          <w:rFonts w:ascii="Arial" w:cs="Arial" w:eastAsia="Arial" w:hAnsi="Arial"/>
          <w:color w:val="14181D"/>
          <w:sz w:val="20"/>
          <w:szCs w:val="20"/>
        </w:rPr>
        <w:t xml:space="preserve"> 15 October 2026</w:t>
      </w:r>
    </w:p>
    <w:p>
      <w:pPr>
        <w:spacing w:after="90" w:before="90" w:line="280"/>
      </w:pPr>
      <w:r>
        <w:rPr>
          <w:rFonts w:ascii="Arial" w:cs="Arial" w:eastAsia="Arial" w:hAnsi="Arial"/>
          <w:color w:val="14181D"/>
          <w:sz w:val="20"/>
          <w:szCs w:val="20"/>
        </w:rPr>
        <w:t xml:space="preserve">She has done the one useful thing a switchboard can do: named the right address and described how the assessment works. Two replies follow — a short thank you to her, and the introduction itself, which is the one that matters.</w:t>
      </w:r>
    </w:p>
    <w:p>
      <w:pPr>
        <w:pStyle w:val="Heading1"/>
        <w:keepNext/>
        <w:pBdr>
          <w:bottom w:val="single" w:color="9C7A3C" w:sz="8" w:space="6"/>
        </w:pBdr>
        <w:spacing w:after="150" w:before="380"/>
      </w:pPr>
      <w:r>
        <w:rPr>
          <w:rFonts w:ascii="Arial" w:cs="Arial" w:eastAsia="Arial" w:hAnsi="Arial"/>
          <w:b/>
          <w:bCs/>
          <w:color w:val="14181D"/>
          <w:sz w:val="26"/>
          <w:szCs w:val="26"/>
        </w:rPr>
        <w:t xml:space="preserve">1. The reply to Diana</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Subject: Re: Supplier introduction</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Dear Diana,</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Thank you — that is exactly what I needed, and it saves me guessing. I will send our introduction to scm@macegroup.com today and keep info@ for general queries only.</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I appreciate you taking the time to point me the right way.</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Kind regards,</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Justin Ngolu Nseya MCIOB Managing Director, ETABLIX Limited</w:t>
      </w:r>
    </w:p>
    <w:p>
      <w:pPr>
        <w:pStyle w:val="Heading1"/>
        <w:keepNext/>
        <w:pBdr>
          <w:bottom w:val="single" w:color="9C7A3C" w:sz="8" w:space="6"/>
        </w:pBdr>
        <w:spacing w:after="150" w:before="380"/>
      </w:pPr>
      <w:r>
        <w:rPr>
          <w:rFonts w:ascii="Arial" w:cs="Arial" w:eastAsia="Arial" w:hAnsi="Arial"/>
          <w:b/>
          <w:bCs/>
          <w:color w:val="14181D"/>
          <w:sz w:val="26"/>
          <w:szCs w:val="26"/>
        </w:rPr>
        <w:t xml:space="preserve">2. The introduction to scm@macegroup.com</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Subject: Supplier introduction — site establishment and workforce accommodation (ETABLIX Limited)</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Dear Supply Chain Management team,</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I am the Managing Director of ETABLIX Limited, a UK company working on site establishment for infrastructure and construction: the temporary system a project runs on, taken as one accountable scope rather than as ten separate packages.</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The category, so this can be filed correctly. Site set-up and site services — compound and welfare, temporary power and utilities, security, waste, catering, workforce accommodation, logistics and transport, and demobilisation and reinstatement.</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What we do with it. Define the requirement to contractor standard, procure the packages, control the interfaces between suppliers, and hold performance and evidence through to handback. Delivery is led by senior construction professionals.</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Three ways to engage, so you can place us against whichever suits a given project:</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1. Advisory — we write the strategy, output specification, package boundaries and tender documents. Mace contracts with every supplier and keeps full contracting control. Fixed scope, fixed fee. 2. Management Integrator — Mace contracts directly with each supplier and we run the procurement, mobilisation, interfaces, commercial administration and supplier performance. ETABLIX never holds your supply-chain money. 3. Prime Service Contractor — where it suits the project, we contract the supply chain and carry single-point accountability for the whole temporary scope from mobilisation to reinstatement.</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We are most useful where a project has a large multi-package site establishment or a workforce accommodation requirement, and where the interfaces between those suppliers — rather than any one of them — are the risk to mobilisation.</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I am happy to complete whatever prequalification you use and to provide company information and policies in whatever form your process needs. If there is no current need, I would be glad to be held on file against a future one.</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Kind regards,</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Justin Ngolu Nseya MCIOB Managing Director, ETABLIX Limited contact@etablix.com · etablix.com</w:t>
      </w:r>
    </w:p>
    <w:p>
      <w:pPr>
        <w:pStyle w:val="Heading1"/>
        <w:keepNext/>
        <w:pBdr>
          <w:bottom w:val="single" w:color="9C7A3C" w:sz="8" w:space="6"/>
        </w:pBdr>
        <w:spacing w:after="150" w:before="380"/>
      </w:pPr>
      <w:r>
        <w:rPr>
          <w:rFonts w:ascii="Arial" w:cs="Arial" w:eastAsia="Arial" w:hAnsi="Arial"/>
          <w:b/>
          <w:bCs/>
          <w:color w:val="14181D"/>
          <w:sz w:val="26"/>
          <w:szCs w:val="26"/>
        </w:rPr>
        <w:t xml:space="preserve">Why the introduction is written this way</w:t>
      </w:r>
    </w:p>
    <w:p>
      <w:pPr>
        <w:spacing w:after="90" w:before="90" w:line="280"/>
      </w:pPr>
      <w:r>
        <w:rPr>
          <w:rFonts w:ascii="Arial" w:cs="Arial" w:eastAsia="Arial" w:hAnsi="Arial"/>
          <w:b/>
          <w:bCs/>
          <w:color w:val="14181D"/>
          <w:sz w:val="20"/>
          <w:szCs w:val="20"/>
        </w:rPr>
        <w:t xml:space="preserve">It is short, and it is built to be routed.</w:t>
      </w:r>
      <w:r>
        <w:rPr>
          <w:rFonts w:ascii="Arial" w:cs="Arial" w:eastAsia="Arial" w:hAnsi="Arial"/>
          <w:color w:val="14181D"/>
          <w:sz w:val="20"/>
          <w:szCs w:val="20"/>
        </w:rPr>
        <w:t xml:space="preserve"> Diana described the process: somebody reads it, decides whether there is a need, and forwards it to the relevant person. That reader is sorting, not buying. So the category line comes second, in their vocabulary rather than ours, and the three models are one line each — a person deciding where to send this should be able to do it in twenty seconds without reading the whole thing.</w:t>
      </w:r>
    </w:p>
    <w:p>
      <w:pPr>
        <w:spacing w:after="90" w:before="90" w:line="280"/>
      </w:pPr>
      <w:r>
        <w:rPr>
          <w:rFonts w:ascii="Arial" w:cs="Arial" w:eastAsia="Arial" w:hAnsi="Arial"/>
          <w:b/>
          <w:bCs/>
          <w:color w:val="14181D"/>
          <w:sz w:val="20"/>
          <w:szCs w:val="20"/>
        </w:rPr>
        <w:t xml:space="preserve">Three models, not one.</w:t>
      </w:r>
      <w:r>
        <w:rPr>
          <w:rFonts w:ascii="Arial" w:cs="Arial" w:eastAsia="Arial" w:hAnsi="Arial"/>
          <w:color w:val="14181D"/>
          <w:sz w:val="20"/>
          <w:szCs w:val="20"/>
        </w:rPr>
        <w:t xml:space="preserve"> For a tier-one contractor all three are plausible and which one fits is a project-by-project question, so presenting only one would invite the wrong no. Advisory is listed first because it is the easiest thing for a main contractor to buy: no supply-chain contract changes hands.</w:t>
      </w:r>
    </w:p>
    <w:p>
      <w:pPr>
        <w:spacing w:after="90" w:before="90" w:line="280"/>
      </w:pPr>
      <w:r>
        <w:rPr>
          <w:rFonts w:ascii="Arial" w:cs="Arial" w:eastAsia="Arial" w:hAnsi="Arial"/>
          <w:b/>
          <w:bCs/>
          <w:color w:val="14181D"/>
          <w:sz w:val="20"/>
          <w:szCs w:val="20"/>
        </w:rPr>
        <w:t xml:space="preserve">The "never holds your money" line earns its place.</w:t>
      </w:r>
      <w:r>
        <w:rPr>
          <w:rFonts w:ascii="Arial" w:cs="Arial" w:eastAsia="Arial" w:hAnsi="Arial"/>
          <w:color w:val="14181D"/>
          <w:sz w:val="20"/>
          <w:szCs w:val="20"/>
        </w:rPr>
        <w:t xml:space="preserve"> It is the single sentence that distinguishes Model 02 from an ordinary intermediary, and it answers the first objection a commercial reader raises before they raise it.</w:t>
      </w:r>
    </w:p>
    <w:p>
      <w:pPr>
        <w:spacing w:after="90" w:before="90" w:line="280"/>
      </w:pPr>
      <w:r>
        <w:rPr>
          <w:rFonts w:ascii="Arial" w:cs="Arial" w:eastAsia="Arial" w:hAnsi="Arial"/>
          <w:b/>
          <w:bCs/>
          <w:color w:val="14181D"/>
          <w:sz w:val="20"/>
          <w:szCs w:val="20"/>
        </w:rPr>
        <w:t xml:space="preserve">What it carefully does not say.</w:t>
      </w:r>
      <w:r>
        <w:rPr>
          <w:rFonts w:ascii="Arial" w:cs="Arial" w:eastAsia="Arial" w:hAnsi="Arial"/>
          <w:color w:val="14181D"/>
          <w:sz w:val="20"/>
          <w:szCs w:val="20"/>
        </w:rPr>
        <w:t xml:space="preserve"> No accreditation is claimed — ETABLIX holds no ISO certification and no SSIP registration, and the letter does not gesture at either. </w:t>
      </w:r>
      <w:r>
        <w:rPr>
          <w:rFonts w:ascii="Arial" w:cs="Arial" w:eastAsia="Arial" w:hAnsi="Arial"/>
          <w:b/>
          <w:bCs/>
          <w:color w:val="14181D"/>
          <w:sz w:val="20"/>
          <w:szCs w:val="20"/>
        </w:rPr>
        <w:t xml:space="preserve">No insurance is implied</w:t>
      </w:r>
      <w:r>
        <w:rPr>
          <w:rFonts w:ascii="Arial" w:cs="Arial" w:eastAsia="Arial" w:hAnsi="Arial"/>
          <w:color w:val="14181D"/>
          <w:sz w:val="20"/>
          <w:szCs w:val="20"/>
        </w:rPr>
        <w:t xml:space="preserve">: the line is that policies and company information will be provided in whatever form the process needs, not that particular cover is in place today. No price. No client, scheme or former employer is named, and nothing suggests a reference that cannot be given. No curriculum vitae is attached and the director is not described as available — this is a company introducing a service, not a person looking for a role. Nothing implies a Principal Contractor or Principal Designer appointment under CDM 2015.</w:t>
      </w:r>
    </w:p>
    <w:p>
      <w:pPr>
        <w:spacing w:after="90" w:before="90" w:line="280"/>
      </w:pPr>
      <w:r>
        <w:rPr>
          <w:rFonts w:ascii="Arial" w:cs="Arial" w:eastAsia="Arial" w:hAnsi="Arial"/>
          <w:b/>
          <w:bCs/>
          <w:color w:val="14181D"/>
          <w:sz w:val="20"/>
          <w:szCs w:val="20"/>
        </w:rPr>
        <w:t xml:space="preserve">And it closes on the realistic outcome.</w:t>
      </w:r>
      <w:r>
        <w:rPr>
          <w:rFonts w:ascii="Arial" w:cs="Arial" w:eastAsia="Arial" w:hAnsi="Arial"/>
          <w:color w:val="14181D"/>
          <w:sz w:val="20"/>
          <w:szCs w:val="20"/>
        </w:rPr>
        <w:t xml:space="preserve"> Diana said introductions are assessed against current or future need. Asking to be held on file against a future one costs nothing, matches what she actually described, and is far more likely to be granted than a meeting.</w:t>
      </w:r>
    </w:p>
    <w:sectPr>
      <w:headerReference w:type="default" r:id="rId6"/>
      <w:footerReference w:type="default" r:id="rId7"/>
      <w:pgSz w:w="11906" w:h="16838" w:orient="portrait"/>
      <w:pgMar w:top="1100" w:right="1100" w:bottom="1100" w:left="11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B6672"/>
        <w:sz w:val="14"/>
        <w:szCs w:val="14"/>
      </w:rPr>
      <w:t xml:space="preserve">JNN GLOBAL LTD · 15405437          </w:t>
    </w:r>
    <w:r>
      <w:rPr>
        <w:rFonts w:ascii="Arial" w:cs="Arial" w:eastAsia="Arial" w:hAnsi="Arial"/>
        <w:color w:val="5B6672"/>
        <w:sz w:val="14"/>
        <w:szCs w:val="14"/>
      </w:rPr>
      <w:fldChar w:fldCharType="begin"/>
      <w:instrText xml:space="preserve">PAGE</w:instrText>
      <w:fldChar w:fldCharType="separate"/>
      <w:fldChar w:fldCharType="end"/>
    </w:r>
    <w:r>
      <w:rPr>
        <w:rFonts w:ascii="Arial" w:cs="Arial" w:eastAsia="Arial" w:hAnsi="Arial"/>
        <w:color w:val="5B6672"/>
        <w:sz w:val="14"/>
        <w:szCs w:val="14"/>
      </w:rPr>
      <w:t xml:space="preserve"> of </w:t>
    </w:r>
    <w:r>
      <w:rPr>
        <w:rFonts w:ascii="Arial" w:cs="Arial" w:eastAsia="Arial" w:hAnsi="Arial"/>
        <w:color w:val="5B6672"/>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FE6D2" w:sz="4" w:space="4"/>
      </w:pBdr>
      <w:jc w:val="right"/>
    </w:pPr>
    <w:r>
      <w:rPr>
        <w:rFonts w:ascii="Arial" w:cs="Arial" w:eastAsia="Arial" w:hAnsi="Arial"/>
        <w:color w:val="5B6672"/>
        <w:sz w:val="14"/>
        <w:szCs w:val="14"/>
      </w:rPr>
      <w:t xml:space="preserve">ETABLIX · Mace Group — the switchboard reply, and the introduction it points to · Rev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00"/>
      </w:pPr>
      <w:rPr>
        <w:rFonts w:ascii="Arial" w:cs="Arial" w:eastAsia="Arial" w:hAnsi="Arial"/>
        <w:b/>
        <w:bCs/>
        <w:color w:val="9C7A3C"/>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181D"/>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MACE GROUP — THE SWITCHBOARD REPLY, AND THE INTRODUCTION IT POINTS TO</dc:title>
  <dc:creator>ETABLIX — Integrated Site Services</dc:creator>
  <dc:description>ETABLIX MACE GROUP — THE SWITCHBOARD REPLY, AND THE INTRODUCTION IT POINTS TO</dc:description>
  <cp:lastModifiedBy>Un-named</cp:lastModifiedBy>
  <cp:revision>1</cp:revision>
  <dcterms:created xsi:type="dcterms:W3CDTF">2026-10-15T16:03:21.316Z</dcterms:created>
  <dcterms:modified xsi:type="dcterms:W3CDTF">2026-10-15T16:03:21.316Z</dcterms:modified>
</cp:coreProperties>
</file>

<file path=docProps/custom.xml><?xml version="1.0" encoding="utf-8"?>
<Properties xmlns="http://schemas.openxmlformats.org/officeDocument/2006/custom-properties" xmlns:vt="http://schemas.openxmlformats.org/officeDocument/2006/docPropsVTypes"/>
</file>