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ETABLIX · INTEGRATED SITE SERVICES</w:t>
      </w:r>
    </w:p>
    <w:p>
      <w:pPr>
        <w:spacing w:after="0" w:before="0"/>
      </w:pPr>
      <w:r>
        <w:rPr>
          <w:rFonts w:ascii="Arial" w:cs="Arial" w:eastAsia="Arial" w:hAnsi="Arial"/>
          <w:b/>
          <w:bCs/>
          <w:color w:val="14181D"/>
          <w:sz w:val="44"/>
          <w:szCs w:val="44"/>
        </w:rPr>
        <w:t xml:space="preserve">COMPANY PROFILE</w:t>
      </w:r>
    </w:p>
    <w:p>
      <w:pPr>
        <w:spacing w:after="420" w:before="60"/>
      </w:pPr>
      <w:r>
        <w:rPr>
          <w:rFonts w:ascii="Arial" w:cs="Arial" w:eastAsia="Arial" w:hAnsi="Arial"/>
          <w:color w:val="5B6672"/>
          <w:sz w:val="26"/>
          <w:szCs w:val="26"/>
        </w:rPr>
        <w:t xml:space="preserve">one contract, one programme, one budget for the whole temporary site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Registered</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England and Wales · Company No. 15405437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Registered office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Groupe Nseya House, Kingstanding, Birmingham B44 8DJ, United Kingdom</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Contact</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Managing Director · [email] · [telephone]</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Web</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etablix.com</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profile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problem</w:t>
      </w:r>
    </w:p>
    <w:p>
      <w:pPr>
        <w:spacing w:after="90" w:before="90" w:line="280"/>
      </w:pPr>
      <w:r>
        <w:rPr>
          <w:rFonts w:ascii="Arial" w:cs="Arial" w:eastAsia="Arial" w:hAnsi="Arial"/>
          <w:b/>
          <w:bCs/>
          <w:color w:val="14181D"/>
          <w:sz w:val="20"/>
          <w:szCs w:val="20"/>
        </w:rPr>
        <w:t xml:space="preserve">On a major project the permanent works have an owner, a designer, a programme and a budget somebody defends. The temporary site does not. </w:t>
      </w:r>
      <w:r>
        <w:rPr>
          <w:rFonts w:ascii="Arial" w:cs="Arial" w:eastAsia="Arial" w:hAnsi="Arial"/>
          <w:color w:val="14181D"/>
          <w:sz w:val="20"/>
          <w:szCs w:val="20"/>
        </w:rPr>
        <w:t xml:space="preserve">The compound, welfare, temporary power and water, access, laydown, logistics, waste, security and workforce accommodation end up as twenty or more separate subcontracts — none of them the work the contractor was appointed to do, all of them consuming the attention of the people who should be building.</w:t>
      </w:r>
    </w:p>
    <w:p>
      <w:pPr>
        <w:spacing w:after="90" w:before="90" w:line="280"/>
      </w:pPr>
      <w:r>
        <w:rPr>
          <w:rFonts w:ascii="Arial" w:cs="Arial" w:eastAsia="Arial" w:hAnsi="Arial"/>
          <w:color w:val="14181D"/>
          <w:sz w:val="20"/>
          <w:szCs w:val="20"/>
        </w:rPr>
        <w:t xml:space="preserve">The cost is set at bid stage from the last project's rates, by somebody who will not run this one, and tested for the first time in the week the site opens. On a large programme that is a very large number to leave to inheritance.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ETABLIX does</w:t>
      </w:r>
    </w:p>
    <w:p>
      <w:pPr>
        <w:spacing w:after="90" w:before="90" w:line="280"/>
      </w:pPr>
      <w:r>
        <w:rPr>
          <w:rFonts w:ascii="Arial" w:cs="Arial" w:eastAsia="Arial" w:hAnsi="Arial"/>
          <w:b/>
          <w:bCs/>
          <w:color w:val="14181D"/>
          <w:sz w:val="20"/>
          <w:szCs w:val="20"/>
        </w:rPr>
        <w:t xml:space="preserve">One contract, one programme, one budget and one accountable organisation for the entire temporary site. </w:t>
      </w:r>
      <w:r>
        <w:rPr>
          <w:rFonts w:ascii="Arial" w:cs="Arial" w:eastAsia="Arial" w:hAnsi="Arial"/>
          <w:color w:val="14181D"/>
          <w:sz w:val="20"/>
          <w:szCs w:val="20"/>
        </w:rPr>
        <w:t xml:space="preserve">The contractor gets its senior people back onto the permanent works. The client gets a site cost that was worked out rather than assumed.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tblGrid>
      <w:tr>
        <w:trPr>
          <w:tblHeader/>
        </w:trPr>
        <w:tc>
          <w:tcPr>
            <w:tcW w:type="dxa" w:w="2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SPECIFY</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site establishment requirement, built from the programme, the location and the real workforce — not from a benchmark rate. Compound layout, welfare, temporary power and water, access and haul routes, laydown, logistics, waste, security, accommodation and catering.</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QUANTIFY</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demand model underneath it: people by month, power by phase, water, waste, vehicle movements. A number that can be defended line by line to a client, a lender or an auditor.</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PROCURE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Package scopes, enquiries to a qualified supply chain, like-for-like bid comparison, and an award recommendation with the comparison shown.</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Supplier performance managed against the specification for the life of the programme, reported monthly against the demand model rather than against last month.</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Scope of services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600"/>
      </w:tblGrid>
      <w:tr>
        <w:trPr>
          <w:tblHeader/>
        </w:trPr>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Category</w:t>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Covered</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 establishment</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Compound layout and phasing, offices, stores, laydown, hardstanding, fencing, gates, signage — and demobilisation and reinstatement, priced at the start rather than found at the end.</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Welfare and accommodation</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Canteens, drying rooms, sanitary and medical provision sized to the peak workforce; construction camps and managed accommodation, catering, housekeeping and transport to site.</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Temporary utilities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Power generation or grid connection, distribution, lighting, potable and process water, sewage, telecoms and site-wide connectivity.</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Access and logistics</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Haul roads, wheel wash, traffic management, delivery scheduling, offload and materials handling.</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Security, waste and environment</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Manned guarding, CCTV, perimeter and access control; waste streams and routes, recycling, spill, dust and noise control.</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Where this is worth the most</w:t>
      </w:r>
    </w:p>
    <w:p>
      <w:pPr>
        <w:spacing w:after="90" w:before="90" w:line="280"/>
      </w:pPr>
      <w:r>
        <w:rPr>
          <w:rFonts w:ascii="Arial" w:cs="Arial" w:eastAsia="Arial" w:hAnsi="Arial"/>
          <w:color w:val="14181D"/>
          <w:sz w:val="20"/>
          <w:szCs w:val="20"/>
        </w:rPr>
        <w:t xml:space="preserve">On remote, large and multi-contractor programmes — LNG, power generation, transmission, industrial and data centre construction — three things are true at once, and together they make the temporary site a major project in its own right.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thin local supply chain</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Almost nothing can be procured reactively. What is not planned twelve to eighteen months out arrives late or at cost. Planning it early is the single largest saving available on this kind of site.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workforce beyond the local catchment</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camp becomes a small town: accommodation, catering, water, sewage, medical, transport, security. It is a programme in its own right and it is usually appended to somebody else's scope.</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Several contractors on one site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Shared roads, power, welfare, security and waste. Procured separately by each party they compete for the same regional capacity, and the last to ask pays the most for the least. Procured once, across the site, they do not.</w:t>
            </w:r>
          </w:p>
        </w:tc>
      </w:tr>
    </w:tbl>
    <w:p>
      <w:pPr>
        <w:pStyle w:val="ListParagraph"/>
        <w:numPr>
          <w:ilvl w:val="0"/>
          <w:numId w:val="2"/>
        </w:numPr>
        <w:spacing w:after="50" w:before="50" w:line="280"/>
      </w:pPr>
      <w:r>
        <w:rPr>
          <w:rFonts w:ascii="Arial" w:cs="Arial" w:eastAsia="Arial" w:hAnsi="Arial"/>
          <w:b/>
          <w:bCs/>
          <w:color w:val="14181D"/>
          <w:sz w:val="20"/>
          <w:szCs w:val="20"/>
        </w:rPr>
        <w:t xml:space="preserve">One camp, one power strategy, one logistics plan, one security arrangement — specified once for the whole site. </w:t>
      </w:r>
      <w:r>
        <w:rPr>
          <w:rFonts w:ascii="Arial" w:cs="Arial" w:eastAsia="Arial" w:hAnsi="Arial"/>
          <w:color w:val="14181D"/>
          <w:sz w:val="20"/>
          <w:szCs w:val="20"/>
        </w:rPr>
        <w:t xml:space="preserve">That is the saving that cannot be recovered by negotiation later, because by then five contractors have each procured their own.</w:t>
      </w:r>
    </w:p>
    <w:p>
      <w:pPr>
        <w:pStyle w:val="Heading1"/>
        <w:keepNext/>
        <w:pBdr>
          <w:bottom w:val="single" w:color="9C7A3C" w:sz="8" w:space="6"/>
        </w:pBdr>
        <w:spacing w:after="150" w:before="380"/>
      </w:pPr>
      <w:r>
        <w:rPr>
          <w:rFonts w:ascii="Arial" w:cs="Arial" w:eastAsia="Arial" w:hAnsi="Arial"/>
          <w:b/>
          <w:bCs/>
          <w:color w:val="14181D"/>
          <w:sz w:val="26"/>
          <w:szCs w:val="26"/>
        </w:rPr>
        <w:t xml:space="preserve">How we work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300"/>
      </w:tblGrid>
      <w:tr>
        <w:trPr>
          <w:tblHeader/>
        </w:trPr>
        <w:tc>
          <w:tcPr>
            <w:tcW w:type="dxa" w:w="1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Model</w:t>
            </w:r>
          </w:p>
        </w:tc>
        <w:tc>
          <w:tcPr>
            <w:tcW w:type="dxa" w:w="2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Commercial arrangement</w:t>
            </w:r>
          </w:p>
        </w:tc>
      </w:tr>
      <w:tr>
        <w:tc>
          <w:tcPr>
            <w:tcW w:type="dxa" w:w="1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Advisory</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specifies, quantifies and tenders. The client procures and manages. Fixed fee.</w:t>
            </w:r>
          </w:p>
        </w:tc>
      </w:tr>
      <w:tr>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w:t>
            </w:r>
          </w:p>
        </w:tc>
        <w:tc>
          <w:tcPr>
            <w:tcW w:type="dxa" w:w="2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Management Integrator</w:t>
            </w:r>
          </w:p>
        </w:tc>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specifies, tenders, recommends and manages performance. The client contracts directly with each supplier and pays them directly — ETABLIX holds no supply chain money and takes no supplier margin. Management fee.</w:t>
            </w:r>
          </w:p>
        </w:tc>
      </w:tr>
      <w:tr>
        <w:tc>
          <w:tcPr>
            <w:tcW w:type="dxa" w:w="1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Prime Service Contractor</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 contracts for the whole temporary site as a single package and carries the supply chain. One contract, one point of accountability.</w:t>
            </w:r>
          </w:p>
        </w:tc>
      </w:tr>
    </w:tbl>
    <w:p>
      <w:pPr>
        <w:spacing w:after="90" w:before="90" w:line="280"/>
      </w:pPr>
      <w:r>
        <w:rPr>
          <w:rFonts w:ascii="Arial" w:cs="Arial" w:eastAsia="Arial" w:hAnsi="Arial"/>
          <w:color w:val="14181D"/>
          <w:sz w:val="20"/>
          <w:szCs w:val="20"/>
        </w:rPr>
        <w:t xml:space="preserve">Model B is the usual starting point on a large programme: a single accountable organisation for the site, without moving supply chain risk, and a bid comparison that is genuinely independent because nothing in it is marked up.</w:t>
      </w:r>
    </w:p>
    <w:p>
      <w:pPr>
        <w:pStyle w:val="Heading1"/>
        <w:keepNext/>
        <w:pBdr>
          <w:bottom w:val="single" w:color="9C7A3C" w:sz="8" w:space="6"/>
        </w:pBdr>
        <w:spacing w:after="150" w:before="380"/>
      </w:pPr>
      <w:r>
        <w:rPr>
          <w:rFonts w:ascii="Arial" w:cs="Arial" w:eastAsia="Arial" w:hAnsi="Arial"/>
          <w:b/>
          <w:bCs/>
          <w:color w:val="14181D"/>
          <w:sz w:val="26"/>
          <w:szCs w:val="26"/>
        </w:rPr>
        <w:t xml:space="preserve">Leadership</w:t>
      </w:r>
    </w:p>
    <w:p>
      <w:pPr>
        <w:spacing w:after="90" w:before="90" w:line="280"/>
      </w:pPr>
      <w:r>
        <w:rPr>
          <w:rFonts w:ascii="Arial" w:cs="Arial" w:eastAsia="Arial" w:hAnsi="Arial"/>
          <w:color w:val="14181D"/>
          <w:sz w:val="20"/>
          <w:szCs w:val="20"/>
        </w:rPr>
        <w:t xml:space="preserve">Justin Ngolu Nseya, Managing Director. Chartered Construction Manager (MCIOB), MSc BIM Management, BSc (Hons) Construction Management. Fourteen years in construction and programme delivery with Turner &amp; Townsend, Mott MacDonald, the West Midlands Combined Authority and GE Vernova.</w:t>
      </w:r>
    </w:p>
    <w:p>
      <w:pPr>
        <w:spacing w:after="90" w:before="90" w:line="280"/>
      </w:pPr>
      <w:r>
        <w:rPr>
          <w:rFonts w:ascii="Arial" w:cs="Arial" w:eastAsia="Arial" w:hAnsi="Arial"/>
          <w:b/>
          <w:bCs/>
          <w:color w:val="14181D"/>
          <w:sz w:val="20"/>
          <w:szCs w:val="20"/>
        </w:rPr>
        <w:t xml:space="preserve">The method offered here is the method he ran. </w:t>
      </w:r>
      <w:r>
        <w:rPr>
          <w:rFonts w:ascii="Arial" w:cs="Arial" w:eastAsia="Arial" w:hAnsi="Arial"/>
          <w:color w:val="14181D"/>
          <w:sz w:val="20"/>
          <w:szCs w:val="20"/>
        </w:rPr>
        <w:t xml:space="preserve">At GE Vernova – Grid Solutions he was the single person accountable for planning, procuring, integrating and controlling the temporary infrastructure and workforce-living systems that keep major projects operational. He held it across multiple concurrent sites, from tender stage through to handover, throughout Northern and Southern Europe including the United Kingdom and the Republic of Ireland: one accountable interface from initial requirements and mobilisation, through daily operation, to demobilisation and reinstatement.</w:t>
      </w:r>
    </w:p>
    <w:p>
      <w:pPr>
        <w:spacing w:after="90" w:before="90" w:line="280"/>
      </w:pPr>
      <w:r>
        <w:rPr>
          <w:rFonts w:ascii="Arial" w:cs="Arial" w:eastAsia="Arial" w:hAnsi="Arial"/>
          <w:color w:val="14181D"/>
          <w:sz w:val="20"/>
          <w:szCs w:val="20"/>
        </w:rPr>
        <w:t xml:space="preserve">Work has included the grid connection programme for a 1,400 MW offshore wind farm, high-voltage substation and transmission construction, rail upgrades in live operational environments, and public infrastructure delivered from RIBA stage 0 to handover. He works in English and French.</w:t>
      </w:r>
    </w:p>
    <w:p>
      <w:pPr>
        <w:pStyle w:val="Heading1"/>
        <w:keepNext/>
        <w:pBdr>
          <w:bottom w:val="single" w:color="9C7A3C" w:sz="8" w:space="6"/>
        </w:pBdr>
        <w:spacing w:after="150" w:before="380"/>
      </w:pPr>
      <w:r>
        <w:rPr>
          <w:rFonts w:ascii="Arial" w:cs="Arial" w:eastAsia="Arial" w:hAnsi="Arial"/>
          <w:b/>
          <w:bCs/>
          <w:color w:val="14181D"/>
          <w:sz w:val="26"/>
          <w:szCs w:val="26"/>
        </w:rPr>
        <w:t xml:space="preserve">Working internationally</w:t>
      </w:r>
    </w:p>
    <w:p>
      <w:pPr>
        <w:spacing w:after="90" w:before="90" w:line="280"/>
      </w:pPr>
      <w:r>
        <w:rPr>
          <w:rFonts w:ascii="Arial" w:cs="Arial" w:eastAsia="Arial" w:hAnsi="Arial"/>
          <w:color w:val="14181D"/>
          <w:sz w:val="20"/>
          <w:szCs w:val="20"/>
        </w:rPr>
        <w:t xml:space="preserve">ETABLIX is a United Kingdom company and works through established local partners outside the UK. The partner brings entity, licences, people, plant and local supply chain; ETABLIX brings the specification, the demand model, the procurement discipline and the reporting. Local delivery stays in local hands; the site cost stays under one method.</w:t>
      </w:r>
    </w:p>
    <w:p>
      <w:pPr>
        <w:pStyle w:val="Heading1"/>
        <w:keepNext/>
        <w:pBdr>
          <w:bottom w:val="single" w:color="9C7A3C" w:sz="8" w:space="6"/>
        </w:pBdr>
        <w:spacing w:after="150" w:before="380"/>
      </w:pPr>
      <w:r>
        <w:rPr>
          <w:rFonts w:ascii="Arial" w:cs="Arial" w:eastAsia="Arial" w:hAnsi="Arial"/>
          <w:b/>
          <w:bCs/>
          <w:color w:val="14181D"/>
          <w:sz w:val="26"/>
          <w:szCs w:val="26"/>
        </w:rPr>
        <w:t xml:space="preserve">Next step</w:t>
      </w:r>
    </w:p>
    <w:p>
      <w:pPr>
        <w:spacing w:after="90" w:before="90" w:line="280"/>
      </w:pPr>
      <w:r>
        <w:rPr>
          <w:rFonts w:ascii="Arial" w:cs="Arial" w:eastAsia="Arial" w:hAnsi="Arial"/>
          <w:color w:val="14181D"/>
          <w:sz w:val="20"/>
          <w:szCs w:val="20"/>
        </w:rPr>
        <w:t xml:space="preserve">A thirty-minute call, and if it is useful, a single site taken as a first piece of work: a fixed scope, a fixed duration and a written report on what the site establishment should cost and why. It is deliberately small, because it is the quickest way for both sides to judge the method on something real.</w:t>
      </w:r>
    </w:p>
    <w:p>
      <w:pPr>
        <w:spacing w:after="90" w:before="90" w:line="280"/>
        <w:ind w:left="170"/>
      </w:pPr>
      <w:r>
        <w:rPr>
          <w:rFonts w:ascii="Arial" w:cs="Arial" w:eastAsia="Arial" w:hAnsi="Arial"/>
          <w:i/>
          <w:iCs/>
          <w:color w:val="5B6672"/>
          <w:sz w:val="19"/>
          <w:szCs w:val="19"/>
        </w:rPr>
        <w:t xml:space="preserve">[Director name] · [email] · [telephone] · etablix.com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ETABLIX — company profile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creator>ETABLIX — Integrated Site Services</dc:creator>
  <dc:description>ETABLIX COMPANY PROFILE</dc:description>
  <cp:lastModifiedBy>Un-named</cp:lastModifiedBy>
  <cp:revision>1</cp:revision>
  <dcterms:created xsi:type="dcterms:W3CDTF">2026-09-30T09:41:51.260Z</dcterms:created>
  <dcterms:modified xsi:type="dcterms:W3CDTF">2026-09-30T09:41:51.260Z</dcterms:modified>
</cp:coreProperties>
</file>

<file path=docProps/custom.xml><?xml version="1.0" encoding="utf-8"?>
<Properties xmlns="http://schemas.openxmlformats.org/officeDocument/2006/custom-properties" xmlns:vt="http://schemas.openxmlformats.org/officeDocument/2006/docPropsVTypes"/>
</file>