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Submitted for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the DPS, framework or category applied for]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statement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the dates are stated, and referees are offered at section 5 who can confirm the role and the scope from the other side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what is being applied for rather than by date. The full chronology is at section 4.</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bl>
    <w:p>
      <w:pPr>
        <w:spacing w:after="90" w:before="90" w:line="280"/>
        <w:ind w:left="170"/>
      </w:pPr>
      <w:r>
        <w:rPr>
          <w:rFonts w:ascii="Arial" w:cs="Arial" w:eastAsia="Arial" w:hAnsi="Arial"/>
          <w:i/>
          <w:iCs/>
          <w:color w:val="5B6672"/>
          <w:sz w:val="19"/>
          <w:szCs w:val="19"/>
        </w:rPr>
        <w:t xml:space="preserve">Delete any row above that is not relevant to the specific categories applied for. The assessment team's test is relevance, not length, and a row that does not answer the category weakens the rows that do.</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is offered with a referee who can confirm it.</w:t>
      </w:r>
    </w:p>
    <w:p>
      <w:pPr>
        <w:pStyle w:val="Heading2"/>
        <w:keepNext/>
        <w:spacing w:after="110" w:before="260"/>
      </w:pPr>
      <w:r>
        <w:rPr>
          <w:rFonts w:ascii="Arial" w:cs="Arial" w:eastAsia="Arial" w:hAnsi="Arial"/>
          <w:b/>
          <w:bCs/>
          <w:color w:val="9C7A3C"/>
          <w:sz w:val="21"/>
          <w:szCs w:val="21"/>
        </w:rPr>
        <w:t xml:space="preserve">4.1  Sofia Offshore Wind Farm — grid connection, 1,400 MW</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Style w:val="Heading2"/>
        <w:keepNext/>
        <w:spacing w:after="110" w:before="260"/>
      </w:pPr>
      <w:r>
        <w:rPr>
          <w:rFonts w:ascii="Arial" w:cs="Arial" w:eastAsia="Arial" w:hAnsi="Arial"/>
          <w:b/>
          <w:bCs/>
          <w:color w:val="9C7A3C"/>
          <w:sz w:val="21"/>
          <w:szCs w:val="21"/>
        </w:rPr>
        <w:t xml:space="preserve">4.2  Midland Main Line Upgrade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Senior Project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2018 – Nov 2021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Style w:val="Heading2"/>
        <w:keepNext/>
        <w:spacing w:after="110" w:before="260"/>
      </w:pPr>
      <w:r>
        <w:rPr>
          <w:rFonts w:ascii="Arial" w:cs="Arial" w:eastAsia="Arial" w:hAnsi="Arial"/>
          <w:b/>
          <w:bCs/>
          <w:color w:val="9C7A3C"/>
          <w:sz w:val="21"/>
          <w:szCs w:val="21"/>
        </w:rPr>
        <w:t xml:space="preserve">4.3  [Third scheme — choose the one closest to the categories applied for]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Scope personally accountable for</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to eight bullets. Only what you were personally accountable for. Use the verb you actually did — specified, procured, negotiated, managed, closed out — not 'was involved in'. If a reader could not tell whether you led it or watched it, rewrite it.]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What was different because you did it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four quantity rows are the ones an assessor weighs and the ones nobody else can supply. A scheme entry without them reads as a job description; with them it reads as a record.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Each referee has been approached in advance and has agreed to respond. Client-side counterparts are offered where available: they observed the work from the other side of the table, they carry no conflict, and they are not a former employer's staff.</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2400"/>
        <w:gridCol w:w="2500"/>
      </w:tblGrid>
      <w:tr>
        <w:trPr>
          <w:tblHeader/>
        </w:trPr>
        <w:tc>
          <w:tcPr>
            <w:tcW w:type="dxa" w:w="1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Name and position</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Organisation and scheme</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 and date agreed</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bl>
    <w:p>
      <w:pPr>
        <w:spacing w:after="90" w:before="90" w:line="280"/>
      </w:pPr>
      <w:r>
        <w:rPr>
          <w:rFonts w:ascii="Arial" w:cs="Arial" w:eastAsia="Arial" w:hAnsi="Arial"/>
          <w:b/>
          <w:bCs/>
          <w:color w:val="14181D"/>
          <w:sz w:val="20"/>
          <w:szCs w:val="20"/>
        </w:rPr>
        <w:t xml:space="preserve">What the referees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spacing w:after="90" w:before="90" w:line="280"/>
        <w:ind w:left="170"/>
      </w:pPr>
      <w:r>
        <w:rPr>
          <w:rFonts w:ascii="Arial" w:cs="Arial" w:eastAsia="Arial" w:hAnsi="Arial"/>
          <w:i/>
          <w:iCs/>
          <w:color w:val="5B6672"/>
          <w:sz w:val="19"/>
          <w:szCs w:val="19"/>
        </w:rPr>
        <w:t xml:space="preserve">Ask every referee before naming them. A referee telephoned cold gives a lukewarm answer, and a lukewarm reference is worse than a missing one. Record the date each agreed.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construction and programme management —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spacing w:after="90" w:before="90" w:line="280"/>
        <w:ind w:left="170"/>
      </w:pPr>
      <w:r>
        <w:rPr>
          <w:rFonts w:ascii="Arial" w:cs="Arial" w:eastAsia="Arial" w:hAnsi="Arial"/>
          <w:i/>
          <w:iCs/>
          <w:color w:val="5B6672"/>
          <w:sz w:val="19"/>
          <w:szCs w:val="19"/>
        </w:rPr>
        <w:t xml:space="preserve">Add anything else that is true of the specific categories applied for. Resist stopping the list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2026-09-30T09:27:22.865Z</dcterms:created>
  <dcterms:modified xsi:type="dcterms:W3CDTF">2026-09-30T09:27:22.866Z</dcterms:modified>
</cp:coreProperties>
</file>

<file path=docProps/custom.xml><?xml version="1.0" encoding="utf-8"?>
<Properties xmlns="http://schemas.openxmlformats.org/officeDocument/2006/custom-properties" xmlns:vt="http://schemas.openxmlformats.org/officeDocument/2006/docPropsVTypes"/>
</file>