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STANDING RULE — NO AI LANGUAGE IN ANYTHING A CUSTOMER READS</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Standing rule — no AI language in anything a customer reads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business/marketing/NO-AI-IN-CUSTOMER-COPY.md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Set 13 October 2026, by the director, after reading the What We Offer page.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"Noone in construction will buy a service generated by AI, this is a very sceptical industry."</w:t>
      </w:r>
    </w:p>
    <w:p>
      <w:pPr>
        <w:spacing w:after="90" w:before="90" w:line="280"/>
      </w:pPr>
      <w:r>
        <w:rPr>
          <w:rFonts w:ascii="Arial" w:cs="Arial" w:eastAsia="Arial" w:hAnsi="Arial"/>
          <w:color w:val="14181D"/>
          <w:sz w:val="20"/>
          <w:szCs w:val="20"/>
        </w:rPr>
        <w:t xml:space="preserve">And, on the same day, the half that matters just as much:</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didn't say we will not work on AI. AI is the core of our work but don't mention that as make it to the public to see these are humans professional work not ai generated."</w:t>
      </w:r>
    </w:p>
    <w:p>
      <w:pPr>
        <w:spacing w:after="90" w:before="90" w:line="280"/>
      </w:pPr>
      <w:r>
        <w:rPr>
          <w:rFonts w:ascii="Arial" w:cs="Arial" w:eastAsia="Arial" w:hAnsi="Arial"/>
          <w:color w:val="14181D"/>
          <w:sz w:val="20"/>
          <w:szCs w:val="20"/>
        </w:rPr>
        <w:t xml:space="preserve">He is right, and the reasoning matters more than the rule. A Project Director deciding whether to hand over the site establishment is not buying software. He is buying somebody who will answer the telephone when the welfare has not arrived and the crew is standing in a field. Copy that says a document was </w:t>
      </w:r>
      <w:r>
        <w:rPr>
          <w:rFonts w:ascii="Arial" w:cs="Arial" w:eastAsia="Arial" w:hAnsi="Arial"/>
          <w:i/>
          <w:iCs/>
          <w:color w:val="14181D"/>
          <w:sz w:val="20"/>
          <w:szCs w:val="20"/>
        </w:rPr>
        <w:t xml:space="preserve">assembled by a named agent</w:t>
      </w:r>
      <w:r>
        <w:rPr>
          <w:rFonts w:ascii="Arial" w:cs="Arial" w:eastAsia="Arial" w:hAnsi="Arial"/>
          <w:color w:val="14181D"/>
          <w:sz w:val="20"/>
          <w:szCs w:val="20"/>
        </w:rPr>
        <w:t xml:space="preserve"> tells him there is nobody to ring.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This is a rule about presentation, not about capability</w:t>
      </w:r>
    </w:p>
    <w:p>
      <w:pPr>
        <w:spacing w:after="90" w:before="90" w:line="280"/>
      </w:pPr>
      <w:r>
        <w:rPr>
          <w:rFonts w:ascii="Arial" w:cs="Arial" w:eastAsia="Arial" w:hAnsi="Arial"/>
          <w:b/>
          <w:bCs/>
          <w:color w:val="14181D"/>
          <w:sz w:val="20"/>
          <w:szCs w:val="20"/>
        </w:rPr>
        <w:t xml:space="preserve">Nothing here removes, reduces or discourages the use of AI in the work.</w:t>
      </w:r>
      <w:r>
        <w:rPr>
          <w:rFonts w:ascii="Arial" w:cs="Arial" w:eastAsia="Arial" w:hAnsi="Arial"/>
          <w:color w:val="14181D"/>
          <w:sz w:val="20"/>
          <w:szCs w:val="20"/>
        </w:rPr>
        <w:t xml:space="preserve"> It stays core. The internal console, the engine registry, the pipeline agents, the model routing and the ACU accounting all keep their names and their function, because nobody is sold to from a console. What changes is only what a customer reads.</w:t>
      </w:r>
    </w:p>
    <w:p>
      <w:pPr>
        <w:spacing w:after="90" w:before="90" w:line="280"/>
      </w:pPr>
      <w:r>
        <w:rPr>
          <w:rFonts w:ascii="Arial" w:cs="Arial" w:eastAsia="Arial" w:hAnsi="Arial"/>
          <w:b/>
          <w:bCs/>
          <w:color w:val="14181D"/>
          <w:sz w:val="20"/>
          <w:szCs w:val="20"/>
        </w:rPr>
        <w:t xml:space="preserve">The line is: public and customer-facing copy, versus internal tooling.</w:t>
      </w:r>
      <w:r>
        <w:rPr>
          <w:rFonts w:ascii="Arial" w:cs="Arial" w:eastAsia="Arial" w:hAnsi="Arial"/>
          <w:color w:val="14181D"/>
          <w:sz w:val="20"/>
          <w:szCs w:val="20"/>
        </w:rPr>
        <w:t xml:space="preserve"> A buyer reading the website, a Project Director reading a Diagnostic, a bid evaluator reading a return and a subcontractor reading a registration page see human professional work with a named person accountable for it, which is the truth. An ETABLIX operator sees the tooling by its real name, which is also the truth.</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one line this rule does not cross</w:t>
      </w:r>
    </w:p>
    <w:p>
      <w:pPr>
        <w:spacing w:after="90" w:before="90" w:line="280"/>
      </w:pPr>
      <w:r>
        <w:rPr>
          <w:rFonts w:ascii="Arial" w:cs="Arial" w:eastAsia="Arial" w:hAnsi="Arial"/>
          <w:b/>
          <w:bCs/>
          <w:color w:val="14181D"/>
          <w:sz w:val="20"/>
          <w:szCs w:val="20"/>
        </w:rPr>
        <w:t xml:space="preserve">Never state or imply that AI was not used.</w:t>
      </w:r>
      <w:r>
        <w:rPr>
          <w:rFonts w:ascii="Arial" w:cs="Arial" w:eastAsia="Arial" w:hAnsi="Arial"/>
          <w:color w:val="14181D"/>
          <w:sz w:val="20"/>
          <w:szCs w:val="20"/>
        </w:rPr>
        <w:t xml:space="preserve"> Omission is marketing; a denial is a false statement, and in a bid return or a prequalification answer it is a false declaration.</w:t>
      </w:r>
    </w:p>
    <w:p>
      <w:pPr>
        <w:spacing w:after="90" w:before="90" w:line="280"/>
      </w:pPr>
      <w:r>
        <w:rPr>
          <w:rFonts w:ascii="Arial" w:cs="Arial" w:eastAsia="Arial" w:hAnsi="Arial"/>
          <w:color w:val="14181D"/>
          <w:sz w:val="20"/>
          <w:szCs w:val="20"/>
        </w:rPr>
        <w:t xml:space="preserve">Public-sector and tier-one buyers increasingly ask the question directly — in a PQQ, a DPS questionnaire, an assurance schedule or an information-security annex. </w:t>
      </w:r>
      <w:r>
        <w:rPr>
          <w:rFonts w:ascii="Arial" w:cs="Arial" w:eastAsia="Arial" w:hAnsi="Arial"/>
          <w:b/>
          <w:bCs/>
          <w:color w:val="14181D"/>
          <w:sz w:val="20"/>
          <w:szCs w:val="20"/>
        </w:rPr>
        <w:t xml:space="preserve">When asked, answer truthfully</w:t>
      </w:r>
      <w:r>
        <w:rPr>
          <w:rFonts w:ascii="Arial" w:cs="Arial" w:eastAsia="Arial" w:hAnsi="Arial"/>
          <w:color w:val="14181D"/>
          <w:sz w:val="20"/>
          <w:szCs w:val="20"/>
        </w:rPr>
        <w:t xml:space="preserve">, and answer it the strong way: AI is used in production, no output reaches a client without a named construction professional approving it, no tool decides a commercial position, accepts a risk, signs a document or speaks for ETABLIX, and the deterministic engines produce the findings that any report presents. That answer wins marks. A denial that later surfaces loses the framework and the reputation with it.</w:t>
      </w:r>
    </w:p>
    <w:p>
      <w:pPr>
        <w:spacing w:after="90" w:before="90" w:line="280"/>
      </w:pPr>
      <w:r>
        <w:rPr>
          <w:rFonts w:ascii="Arial" w:cs="Arial" w:eastAsia="Arial" w:hAnsi="Arial"/>
          <w:color w:val="14181D"/>
          <w:sz w:val="20"/>
          <w:szCs w:val="20"/>
        </w:rPr>
        <w:t xml:space="preserve">So the rule is: </w:t>
      </w:r>
      <w:r>
        <w:rPr>
          <w:rFonts w:ascii="Arial" w:cs="Arial" w:eastAsia="Arial" w:hAnsi="Arial"/>
          <w:b/>
          <w:bCs/>
          <w:color w:val="14181D"/>
          <w:sz w:val="20"/>
          <w:szCs w:val="20"/>
        </w:rPr>
        <w:t xml:space="preserve">do not raise it; never deny it; answer it properly when it is asked.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Extended 14 October 2026 — the whole platform, not just the website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"What I want is not to tell people that your work will be done by an AI agent. I don't want to see any of these anywhere from the whole platform and the blog."</w:t>
      </w:r>
    </w:p>
    <w:p>
      <w:pPr>
        <w:spacing w:after="90" w:before="90" w:line="280"/>
      </w:pPr>
      <w:r>
        <w:rPr>
          <w:rFonts w:ascii="Arial" w:cs="Arial" w:eastAsia="Arial" w:hAnsi="Arial"/>
          <w:color w:val="14181D"/>
          <w:sz w:val="20"/>
          <w:szCs w:val="20"/>
        </w:rPr>
        <w:t xml:space="preserve">The first sweep covered </w:t>
      </w:r>
      <w:r>
        <w:rPr>
          <w:rFonts w:ascii="Arial" w:cs="Arial" w:eastAsia="Arial" w:hAnsi="Arial"/>
          <w:i/>
          <w:iCs/>
          <w:color w:val="14181D"/>
          <w:sz w:val="20"/>
          <w:szCs w:val="20"/>
        </w:rPr>
        <w:t xml:space="preserve">frontend/public/</w:t>
      </w:r>
      <w:r>
        <w:rPr>
          <w:rFonts w:ascii="Arial" w:cs="Arial" w:eastAsia="Arial" w:hAnsi="Arial"/>
          <w:color w:val="14181D"/>
          <w:sz w:val="20"/>
          <w:szCs w:val="20"/>
        </w:rPr>
        <w:t xml:space="preserve">. That was too narrow: the internal console is shown in demonstrations and screenshotted into bids, the published API specification is read by developers, and operator notifications are read by the director. So the renames now run through the platform.</w:t>
      </w:r>
    </w:p>
    <w:p>
      <w:pPr>
        <w:spacing w:after="90" w:before="90" w:line="280"/>
      </w:pPr>
      <w:r>
        <w:rPr>
          <w:rFonts w:ascii="Arial" w:cs="Arial" w:eastAsia="Arial" w:hAnsi="Arial"/>
          <w:b/>
          <w:bCs/>
          <w:color w:val="14181D"/>
          <w:sz w:val="20"/>
          <w:szCs w:val="20"/>
        </w:rPr>
        <w:t xml:space="preserve">The numbered producers are Workstream N, not Agent N.</w:t>
      </w:r>
      <w:r>
        <w:rPr>
          <w:rFonts w:ascii="Arial" w:cs="Arial" w:eastAsia="Arial" w:hAnsi="Arial"/>
          <w:color w:val="14181D"/>
          <w:sz w:val="20"/>
          <w:szCs w:val="20"/>
        </w:rPr>
        <w:t xml:space="preserve"> Thirty roster entries, the document-picker descriptions, the prequalification drafting button and every operator message. </w:t>
      </w:r>
      <w:r>
        <w:rPr>
          <w:rFonts w:ascii="Arial" w:cs="Arial" w:eastAsia="Arial" w:hAnsi="Arial"/>
          <w:i/>
          <w:iCs/>
          <w:color w:val="14181D"/>
          <w:sz w:val="20"/>
          <w:szCs w:val="20"/>
        </w:rPr>
        <w:t xml:space="preserve">Workstream</w:t>
      </w:r>
      <w:r>
        <w:rPr>
          <w:rFonts w:ascii="Arial" w:cs="Arial" w:eastAsia="Arial" w:hAnsi="Arial"/>
          <w:color w:val="14181D"/>
          <w:sz w:val="20"/>
          <w:szCs w:val="20"/>
        </w:rPr>
        <w:t xml:space="preserve"> rather than </w:t>
      </w:r>
      <w:r>
        <w:rPr>
          <w:rFonts w:ascii="Arial" w:cs="Arial" w:eastAsia="Arial" w:hAnsi="Arial"/>
          <w:i/>
          <w:iCs/>
          <w:color w:val="14181D"/>
          <w:sz w:val="20"/>
          <w:szCs w:val="20"/>
        </w:rPr>
        <w:t xml:space="preserve">stage</w:t>
      </w:r>
      <w:r>
        <w:rPr>
          <w:rFonts w:ascii="Arial" w:cs="Arial" w:eastAsia="Arial" w:hAnsi="Arial"/>
          <w:color w:val="14181D"/>
          <w:sz w:val="20"/>
          <w:szCs w:val="20"/>
        </w:rPr>
        <w:t xml:space="preserve">, because the engagement already has six stages and the collision would confuse both.</w:t>
      </w:r>
    </w:p>
    <w:p>
      <w:pPr>
        <w:spacing w:after="90" w:before="90" w:line="280"/>
      </w:pPr>
      <w:r>
        <w:rPr>
          <w:rFonts w:ascii="Arial" w:cs="Arial" w:eastAsia="Arial" w:hAnsi="Arial"/>
          <w:b/>
          <w:bCs/>
          <w:color w:val="14181D"/>
          <w:sz w:val="20"/>
          <w:szCs w:val="20"/>
        </w:rPr>
        <w:t xml:space="preserve">The engine display names lost the Agent suffix.</w:t>
      </w:r>
      <w:r>
        <w:rPr>
          <w:rFonts w:ascii="Arial" w:cs="Arial" w:eastAsia="Arial" w:hAnsi="Arial"/>
          <w:color w:val="14181D"/>
          <w:sz w:val="20"/>
          <w:szCs w:val="20"/>
        </w:rPr>
        <w:t xml:space="preserve"> The registry already held </w:t>
      </w:r>
      <w:r>
        <w:rPr>
          <w:rFonts w:ascii="Arial" w:cs="Arial" w:eastAsia="Arial" w:hAnsi="Arial"/>
          <w:i/>
          <w:iCs/>
          <w:color w:val="14181D"/>
          <w:sz w:val="20"/>
          <w:szCs w:val="20"/>
        </w:rPr>
        <w:t xml:space="preserve">Obligation Monitor</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Submission Controller</w:t>
      </w:r>
      <w:r>
        <w:rPr>
          <w:rFonts w:ascii="Arial" w:cs="Arial" w:eastAsia="Arial" w:hAnsi="Arial"/>
          <w:color w:val="14181D"/>
          <w:sz w:val="20"/>
          <w:szCs w:val="20"/>
        </w:rPr>
        <w:t xml:space="preserve">, so the rest follow the same role-noun pattern: Notice Monitor, Change and Entitlement Assessor, Estimator, Programme Generator, Recovery Planner, Productivity Analyser, Safety Assurance Review, Audit Review, Model Validator, Quantity Reconciler, Asset Register, Commissioning Controller, Handover Controller, Lifecycle and Asset Information Controller.</w:t>
      </w:r>
    </w:p>
    <w:p>
      <w:pPr>
        <w:spacing w:after="90" w:before="90" w:line="280"/>
      </w:pPr>
      <w:r>
        <w:rPr>
          <w:rFonts w:ascii="Arial" w:cs="Arial" w:eastAsia="Arial" w:hAnsi="Arial"/>
          <w:b/>
          <w:bCs/>
          <w:color w:val="14181D"/>
          <w:sz w:val="20"/>
          <w:szCs w:val="20"/>
        </w:rPr>
        <w:t xml:space="preserve">The provider connection is the production engine.</w:t>
      </w:r>
      <w:r>
        <w:rPr>
          <w:rFonts w:ascii="Arial" w:cs="Arial" w:eastAsia="Arial" w:hAnsi="Arial"/>
          <w:color w:val="14181D"/>
          <w:sz w:val="20"/>
          <w:szCs w:val="20"/>
        </w:rPr>
        <w:t xml:space="preserve"> The administrator still needs the vendor's name and </w:t>
      </w:r>
      <w:r>
        <w:rPr>
          <w:rFonts w:ascii="Arial" w:cs="Arial" w:eastAsia="Arial" w:hAnsi="Arial"/>
          <w:i/>
          <w:iCs/>
          <w:color w:val="14181D"/>
          <w:sz w:val="20"/>
          <w:szCs w:val="20"/>
        </w:rPr>
        <w:t xml:space="preserve">console.anthropic.com</w:t>
      </w:r>
      <w:r>
        <w:rPr>
          <w:rFonts w:ascii="Arial" w:cs="Arial" w:eastAsia="Arial" w:hAnsi="Arial"/>
          <w:color w:val="14181D"/>
          <w:sz w:val="20"/>
          <w:szCs w:val="20"/>
        </w:rPr>
        <w:t xml:space="preserve"> to obtain a key, and that block keeps them — it is admin-gated and it is the one place the name has a job to do.</w:t>
      </w:r>
    </w:p>
    <w:p>
      <w:pPr>
        <w:spacing w:after="90" w:before="90" w:line="280"/>
      </w:pPr>
      <w:r>
        <w:rPr>
          <w:rFonts w:ascii="Arial" w:cs="Arial" w:eastAsia="Arial" w:hAnsi="Arial"/>
          <w:b/>
          <w:bCs/>
          <w:color w:val="14181D"/>
          <w:sz w:val="20"/>
          <w:szCs w:val="20"/>
        </w:rPr>
        <w:t xml:space="preserve">The robot emoji is gone</w:t>
      </w:r>
      <w:r>
        <w:rPr>
          <w:rFonts w:ascii="Arial" w:cs="Arial" w:eastAsia="Arial" w:hAnsi="Arial"/>
          <w:color w:val="14181D"/>
          <w:sz w:val="20"/>
          <w:szCs w:val="20"/>
        </w:rPr>
        <w:t xml:space="preserve"> from the three buttons that carried it.</w:t>
      </w:r>
    </w:p>
    <w:p>
      <w:pPr>
        <w:spacing w:after="90" w:before="90" w:line="280"/>
      </w:pPr>
      <w:r>
        <w:rPr>
          <w:rFonts w:ascii="Arial" w:cs="Arial" w:eastAsia="Arial" w:hAnsi="Arial"/>
          <w:b/>
          <w:bCs/>
          <w:color w:val="14181D"/>
          <w:sz w:val="20"/>
          <w:szCs w:val="20"/>
        </w:rPr>
        <w:t xml:space="preserve">A bid return was saying it.</w:t>
      </w:r>
      <w:r>
        <w:rPr>
          <w:rFonts w:ascii="Arial" w:cs="Arial" w:eastAsia="Arial" w:hAnsi="Arial"/>
          <w:color w:val="14181D"/>
          <w:sz w:val="20"/>
          <w:szCs w:val="20"/>
        </w:rPr>
        <w:t xml:space="preserve"> The submitted 250-word solution description read </w:t>
      </w:r>
      <w:r>
        <w:rPr>
          <w:rFonts w:ascii="Arial" w:cs="Arial" w:eastAsia="Arial" w:hAnsi="Arial"/>
          <w:i/>
          <w:iCs/>
          <w:color w:val="14181D"/>
          <w:sz w:val="20"/>
          <w:szCs w:val="20"/>
        </w:rPr>
        <w:t xml:space="preserve">"Deterministic engines run before any AI model… the model writes the report."</w:t>
      </w:r>
      <w:r>
        <w:rPr>
          <w:rFonts w:ascii="Arial" w:cs="Arial" w:eastAsia="Arial" w:hAnsi="Arial"/>
          <w:color w:val="14181D"/>
          <w:sz w:val="20"/>
          <w:szCs w:val="20"/>
        </w:rPr>
        <w:t xml:space="preserve"> It now reads that sixteen deterministic engines produce the findings against written rules and the report presents them without the power to recompute. Same architecture, stronger claim, and no technology named. The editorial note beside it now says: say what is traceable, never what generates it.</w:t>
      </w:r>
    </w:p>
    <w:p>
      <w:pPr>
        <w:pStyle w:val="Heading2"/>
        <w:keepNext/>
        <w:spacing w:after="110" w:before="260"/>
      </w:pPr>
      <w:r>
        <w:rPr>
          <w:rFonts w:ascii="Arial" w:cs="Arial" w:eastAsia="Arial" w:hAnsi="Arial"/>
          <w:b/>
          <w:bCs/>
          <w:color w:val="9C7A3C"/>
          <w:sz w:val="21"/>
          <w:szCs w:val="21"/>
        </w:rPr>
        <w:t xml:space="preserve">What was deliberately left in place</w:t>
      </w:r>
    </w:p>
    <w:p>
      <w:pPr>
        <w:spacing w:after="90" w:before="90" w:line="280"/>
      </w:pPr>
      <w:r>
        <w:rPr>
          <w:rFonts w:ascii="Arial" w:cs="Arial" w:eastAsia="Arial" w:hAnsi="Arial"/>
          <w:b/>
          <w:bCs/>
          <w:color w:val="14181D"/>
          <w:sz w:val="20"/>
          <w:szCs w:val="20"/>
        </w:rPr>
        <w:t xml:space="preserve">Code comments and model instructions.</w:t>
      </w:r>
      <w:r>
        <w:rPr>
          <w:rFonts w:ascii="Arial" w:cs="Arial" w:eastAsia="Arial" w:hAnsi="Arial"/>
          <w:color w:val="14181D"/>
          <w:sz w:val="20"/>
          <w:szCs w:val="20"/>
        </w:rPr>
        <w:t xml:space="preserve"> A comment is not a surface and nobody is sold to from one. Model instructions — </w:t>
      </w:r>
      <w:r>
        <w:rPr>
          <w:rFonts w:ascii="Arial" w:cs="Arial" w:eastAsia="Arial" w:hAnsi="Arial"/>
          <w:i/>
          <w:iCs/>
          <w:color w:val="14181D"/>
          <w:sz w:val="20"/>
          <w:szCs w:val="20"/>
        </w:rPr>
        <w:t xml:space="preserve">BRIEF_SYSTEM</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COMPANY_BRIEF</w:t>
      </w:r>
      <w:r>
        <w:rPr>
          <w:rFonts w:ascii="Arial" w:cs="Arial" w:eastAsia="Arial" w:hAnsi="Arial"/>
          <w:color w:val="14181D"/>
          <w:sz w:val="20"/>
          <w:szCs w:val="20"/>
        </w:rPr>
        <w:t xml:space="preserve">, any </w:t>
      </w:r>
      <w:r>
        <w:rPr>
          <w:rFonts w:ascii="Arial" w:cs="Arial" w:eastAsia="Arial" w:hAnsi="Arial"/>
          <w:i/>
          <w:iCs/>
          <w:color w:val="14181D"/>
          <w:sz w:val="20"/>
          <w:szCs w:val="20"/>
        </w:rPr>
        <w:t xml:space="preserve">You are …</w:t>
      </w:r>
      <w:r>
        <w:rPr>
          <w:rFonts w:ascii="Arial" w:cs="Arial" w:eastAsia="Arial" w:hAnsi="Arial"/>
          <w:color w:val="14181D"/>
          <w:sz w:val="20"/>
          <w:szCs w:val="20"/>
        </w:rPr>
        <w:t xml:space="preserve"> — are read by no person, and rewriting a prompt changes behaviour, which is a different decision from changing a label.</w:t>
      </w:r>
    </w:p>
    <w:p>
      <w:pPr>
        <w:spacing w:after="90" w:before="90" w:line="280"/>
      </w:pPr>
      <w:r>
        <w:rPr>
          <w:rFonts w:ascii="Arial" w:cs="Arial" w:eastAsia="Arial" w:hAnsi="Arial"/>
          <w:b/>
          <w:bCs/>
          <w:color w:val="14181D"/>
          <w:sz w:val="20"/>
          <w:szCs w:val="20"/>
        </w:rPr>
        <w:t xml:space="preserve">DOM identifiers and data fields.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eng-ai</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pq-ai</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ai-provider-form</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aiSupported</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org.agents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run.agent</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agentTasks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/agents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read:agents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run:agents</w:t>
      </w:r>
      <w:r>
        <w:rPr>
          <w:rFonts w:ascii="Arial" w:cs="Arial" w:eastAsia="Arial" w:hAnsi="Arial"/>
          <w:color w:val="14181D"/>
          <w:sz w:val="20"/>
          <w:szCs w:val="20"/>
        </w:rPr>
        <w:t xml:space="preserve">. These are machinery. Renaming the published API surface is still a separate, breaking decision with a deprecation window.</w:t>
      </w:r>
    </w:p>
    <w:p>
      <w:pPr>
        <w:pStyle w:val="Heading2"/>
        <w:keepNext/>
        <w:spacing w:after="110" w:before="260"/>
      </w:pPr>
      <w:r>
        <w:rPr>
          <w:rFonts w:ascii="Arial" w:cs="Arial" w:eastAsia="Arial" w:hAnsi="Arial"/>
          <w:b/>
          <w:bCs/>
          <w:color w:val="9C7A3C"/>
          <w:sz w:val="21"/>
          <w:szCs w:val="21"/>
        </w:rPr>
        <w:t xml:space="preserve">The bug this sweep caused, and the guard that now prevents the next one</w:t>
      </w:r>
    </w:p>
    <w:p>
      <w:pPr>
        <w:spacing w:after="90" w:before="90" w:line="280"/>
      </w:pPr>
      <w:r>
        <w:rPr>
          <w:rFonts w:ascii="Arial" w:cs="Arial" w:eastAsia="Arial" w:hAnsi="Arial"/>
          <w:color w:val="14181D"/>
          <w:sz w:val="20"/>
          <w:szCs w:val="20"/>
        </w:rPr>
        <w:t xml:space="preserve">Renaming the producers broke a safety rule, silently. </w:t>
      </w:r>
      <w:r>
        <w:rPr>
          <w:rFonts w:ascii="Arial" w:cs="Arial" w:eastAsia="Arial" w:hAnsi="Arial"/>
          <w:i/>
          <w:iCs/>
          <w:color w:val="14181D"/>
          <w:sz w:val="20"/>
          <w:szCs w:val="20"/>
        </w:rPr>
        <w:t xml:space="preserve">notice.recordGiven</w:t>
      </w:r>
      <w:r>
        <w:rPr>
          <w:rFonts w:ascii="Arial" w:cs="Arial" w:eastAsia="Arial" w:hAnsi="Arial"/>
          <w:color w:val="14181D"/>
          <w:sz w:val="20"/>
          <w:szCs w:val="20"/>
        </w:rPr>
        <w:t xml:space="preserve"> refuses to record a contractual notice as given by anything that is not a person, and it detected that by matching the word </w:t>
      </w:r>
      <w:r>
        <w:rPr>
          <w:rFonts w:ascii="Arial" w:cs="Arial" w:eastAsia="Arial" w:hAnsi="Arial"/>
          <w:i/>
          <w:iCs/>
          <w:color w:val="14181D"/>
          <w:sz w:val="20"/>
          <w:szCs w:val="20"/>
        </w:rPr>
        <w:t xml:space="preserve">agent</w:t>
      </w:r>
      <w:r>
        <w:rPr>
          <w:rFonts w:ascii="Arial" w:cs="Arial" w:eastAsia="Arial" w:hAnsi="Arial"/>
          <w:color w:val="14181D"/>
          <w:sz w:val="20"/>
          <w:szCs w:val="20"/>
        </w:rPr>
        <w:t xml:space="preserve"> in the name. Once </w:t>
      </w:r>
      <w:r>
        <w:rPr>
          <w:rFonts w:ascii="Arial" w:cs="Arial" w:eastAsia="Arial" w:hAnsi="Arial"/>
          <w:i/>
          <w:iCs/>
          <w:color w:val="14181D"/>
          <w:sz w:val="20"/>
          <w:szCs w:val="20"/>
        </w:rPr>
        <w:t xml:space="preserve">Notice Agent</w:t>
      </w:r>
      <w:r>
        <w:rPr>
          <w:rFonts w:ascii="Arial" w:cs="Arial" w:eastAsia="Arial" w:hAnsi="Arial"/>
          <w:color w:val="14181D"/>
          <w:sz w:val="20"/>
          <w:szCs w:val="20"/>
        </w:rPr>
        <w:t xml:space="preserve"> became </w:t>
      </w:r>
      <w:r>
        <w:rPr>
          <w:rFonts w:ascii="Arial" w:cs="Arial" w:eastAsia="Arial" w:hAnsi="Arial"/>
          <w:i/>
          <w:iCs/>
          <w:color w:val="14181D"/>
          <w:sz w:val="20"/>
          <w:szCs w:val="20"/>
        </w:rPr>
        <w:t xml:space="preserve">Notice Monitor</w:t>
      </w:r>
      <w:r>
        <w:rPr>
          <w:rFonts w:ascii="Arial" w:cs="Arial" w:eastAsia="Arial" w:hAnsi="Arial"/>
          <w:color w:val="14181D"/>
          <w:sz w:val="20"/>
          <w:szCs w:val="20"/>
        </w:rPr>
        <w:t xml:space="preserve">, the gate stopped recognising the very thing it exists to refuse — and a notice could have been recorded as given by "Notice Monitor", with that record becoming the evidence relied on.</w:t>
      </w:r>
    </w:p>
    <w:p>
      <w:pPr>
        <w:spacing w:after="90" w:before="90" w:line="280"/>
      </w:pPr>
      <w:r>
        <w:rPr>
          <w:rFonts w:ascii="Arial" w:cs="Arial" w:eastAsia="Arial" w:hAnsi="Arial"/>
          <w:color w:val="14181D"/>
          <w:sz w:val="20"/>
          <w:szCs w:val="20"/>
        </w:rPr>
        <w:t xml:space="preserve">The gate now matches the role nouns actually in use, </w:t>
      </w:r>
      <w:r>
        <w:rPr>
          <w:rFonts w:ascii="Arial" w:cs="Arial" w:eastAsia="Arial" w:hAnsi="Arial"/>
          <w:b/>
          <w:bCs/>
          <w:color w:val="14181D"/>
          <w:sz w:val="20"/>
          <w:szCs w:val="20"/>
        </w:rPr>
        <w:t xml:space="preserve">and the test walks the real registry</w:t>
      </w:r>
      <w:r>
        <w:rPr>
          <w:rFonts w:ascii="Arial" w:cs="Arial" w:eastAsia="Arial" w:hAnsi="Arial"/>
          <w:color w:val="14181D"/>
          <w:sz w:val="20"/>
          <w:szCs w:val="20"/>
        </w:rPr>
        <w:t xml:space="preserve"> and asserts that every registered producer name is refused. The next rename either keeps the gate honest or fails the build. A word list was what failed; reading the registry is what cannot.</w:t>
      </w:r>
    </w:p>
    <w:p>
      <w:pPr>
        <w:pStyle w:val="Heading2"/>
        <w:keepNext/>
        <w:spacing w:after="110" w:before="260"/>
      </w:pPr>
      <w:r>
        <w:rPr>
          <w:rFonts w:ascii="Arial" w:cs="Arial" w:eastAsia="Arial" w:hAnsi="Arial"/>
          <w:b/>
          <w:bCs/>
          <w:color w:val="9C7A3C"/>
          <w:sz w:val="21"/>
          <w:szCs w:val="21"/>
        </w:rPr>
        <w:t xml:space="preserve">It is a test now, not a note</w:t>
      </w:r>
    </w:p>
    <w:p>
      <w:pPr>
        <w:spacing w:after="90" w:before="90" w:line="280"/>
      </w:pPr>
      <w:r>
        <w:rPr>
          <w:rFonts w:ascii="Arial" w:cs="Arial" w:eastAsia="Arial" w:hAnsi="Arial"/>
          <w:i/>
          <w:iCs/>
          <w:color w:val="14181D"/>
          <w:sz w:val="20"/>
          <w:szCs w:val="20"/>
        </w:rPr>
        <w:t xml:space="preserve">backend/test/vendor-silence.test.mjs</w:t>
      </w:r>
      <w:r>
        <w:rPr>
          <w:rFonts w:ascii="Arial" w:cs="Arial" w:eastAsia="Arial" w:hAnsi="Arial"/>
          <w:color w:val="14181D"/>
          <w:sz w:val="20"/>
          <w:szCs w:val="20"/>
        </w:rPr>
        <w:t xml:space="preserve"> fails the build on </w:t>
      </w:r>
      <w:r>
        <w:rPr>
          <w:rFonts w:ascii="Arial" w:cs="Arial" w:eastAsia="Arial" w:hAnsi="Arial"/>
          <w:i/>
          <w:iCs/>
          <w:color w:val="14181D"/>
          <w:sz w:val="20"/>
          <w:szCs w:val="20"/>
        </w:rPr>
        <w:t xml:space="preserve">AI agent</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AI-powered</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AI-driven</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AI-native</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AI-generated</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 engine</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AI-amplified</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AI-supported</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agentic</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artificial intelligence</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Agent &lt;number&gt;</w:t>
      </w:r>
      <w:r>
        <w:rPr>
          <w:rFonts w:ascii="Arial" w:cs="Arial" w:eastAsia="Arial" w:hAnsi="Arial"/>
          <w:color w:val="14181D"/>
          <w:sz w:val="20"/>
          <w:szCs w:val="20"/>
        </w:rPr>
        <w:t xml:space="preserve"> and the robot emoji, across the public site, the internal console, the deliverable routes, the published API spec, the roster, operator notifications, every published blog post and every bid return. Code comments, model instructions, DOM ids and data fields are documented exceptions. The unpublished post is asserted to stay unpublished.</w:t>
      </w:r>
    </w:p>
    <w:p>
      <w:pPr>
        <w:spacing w:after="90" w:before="90" w:line="280"/>
      </w:pPr>
      <w:r>
        <w:rPr>
          <w:rFonts w:ascii="Arial" w:cs="Arial" w:eastAsia="Arial" w:hAnsi="Arial"/>
          <w:color w:val="14181D"/>
          <w:sz w:val="20"/>
          <w:szCs w:val="20"/>
        </w:rPr>
        <w:t xml:space="preserve">It caught three instances in the roster that this sweep had missed — a job description reading </w:t>
      </w:r>
      <w:r>
        <w:rPr>
          <w:rFonts w:ascii="Arial" w:cs="Arial" w:eastAsia="Arial" w:hAnsi="Arial"/>
          <w:i/>
          <w:iCs/>
          <w:color w:val="14181D"/>
          <w:sz w:val="20"/>
          <w:szCs w:val="20"/>
        </w:rPr>
        <w:t xml:space="preserve">"Check AI-generated outputs"</w:t>
      </w:r>
      <w:r>
        <w:rPr>
          <w:rFonts w:ascii="Arial" w:cs="Arial" w:eastAsia="Arial" w:hAnsi="Arial"/>
          <w:color w:val="14181D"/>
          <w:sz w:val="20"/>
          <w:szCs w:val="20"/>
        </w:rPr>
        <w:t xml:space="preserve">, an approval duty, and a risk-register entry — which is the argument for the test rather than the note.</w:t>
      </w:r>
    </w:p>
    <w:p>
      <w:pPr>
        <w:pStyle w:val="Heading1"/>
        <w:keepNext/>
        <w:pBdr>
          <w:bottom w:val="single" w:color="9C7A3C" w:sz="8" w:space="6"/>
        </w:pBdr>
        <w:spacing w:after="150" w:before="380"/>
      </w:pPr>
      <w:r>
        <w:rPr>
          <w:rFonts w:ascii="Arial" w:cs="Arial" w:eastAsia="Arial" w:hAnsi="Arial"/>
          <w:b/>
          <w:bCs/>
          <w:color w:val="14181D"/>
          <w:sz w:val="26"/>
          <w:szCs w:val="26"/>
        </w:rPr>
        <w:t xml:space="preserve">Words that are never touched, because they are not AI</w:t>
      </w:r>
    </w:p>
    <w:p>
      <w:pPr>
        <w:spacing w:after="90" w:before="90" w:line="280"/>
      </w:pPr>
      <w:r>
        <w:rPr>
          <w:rFonts w:ascii="Arial" w:cs="Arial" w:eastAsia="Arial" w:hAnsi="Arial"/>
          <w:b/>
          <w:bCs/>
          <w:color w:val="14181D"/>
          <w:sz w:val="20"/>
          <w:szCs w:val="20"/>
        </w:rPr>
        <w:t xml:space="preserve">Employer's Agent</w:t>
      </w:r>
      <w:r>
        <w:rPr>
          <w:rFonts w:ascii="Arial" w:cs="Arial" w:eastAsia="Arial" w:hAnsi="Arial"/>
          <w:color w:val="14181D"/>
          <w:sz w:val="20"/>
          <w:szCs w:val="20"/>
        </w:rPr>
        <w:t xml:space="preserve"> and </w:t>
      </w:r>
      <w:r>
        <w:rPr>
          <w:rFonts w:ascii="Arial" w:cs="Arial" w:eastAsia="Arial" w:hAnsi="Arial"/>
          <w:b/>
          <w:bCs/>
          <w:color w:val="14181D"/>
          <w:sz w:val="20"/>
          <w:szCs w:val="20"/>
        </w:rPr>
        <w:t xml:space="preserve">Purchaser's Agent</w:t>
      </w:r>
      <w:r>
        <w:rPr>
          <w:rFonts w:ascii="Arial" w:cs="Arial" w:eastAsia="Arial" w:hAnsi="Arial"/>
          <w:color w:val="14181D"/>
          <w:sz w:val="20"/>
          <w:szCs w:val="20"/>
        </w:rPr>
        <w:t xml:space="preserve"> are contractual roles under JCT and NEC, and ETABLIX bids for them. </w:t>
      </w:r>
      <w:r>
        <w:rPr>
          <w:rFonts w:ascii="Arial" w:cs="Arial" w:eastAsia="Arial" w:hAnsi="Arial"/>
          <w:b/>
          <w:bCs/>
          <w:color w:val="14181D"/>
          <w:sz w:val="20"/>
          <w:szCs w:val="20"/>
        </w:rPr>
        <w:t xml:space="preserve">Agents, introducers and intermediaries</w:t>
      </w:r>
      <w:r>
        <w:rPr>
          <w:rFonts w:ascii="Arial" w:cs="Arial" w:eastAsia="Arial" w:hAnsi="Arial"/>
          <w:color w:val="14181D"/>
          <w:sz w:val="20"/>
          <w:szCs w:val="20"/>
        </w:rPr>
        <w:t xml:space="preserve"> is the standard vocabulary of an anti-bribery policy. These appear throughout </w:t>
      </w:r>
      <w:r>
        <w:rPr>
          <w:rFonts w:ascii="Arial" w:cs="Arial" w:eastAsia="Arial" w:hAnsi="Arial"/>
          <w:i/>
          <w:iCs/>
          <w:color w:val="14181D"/>
          <w:sz w:val="20"/>
          <w:szCs w:val="20"/>
        </w:rPr>
        <w:t xml:space="preserve">business/bids/</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business/policies/</w:t>
      </w:r>
      <w:r>
        <w:rPr>
          <w:rFonts w:ascii="Arial" w:cs="Arial" w:eastAsia="Arial" w:hAnsi="Arial"/>
          <w:color w:val="14181D"/>
          <w:sz w:val="20"/>
          <w:szCs w:val="20"/>
        </w:rPr>
        <w:t xml:space="preserve"> and sweeping them would break a bid and a policy. Any future grep must read its hits before changing them.</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rule</w:t>
      </w:r>
    </w:p>
    <w:p>
      <w:pPr>
        <w:spacing w:after="90" w:before="90" w:line="280"/>
      </w:pPr>
      <w:r>
        <w:rPr>
          <w:rFonts w:ascii="Arial" w:cs="Arial" w:eastAsia="Arial" w:hAnsi="Arial"/>
          <w:b/>
          <w:bCs/>
          <w:color w:val="14181D"/>
          <w:sz w:val="20"/>
          <w:szCs w:val="20"/>
        </w:rPr>
        <w:t xml:space="preserve">Nothing a customer, a buyer, a bid evaluator or a supplier reads may describe ETABLIX work as produced by AI, by an agent, or by a machine.</w:t>
      </w:r>
      <w:r>
        <w:rPr>
          <w:rFonts w:ascii="Arial" w:cs="Arial" w:eastAsia="Arial" w:hAnsi="Arial"/>
          <w:color w:val="14181D"/>
          <w:sz w:val="20"/>
          <w:szCs w:val="20"/>
        </w:rPr>
        <w:t xml:space="preserve"> That covers the website, the Diagnostic, bid returns, prequalification answers, letters, emails, LinkedIn, adverts and the blog.</w:t>
      </w:r>
    </w:p>
    <w:p>
      <w:pPr>
        <w:spacing w:after="90" w:before="90" w:line="280"/>
      </w:pPr>
      <w:r>
        <w:rPr>
          <w:rFonts w:ascii="Arial" w:cs="Arial" w:eastAsia="Arial" w:hAnsi="Arial"/>
          <w:color w:val="14181D"/>
          <w:sz w:val="20"/>
          <w:szCs w:val="20"/>
        </w:rPr>
        <w:t xml:space="preserve">Banned in customer-facing copy: </w:t>
      </w:r>
      <w:r>
        <w:rPr>
          <w:rFonts w:ascii="Arial" w:cs="Arial" w:eastAsia="Arial" w:hAnsi="Arial"/>
          <w:i/>
          <w:iCs/>
          <w:color w:val="14181D"/>
          <w:sz w:val="20"/>
          <w:szCs w:val="20"/>
        </w:rPr>
        <w:t xml:space="preserve">AI, A.I., artificial intelligence, AI-native, AI-powered, AI-generated, agent, AI agent, agentic, LLM, machine learning, generative, autonomous, copilot, neural, chatbot,</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assembled / produced / written by machine</w:t>
      </w:r>
      <w:r>
        <w:rPr>
          <w:rFonts w:ascii="Arial" w:cs="Arial" w:eastAsia="Arial" w:hAnsi="Arial"/>
          <w:color w:val="14181D"/>
          <w:sz w:val="20"/>
          <w:szCs w:val="20"/>
        </w:rPr>
        <w:t xml:space="preserve">.</w:t>
      </w:r>
    </w:p>
    <w:p>
      <w:pPr>
        <w:spacing w:after="90" w:before="90" w:line="280"/>
      </w:pPr>
      <w:r>
        <w:rPr>
          <w:rFonts w:ascii="Arial" w:cs="Arial" w:eastAsia="Arial" w:hAnsi="Arial"/>
          <w:color w:val="14181D"/>
          <w:sz w:val="20"/>
          <w:szCs w:val="20"/>
        </w:rPr>
        <w:t xml:space="preserve">Also banned as a near-synonym a sceptic will read the same way: </w:t>
      </w:r>
      <w:r>
        <w:rPr>
          <w:rFonts w:ascii="Arial" w:cs="Arial" w:eastAsia="Arial" w:hAnsi="Arial"/>
          <w:b/>
          <w:bCs/>
          <w:color w:val="14181D"/>
          <w:sz w:val="20"/>
          <w:szCs w:val="20"/>
        </w:rPr>
        <w:t xml:space="preserve">intelligence layer</w:t>
      </w:r>
      <w:r>
        <w:rPr>
          <w:rFonts w:ascii="Arial" w:cs="Arial" w:eastAsia="Arial" w:hAnsi="Arial"/>
          <w:color w:val="14181D"/>
          <w:sz w:val="20"/>
          <w:szCs w:val="20"/>
        </w:rPr>
        <w:t xml:space="preserve">.</w:t>
      </w:r>
    </w:p>
    <w:p>
      <w:pPr>
        <w:spacing w:after="90" w:before="90" w:line="280"/>
      </w:pPr>
      <w:r>
        <w:rPr>
          <w:rFonts w:ascii="Arial" w:cs="Arial" w:eastAsia="Arial" w:hAnsi="Arial"/>
          <w:b/>
          <w:bCs/>
          <w:color w:val="14181D"/>
          <w:sz w:val="20"/>
          <w:szCs w:val="20"/>
        </w:rPr>
        <w:t xml:space="preserve">Not banned, because they are not AI claims.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Automated</w:t>
      </w:r>
      <w:r>
        <w:rPr>
          <w:rFonts w:ascii="Arial" w:cs="Arial" w:eastAsia="Arial" w:hAnsi="Arial"/>
          <w:color w:val="14181D"/>
          <w:sz w:val="20"/>
          <w:szCs w:val="20"/>
        </w:rPr>
        <w:t xml:space="preserve"> in its ordinary sense — bot protection on a form, automatic deletion of a file, an automated cross-check. </w:t>
      </w:r>
      <w:r>
        <w:rPr>
          <w:rFonts w:ascii="Arial" w:cs="Arial" w:eastAsia="Arial" w:hAnsi="Arial"/>
          <w:i/>
          <w:iCs/>
          <w:color w:val="14181D"/>
          <w:sz w:val="20"/>
          <w:szCs w:val="20"/>
        </w:rPr>
        <w:t xml:space="preserve">Execution intelligence</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scenario intelligence</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construction intelligence</w:t>
      </w:r>
      <w:r>
        <w:rPr>
          <w:rFonts w:ascii="Arial" w:cs="Arial" w:eastAsia="Arial" w:hAnsi="Arial"/>
          <w:color w:val="14181D"/>
          <w:sz w:val="20"/>
          <w:szCs w:val="20"/>
        </w:rPr>
        <w:t xml:space="preserve"> are ordinary portfolio-reporting vocabulary and read as dashboards, not robots. They are listed here so the next person sweeping the site knows they were considered and kept.</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replaces it</w:t>
      </w:r>
    </w:p>
    <w:p>
      <w:pPr>
        <w:spacing w:after="90" w:before="90" w:line="280"/>
      </w:pPr>
      <w:r>
        <w:rPr>
          <w:rFonts w:ascii="Arial" w:cs="Arial" w:eastAsia="Arial" w:hAnsi="Arial"/>
          <w:color w:val="14181D"/>
          <w:sz w:val="20"/>
          <w:szCs w:val="20"/>
        </w:rPr>
        <w:t xml:space="preserve">Not a euphemism. The true statement, which is stronger: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11"/>
        <w:gridCol w:w="5089"/>
      </w:tblGrid>
      <w:tr>
        <w:trPr>
          <w:tblHeader/>
        </w:trPr>
        <w:tc>
          <w:tcPr>
            <w:tcW w:type="dxa" w:w="321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Instead of</w:t>
            </w:r>
          </w:p>
        </w:tc>
        <w:tc>
          <w:tcPr>
            <w:tcW w:type="dxa" w:w="5089"/>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Say</w:t>
            </w:r>
          </w:p>
        </w:tc>
      </w:tr>
      <w:tr>
        <w:tc>
          <w:tcPr>
            <w:tcW w:type="dxa" w:w="32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assembled by a named agent</w:t>
            </w:r>
          </w:p>
        </w:tc>
        <w:tc>
          <w:tcPr>
            <w:tcW w:type="dxa" w:w="508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produced and signed off by the construction professional accountable for it</w:t>
            </w:r>
          </w:p>
        </w:tc>
      </w:tr>
      <w:tr>
        <w:tc>
          <w:tcPr>
            <w:tcW w:type="dxa" w:w="321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reconciled by machine</w:t>
            </w:r>
          </w:p>
        </w:tc>
        <w:tc>
          <w:tcPr>
            <w:tcW w:type="dxa" w:w="508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cross-checked line by line before the pack can be issued</w:t>
            </w:r>
          </w:p>
        </w:tc>
      </w:tr>
      <w:tr>
        <w:tc>
          <w:tcPr>
            <w:tcW w:type="dxa" w:w="32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produced by a named agent inside an approval boundary</w:t>
            </w:r>
          </w:p>
        </w:tc>
        <w:tc>
          <w:tcPr>
            <w:tcW w:type="dxa" w:w="508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one named person accountable for the stage, and nothing leaves it until they approve</w:t>
            </w:r>
          </w:p>
        </w:tc>
      </w:tr>
      <w:tr>
        <w:tc>
          <w:tcPr>
            <w:tcW w:type="dxa" w:w="321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construction AI operating system</w:t>
            </w:r>
          </w:p>
        </w:tc>
        <w:tc>
          <w:tcPr>
            <w:tcW w:type="dxa" w:w="508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construction project control platform</w:t>
            </w:r>
          </w:p>
        </w:tc>
      </w:tr>
      <w:tr>
        <w:tc>
          <w:tcPr>
            <w:tcW w:type="dxa" w:w="32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AI writes the report</w:t>
            </w:r>
          </w:p>
        </w:tc>
        <w:tc>
          <w:tcPr>
            <w:tcW w:type="dxa" w:w="508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report presents those findings and cannot recompute them</w:t>
            </w:r>
          </w:p>
        </w:tc>
      </w:tr>
      <w:tr>
        <w:tc>
          <w:tcPr>
            <w:tcW w:type="dxa" w:w="321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none with an AI-native control platform</w:t>
            </w:r>
          </w:p>
        </w:tc>
        <w:tc>
          <w:tcPr>
            <w:tcW w:type="dxa" w:w="508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few who will take the whole site environment as one accountable scope</w:t>
            </w:r>
          </w:p>
        </w:tc>
      </w:tr>
      <w:tr>
        <w:tc>
          <w:tcPr>
            <w:tcW w:type="dxa" w:w="32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AI forecasting</w:t>
            </w:r>
          </w:p>
        </w:tc>
        <w:tc>
          <w:tcPr>
            <w:tcW w:type="dxa" w:w="508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forecasting</w:t>
            </w:r>
          </w:p>
        </w:tc>
      </w:tr>
      <w:tr>
        <w:tc>
          <w:tcPr>
            <w:tcW w:type="dxa" w:w="321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run an AI agent</w:t>
            </w:r>
          </w:p>
        </w:tc>
        <w:tc>
          <w:tcPr>
            <w:tcW w:type="dxa" w:w="508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run an automated check</w:t>
            </w:r>
          </w:p>
        </w:tc>
      </w:tr>
      <w:tr>
        <w:tc>
          <w:tcPr>
            <w:tcW w:type="dxa" w:w="32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one intelligence layer</w:t>
            </w:r>
          </w:p>
        </w:tc>
        <w:tc>
          <w:tcPr>
            <w:tcW w:type="dxa" w:w="508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one control layer</w:t>
            </w:r>
          </w:p>
        </w:tc>
      </w:tr>
    </w:tbl>
    <w:p>
      <w:pPr>
        <w:spacing w:after="90" w:before="90" w:line="280"/>
      </w:pPr>
      <w:r>
        <w:rPr>
          <w:rFonts w:ascii="Arial" w:cs="Arial" w:eastAsia="Arial" w:hAnsi="Arial"/>
          <w:b/>
          <w:bCs/>
          <w:color w:val="14181D"/>
          <w:sz w:val="20"/>
          <w:szCs w:val="20"/>
        </w:rPr>
        <w:t xml:space="preserve">The trust argument survives the rewrite intact.</w:t>
      </w:r>
      <w:r>
        <w:rPr>
          <w:rFonts w:ascii="Arial" w:cs="Arial" w:eastAsia="Arial" w:hAnsi="Arial"/>
          <w:color w:val="14181D"/>
          <w:sz w:val="20"/>
          <w:szCs w:val="20"/>
        </w:rPr>
        <w:t xml:space="preserve"> The old CONSTRUX bullet argued that sixteen deterministic engines produce the findings and the write-up cannot recompute them. That is a good argument. It is a </w:t>
      </w:r>
      <w:r>
        <w:rPr>
          <w:rFonts w:ascii="Arial" w:cs="Arial" w:eastAsia="Arial" w:hAnsi="Arial"/>
          <w:i/>
          <w:iCs/>
          <w:color w:val="14181D"/>
          <w:sz w:val="20"/>
          <w:szCs w:val="20"/>
        </w:rPr>
        <w:t xml:space="preserve">better</w:t>
      </w:r>
      <w:r>
        <w:rPr>
          <w:rFonts w:ascii="Arial" w:cs="Arial" w:eastAsia="Arial" w:hAnsi="Arial"/>
          <w:color w:val="14181D"/>
          <w:sz w:val="20"/>
          <w:szCs w:val="20"/>
        </w:rPr>
        <w:t xml:space="preserve"> argument with the technology label removed, because what the buyer actually wanted to know was whether a number in the report can be followed back to a clause and a document. So the bullet now ends: </w:t>
      </w:r>
      <w:r>
        <w:rPr>
          <w:rFonts w:ascii="Arial" w:cs="Arial" w:eastAsia="Arial" w:hAnsi="Arial"/>
          <w:i/>
          <w:iCs/>
          <w:color w:val="14181D"/>
          <w:sz w:val="20"/>
          <w:szCs w:val="20"/>
        </w:rPr>
        <w:t xml:space="preserve">if a number in a CONSTRUX report cannot be followed to its source, it does not get printed.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is not a claim about the service</w:t>
      </w:r>
    </w:p>
    <w:p>
      <w:pPr>
        <w:pStyle w:val="ListParagraph"/>
        <w:numPr>
          <w:ilvl w:val="0"/>
          <w:numId w:val="2"/>
        </w:numPr>
        <w:spacing w:after="50" w:before="50" w:line="280"/>
      </w:pPr>
      <w:r>
        <w:rPr>
          <w:rFonts w:ascii="Arial" w:cs="Arial" w:eastAsia="Arial" w:hAnsi="Arial"/>
          <w:i/>
          <w:iCs/>
          <w:color w:val="14181D"/>
          <w:sz w:val="20"/>
          <w:szCs w:val="20"/>
        </w:rPr>
        <w:t xml:space="preserve">robots.txt</w:t>
      </w:r>
      <w:r>
        <w:rPr>
          <w:rFonts w:ascii="Arial" w:cs="Arial" w:eastAsia="Arial" w:hAnsi="Arial"/>
          <w:color w:val="14181D"/>
          <w:sz w:val="20"/>
          <w:szCs w:val="20"/>
        </w:rPr>
        <w:t xml:space="preserve"> naming GPTBot, ClaudeBot and the other retrieval crawlers. That is crawler configuration, it is not read by a buyer, and it is deliberately permissive so answer engines can find the site. Leave it alone.</w:t>
      </w:r>
    </w:p>
    <w:p>
      <w:pPr>
        <w:pStyle w:val="ListParagraph"/>
        <w:numPr>
          <w:ilvl w:val="0"/>
          <w:numId w:val="2"/>
        </w:numPr>
        <w:spacing w:after="50" w:before="50" w:line="280"/>
      </w:pPr>
      <w:r>
        <w:rPr>
          <w:rFonts w:ascii="Arial" w:cs="Arial" w:eastAsia="Arial" w:hAnsi="Arial"/>
          <w:i/>
          <w:iCs/>
          <w:color w:val="14181D"/>
          <w:sz w:val="20"/>
          <w:szCs w:val="20"/>
        </w:rPr>
        <w:t xml:space="preserve">llms.txt</w:t>
      </w:r>
      <w:r>
        <w:rPr>
          <w:rFonts w:ascii="Arial" w:cs="Arial" w:eastAsia="Arial" w:hAnsi="Arial"/>
          <w:color w:val="14181D"/>
          <w:sz w:val="20"/>
          <w:szCs w:val="20"/>
        </w:rPr>
        <w:t xml:space="preserve">, the plain-text site map for answer engines. Same reason.</w:t>
      </w:r>
    </w:p>
    <w:p>
      <w:pPr>
        <w:pStyle w:val="ListParagraph"/>
        <w:numPr>
          <w:ilvl w:val="0"/>
          <w:numId w:val="2"/>
        </w:numPr>
        <w:spacing w:after="50" w:before="50" w:line="280"/>
      </w:pPr>
      <w:r>
        <w:rPr>
          <w:rFonts w:ascii="Arial" w:cs="Arial" w:eastAsia="Arial" w:hAnsi="Arial"/>
          <w:color w:val="14181D"/>
          <w:sz w:val="20"/>
          <w:szCs w:val="20"/>
        </w:rPr>
        <w:t xml:space="preserve">Internal engineering files, test suites, deployment runbooks and this repository's own documentation. Nobody is sold to from a runbook.</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one thing deliberately left undone</w:t>
      </w:r>
    </w:p>
    <w:p>
      <w:pPr>
        <w:spacing w:after="90" w:before="90" w:line="280"/>
      </w:pPr>
      <w:r>
        <w:rPr>
          <w:rFonts w:ascii="Arial" w:cs="Arial" w:eastAsia="Arial" w:hAnsi="Arial"/>
          <w:color w:val="14181D"/>
          <w:sz w:val="20"/>
          <w:szCs w:val="20"/>
        </w:rPr>
        <w:t xml:space="preserve">The VERYX Platform API still publishes </w:t>
      </w:r>
      <w:r>
        <w:rPr>
          <w:rFonts w:ascii="Arial" w:cs="Arial" w:eastAsia="Arial" w:hAnsi="Arial"/>
          <w:i/>
          <w:iCs/>
          <w:color w:val="14181D"/>
          <w:sz w:val="20"/>
          <w:szCs w:val="20"/>
        </w:rPr>
        <w:t xml:space="preserve">GET /agents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POST /agents/{type}/run</w:t>
      </w:r>
      <w:r>
        <w:rPr>
          <w:rFonts w:ascii="Arial" w:cs="Arial" w:eastAsia="Arial" w:hAnsi="Arial"/>
          <w:color w:val="14181D"/>
          <w:sz w:val="20"/>
          <w:szCs w:val="20"/>
        </w:rPr>
        <w:t xml:space="preserve"> and the scopes </w:t>
      </w:r>
      <w:r>
        <w:rPr>
          <w:rFonts w:ascii="Arial" w:cs="Arial" w:eastAsia="Arial" w:hAnsi="Arial"/>
          <w:i/>
          <w:iCs/>
          <w:color w:val="14181D"/>
          <w:sz w:val="20"/>
          <w:szCs w:val="20"/>
        </w:rPr>
        <w:t xml:space="preserve">read:agents</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run:agents</w:t>
      </w:r>
      <w:r>
        <w:rPr>
          <w:rFonts w:ascii="Arial" w:cs="Arial" w:eastAsia="Arial" w:hAnsi="Arial"/>
          <w:color w:val="14181D"/>
          <w:sz w:val="20"/>
          <w:szCs w:val="20"/>
        </w:rPr>
        <w:t xml:space="preserve">. Those are real identifiers in a machine contract, defined in </w:t>
      </w:r>
      <w:r>
        <w:rPr>
          <w:rFonts w:ascii="Arial" w:cs="Arial" w:eastAsia="Arial" w:hAnsi="Arial"/>
          <w:i/>
          <w:iCs/>
          <w:color w:val="14181D"/>
          <w:sz w:val="20"/>
          <w:szCs w:val="20"/>
        </w:rPr>
        <w:t xml:space="preserve">backend/lib/store.js</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backend/lib/veryx.js</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backend/routes/veryx-public.js</w:t>
      </w:r>
      <w:r>
        <w:rPr>
          <w:rFonts w:ascii="Arial" w:cs="Arial" w:eastAsia="Arial" w:hAnsi="Arial"/>
          <w:color w:val="14181D"/>
          <w:sz w:val="20"/>
          <w:szCs w:val="20"/>
        </w:rPr>
        <w:t xml:space="preserve">, asserted by the test suite, and possibly already integrated against. Renaming them is a breaking API change and belongs in its own deliberate decision, not in a copy sweep. </w:t>
      </w:r>
      <w:r>
        <w:rPr>
          <w:rFonts w:ascii="Arial" w:cs="Arial" w:eastAsia="Arial" w:hAnsi="Arial"/>
          <w:b/>
          <w:bCs/>
          <w:color w:val="14181D"/>
          <w:sz w:val="20"/>
          <w:szCs w:val="20"/>
        </w:rPr>
        <w:t xml:space="preserve">Every human-readable description around them has been rewritten</w:t>
      </w:r>
      <w:r>
        <w:rPr>
          <w:rFonts w:ascii="Arial" w:cs="Arial" w:eastAsia="Arial" w:hAnsi="Arial"/>
          <w:color w:val="14181D"/>
          <w:sz w:val="20"/>
          <w:szCs w:val="20"/>
        </w:rPr>
        <w:t xml:space="preserve"> — the table now says </w:t>
      </w:r>
      <w:r>
        <w:rPr>
          <w:rFonts w:ascii="Arial" w:cs="Arial" w:eastAsia="Arial" w:hAnsi="Arial"/>
          <w:i/>
          <w:iCs/>
          <w:color w:val="14181D"/>
          <w:sz w:val="20"/>
          <w:szCs w:val="20"/>
        </w:rPr>
        <w:t xml:space="preserve">automated check</w:t>
      </w:r>
      <w:r>
        <w:rPr>
          <w:rFonts w:ascii="Arial" w:cs="Arial" w:eastAsia="Arial" w:hAnsi="Arial"/>
          <w:color w:val="14181D"/>
          <w:sz w:val="20"/>
          <w:szCs w:val="20"/>
        </w:rPr>
        <w:t xml:space="preserve">, not </w:t>
      </w:r>
      <w:r>
        <w:rPr>
          <w:rFonts w:ascii="Arial" w:cs="Arial" w:eastAsia="Arial" w:hAnsi="Arial"/>
          <w:i/>
          <w:iCs/>
          <w:color w:val="14181D"/>
          <w:sz w:val="20"/>
          <w:szCs w:val="20"/>
        </w:rPr>
        <w:t xml:space="preserve">AI agent</w:t>
      </w:r>
      <w:r>
        <w:rPr>
          <w:rFonts w:ascii="Arial" w:cs="Arial" w:eastAsia="Arial" w:hAnsi="Arial"/>
          <w:color w:val="14181D"/>
          <w:sz w:val="20"/>
          <w:szCs w:val="20"/>
        </w:rPr>
        <w:t xml:space="preserve">. If the identifiers are to change too, that is a separate piece of work across the backend, the docs and the tests, with a deprecation window.</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blog post</w:t>
      </w:r>
    </w:p>
    <w:p>
      <w:pPr>
        <w:spacing w:after="90" w:before="90" w:line="280"/>
      </w:pPr>
      <w:r>
        <w:rPr>
          <w:rFonts w:ascii="Arial" w:cs="Arial" w:eastAsia="Arial" w:hAnsi="Arial"/>
          <w:i/>
          <w:iCs/>
          <w:color w:val="14181D"/>
          <w:sz w:val="20"/>
          <w:szCs w:val="20"/>
        </w:rPr>
        <w:t xml:space="preserve">ai-agents-in-construction</w:t>
      </w:r>
      <w:r>
        <w:rPr>
          <w:rFonts w:ascii="Arial" w:cs="Arial" w:eastAsia="Arial" w:hAnsi="Arial"/>
          <w:color w:val="14181D"/>
          <w:sz w:val="20"/>
          <w:szCs w:val="20"/>
        </w:rPr>
        <w:t xml:space="preserve"> is unpublished, not deleted. Its entry was removed from </w:t>
      </w:r>
      <w:r>
        <w:rPr>
          <w:rFonts w:ascii="Arial" w:cs="Arial" w:eastAsia="Arial" w:hAnsi="Arial"/>
          <w:i/>
          <w:iCs/>
          <w:color w:val="14181D"/>
          <w:sz w:val="20"/>
          <w:szCs w:val="20"/>
        </w:rPr>
        <w:t xml:space="preserve">content/blog/schedule.json</w:t>
      </w:r>
      <w:r>
        <w:rPr>
          <w:rFonts w:ascii="Arial" w:cs="Arial" w:eastAsia="Arial" w:hAnsi="Arial"/>
          <w:color w:val="14181D"/>
          <w:sz w:val="20"/>
          <w:szCs w:val="20"/>
        </w:rPr>
        <w:t xml:space="preserve">, which by the blog system's own design excludes a post from the index, the sitemap, the feed, llms.txt and every related-post block. The source stays in </w:t>
      </w:r>
      <w:r>
        <w:rPr>
          <w:rFonts w:ascii="Arial" w:cs="Arial" w:eastAsia="Arial" w:hAnsi="Arial"/>
          <w:i/>
          <w:iCs/>
          <w:color w:val="14181D"/>
          <w:sz w:val="20"/>
          <w:szCs w:val="20"/>
        </w:rPr>
        <w:t xml:space="preserve">content/blog/</w:t>
      </w:r>
      <w:r>
        <w:rPr>
          <w:rFonts w:ascii="Arial" w:cs="Arial" w:eastAsia="Arial" w:hAnsi="Arial"/>
          <w:color w:val="14181D"/>
          <w:sz w:val="20"/>
          <w:szCs w:val="20"/>
        </w:rPr>
        <w:t xml:space="preserve">. The generated page was removed so the URL no longer answers.</w:t>
      </w:r>
    </w:p>
    <w:p>
      <w:pPr>
        <w:spacing w:after="90" w:before="90" w:line="280"/>
      </w:pPr>
      <w:r>
        <w:rPr>
          <w:rFonts w:ascii="Arial" w:cs="Arial" w:eastAsia="Arial" w:hAnsi="Arial"/>
          <w:color w:val="14181D"/>
          <w:sz w:val="20"/>
          <w:szCs w:val="20"/>
        </w:rPr>
        <w:t xml:space="preserve">It was the strongest AI signal on the site — the card described running thirteen AI agents inside a live construction business — and it sat two clicks from the offer. The argument inside it is sound, but a sceptical buyer searching for ETABLIX would have found it before finding anything about site establishment. One line in the schedule file puts it back if that judgement ever changes.</w:t>
      </w:r>
    </w:p>
    <w:p>
      <w:pPr>
        <w:pStyle w:val="Heading1"/>
        <w:keepNext/>
        <w:pBdr>
          <w:bottom w:val="single" w:color="9C7A3C" w:sz="8" w:space="6"/>
        </w:pBdr>
        <w:spacing w:after="150" w:before="380"/>
      </w:pPr>
      <w:r>
        <w:rPr>
          <w:rFonts w:ascii="Arial" w:cs="Arial" w:eastAsia="Arial" w:hAnsi="Arial"/>
          <w:b/>
          <w:bCs/>
          <w:color w:val="14181D"/>
          <w:sz w:val="26"/>
          <w:szCs w:val="26"/>
        </w:rPr>
        <w:t xml:space="preserve">How to check this stayed true</w:t>
      </w:r>
    </w:p>
    <w:p>
      <w:pPr>
        <w:spacing w:after="90" w:before="90" w:line="280"/>
      </w:pPr>
      <w:r>
        <w:rPr>
          <w:rFonts w:ascii="Arial" w:cs="Arial" w:eastAsia="Arial" w:hAnsi="Arial"/>
          <w:color w:val="14181D"/>
          <w:sz w:val="20"/>
          <w:szCs w:val="20"/>
        </w:rPr>
        <w:t xml:space="preserve">cd frontend/public &amp;&amp; grep -rnoiE \ '\bA\.?I\b|artificial intelligen|agentic|machine learning|\bLLM\b|GPT|autonomous|copilot|neural|generative|chatbot|AI-native|AI-powered|intelligence layer' . \ | grep -vE 'robots\.txt|meta name="robots"'</w:t>
      </w:r>
    </w:p>
    <w:p>
      <w:pPr>
        <w:spacing w:after="90" w:before="90" w:line="280"/>
      </w:pPr>
      <w:r>
        <w:rPr>
          <w:rFonts w:ascii="Arial" w:cs="Arial" w:eastAsia="Arial" w:hAnsi="Arial"/>
          <w:color w:val="14181D"/>
          <w:sz w:val="20"/>
          <w:szCs w:val="20"/>
        </w:rPr>
        <w:t xml:space="preserve">Empty output is the pass. Run it before any site deployment. The only expected hits anywhere are the VERYX API identifiers above and the crawler configuration.</w:t>
      </w:r>
    </w:p>
    <w:p>
      <w:pPr>
        <w:spacing w:after="90" w:before="90" w:line="280"/>
      </w:pPr>
      <w:r>
        <w:rPr>
          <w:rFonts w:ascii="Arial" w:cs="Arial" w:eastAsia="Arial" w:hAnsi="Arial"/>
          <w:b/>
          <w:bCs/>
          <w:color w:val="14181D"/>
          <w:sz w:val="20"/>
          <w:szCs w:val="20"/>
        </w:rPr>
        <w:t xml:space="preserve">Do not run that grep across `backend/`, `business/bids/` or `business/policies/`.</w:t>
      </w:r>
      <w:r>
        <w:rPr>
          <w:rFonts w:ascii="Arial" w:cs="Arial" w:eastAsia="Arial" w:hAnsi="Arial"/>
          <w:color w:val="14181D"/>
          <w:sz w:val="20"/>
          <w:szCs w:val="20"/>
        </w:rPr>
        <w:t xml:space="preserve"> The backend is internal tooling and is meant to name what it runs. The bids and policies contain Employer's Agent and the anti-bribery agents clause, which are contractual language.</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was checked and found already correct</w:t>
      </w:r>
    </w:p>
    <w:p>
      <w:pPr>
        <w:spacing w:after="90" w:before="90" w:line="280"/>
      </w:pPr>
      <w:r>
        <w:rPr>
          <w:rFonts w:ascii="Arial" w:cs="Arial" w:eastAsia="Arial" w:hAnsi="Arial"/>
          <w:color w:val="14181D"/>
          <w:sz w:val="20"/>
          <w:szCs w:val="20"/>
        </w:rPr>
        <w:t xml:space="preserve">Swept on 13 October 2026 and needing no change:</w:t>
      </w:r>
    </w:p>
    <w:p>
      <w:pPr>
        <w:pStyle w:val="ListParagraph"/>
        <w:numPr>
          <w:ilvl w:val="0"/>
          <w:numId w:val="2"/>
        </w:numPr>
        <w:spacing w:after="50" w:before="50" w:line="280"/>
      </w:pPr>
      <w:r>
        <w:rPr>
          <w:rFonts w:ascii="Arial" w:cs="Arial" w:eastAsia="Arial" w:hAnsi="Arial"/>
          <w:b/>
          <w:bCs/>
          <w:color w:val="14181D"/>
          <w:sz w:val="20"/>
          <w:szCs w:val="20"/>
        </w:rPr>
        <w:t xml:space="preserve">The client deliverable's provenance.</w:t>
      </w:r>
      <w:r>
        <w:rPr>
          <w:rFonts w:ascii="Arial" w:cs="Arial" w:eastAsia="Arial" w:hAnsi="Arial"/>
          <w:color w:val="14181D"/>
          <w:sz w:val="20"/>
          <w:szCs w:val="20"/>
        </w:rPr>
        <w:t xml:space="preserve"> An issued report carries a basis of preparation — what was supplied, what documents were read in full, what was not provided and therefore not relied on, that no site visit was undertaken, and that every load, ratio, rate and duration is a first-pass planning figure requiring validation by a competent person. It names no tooling, and it should not start to.</w:t>
      </w:r>
    </w:p>
    <w:p>
      <w:pPr>
        <w:pStyle w:val="ListParagraph"/>
        <w:numPr>
          <w:ilvl w:val="0"/>
          <w:numId w:val="2"/>
        </w:numPr>
        <w:spacing w:after="50" w:before="50" w:line="280"/>
      </w:pPr>
      <w:r>
        <w:rPr>
          <w:rFonts w:ascii="Arial" w:cs="Arial" w:eastAsia="Arial" w:hAnsi="Arial"/>
          <w:b/>
          <w:bCs/>
          <w:color w:val="14181D"/>
          <w:sz w:val="20"/>
          <w:szCs w:val="20"/>
        </w:rPr>
        <w:t xml:space="preserve">The PQQ page, the client portal and the supplier portal.</w:t>
      </w:r>
      <w:r>
        <w:rPr>
          <w:rFonts w:ascii="Arial" w:cs="Arial" w:eastAsia="Arial" w:hAnsi="Arial"/>
          <w:color w:val="14181D"/>
          <w:sz w:val="20"/>
          <w:szCs w:val="20"/>
        </w:rPr>
        <w:t xml:space="preserve"> Clean.</w:t>
      </w:r>
    </w:p>
    <w:p>
      <w:pPr>
        <w:pStyle w:val="ListParagraph"/>
        <w:numPr>
          <w:ilvl w:val="0"/>
          <w:numId w:val="2"/>
        </w:numPr>
        <w:spacing w:after="50" w:before="50" w:line="280"/>
      </w:pPr>
      <w:r>
        <w:rPr>
          <w:rFonts w:ascii="Arial" w:cs="Arial" w:eastAsia="Arial" w:hAnsi="Arial"/>
          <w:b/>
          <w:bCs/>
          <w:color w:val="14181D"/>
          <w:sz w:val="20"/>
          <w:szCs w:val="20"/>
        </w:rPr>
        <w:t xml:space="preserve">Every bid document and policy in `business/`.</w:t>
      </w:r>
      <w:r>
        <w:rPr>
          <w:rFonts w:ascii="Arial" w:cs="Arial" w:eastAsia="Arial" w:hAnsi="Arial"/>
          <w:color w:val="14181D"/>
          <w:sz w:val="20"/>
          <w:szCs w:val="20"/>
        </w:rPr>
        <w:t xml:space="preserve"> The only hits were the contractual roles above.</w:t>
      </w:r>
    </w:p>
    <w:p>
      <w:pPr>
        <w:pStyle w:val="ListParagraph"/>
        <w:numPr>
          <w:ilvl w:val="0"/>
          <w:numId w:val="2"/>
        </w:numPr>
        <w:spacing w:after="50" w:before="50" w:line="280"/>
      </w:pPr>
      <w:r>
        <w:rPr>
          <w:rFonts w:ascii="Arial" w:cs="Arial" w:eastAsia="Arial" w:hAnsi="Arial"/>
          <w:b/>
          <w:bCs/>
          <w:color w:val="14181D"/>
          <w:sz w:val="20"/>
          <w:szCs w:val="20"/>
        </w:rPr>
        <w:t xml:space="preserve">Operator-facing error messages</w:t>
      </w:r>
      <w:r>
        <w:rPr>
          <w:rFonts w:ascii="Arial" w:cs="Arial" w:eastAsia="Arial" w:hAnsi="Arial"/>
          <w:color w:val="14181D"/>
          <w:sz w:val="20"/>
          <w:szCs w:val="20"/>
        </w:rPr>
        <w:t xml:space="preserve"> such as </w:t>
      </w:r>
      <w:r>
        <w:rPr>
          <w:rFonts w:ascii="Arial" w:cs="Arial" w:eastAsia="Arial" w:hAnsi="Arial"/>
          <w:i/>
          <w:iCs/>
          <w:color w:val="14181D"/>
          <w:sz w:val="20"/>
          <w:szCs w:val="20"/>
        </w:rPr>
        <w:t xml:space="preserve">approve it under Organisation → AI agents</w:t>
      </w:r>
      <w:r>
        <w:rPr>
          <w:rFonts w:ascii="Arial" w:cs="Arial" w:eastAsia="Arial" w:hAnsi="Arial"/>
          <w:color w:val="14181D"/>
          <w:sz w:val="20"/>
          <w:szCs w:val="20"/>
        </w:rPr>
        <w:t xml:space="preserve">. These sit behind the staff guard and instruct navigation of the internal console. A client never sees them, and they stay as they are.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Standing rule — no AI language in anything a customer reads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STANDING RULE — NO AI LANGUAGE IN ANYTHING A CUSTOMER READS</dc:title>
  <dc:creator>ETABLIX — Integrated Site Services</dc:creator>
  <dc:description>ETABLIX STANDING RULE — NO AI LANGUAGE IN ANYTHING A CUSTOMER READS</dc:description>
  <cp:lastModifiedBy>Un-named</cp:lastModifiedBy>
  <cp:revision>1</cp:revision>
  <dcterms:created xsi:type="dcterms:W3CDTF">2026-10-14T10:13:51.228Z</dcterms:created>
  <dcterms:modified xsi:type="dcterms:W3CDTF">2026-10-14T10:13:51.228Z</dcterms:modified>
</cp:coreProperties>
</file>

<file path=docProps/custom.xml><?xml version="1.0" encoding="utf-8"?>
<Properties xmlns="http://schemas.openxmlformats.org/officeDocument/2006/custom-properties" xmlns:vt="http://schemas.openxmlformats.org/officeDocument/2006/docPropsVTypes"/>
</file>