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60"/>
      </w:pPr>
      <w:r>
        <w:rPr>
          <w:rFonts w:ascii="Arial" w:cs="Arial" w:eastAsia="Arial" w:hAnsi="Arial"/>
          <w:b/>
          <w:bCs/>
          <w:color w:val="14181D"/>
          <w:sz w:val="56"/>
          <w:szCs w:val="56"/>
        </w:rPr>
        <w:t xml:space="preserve">ETABLIX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9C7A3C"/>
          <w:sz w:val="18"/>
          <w:szCs w:val="18"/>
        </w:rPr>
        <w:t xml:space="preserve">INTEGRATED SITE SERVICES</w:t>
      </w:r>
    </w:p>
    <w:p>
      <w:pPr>
        <w:pBdr>
          <w:bottom w:val="single" w:color="9C7A3C" w:sz="6" w:space="6"/>
        </w:pBdr>
        <w:spacing w:after="380" w:before="90" w:line="280"/>
      </w:pPr>
      <w:r>
        <w:rPr>
          <w:rFonts w:ascii="Arial" w:cs="Arial" w:eastAsia="Arial" w:hAnsi="Arial"/>
          <w:color w:val="5B6672"/>
          <w:sz w:val="18"/>
          <w:szCs w:val="18"/>
        </w:rPr>
        <w:t xml:space="preserve">A trading name of JNN GLOBAL LTD · Company number 15405437</w:t>
      </w:r>
    </w:p>
    <w:p>
      <w:pPr>
        <w:spacing w:after="0" w:before="260"/>
      </w:pPr>
      <w:r>
        <w:rPr>
          <w:rFonts w:ascii="Arial" w:cs="Arial" w:eastAsia="Arial" w:hAnsi="Arial"/>
          <w:b/>
          <w:bCs/>
          <w:color w:val="9C7A3C"/>
          <w:sz w:val="30"/>
          <w:szCs w:val="30"/>
        </w:rPr>
        <w:t xml:space="preserve">WORKING BRIEF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4181D"/>
          <w:sz w:val="44"/>
          <w:szCs w:val="44"/>
        </w:rPr>
        <w:t xml:space="preserve">SIEMENS ENERGY — TICKET 6771028, AND WHAT REGISTRATION ACTUALLY INVOLVES</w:t>
      </w:r>
    </w:p>
    <w:p>
      <w:pPr>
        <w:spacing w:after="420" w:before="60"/>
      </w:pPr>
      <w:r>
        <w:rPr>
          <w:rFonts w:ascii="Arial" w:cs="Arial" w:eastAsia="Arial" w:hAnsi="Arial"/>
          <w:color w:val="5B6672"/>
          <w:sz w:val="26"/>
          <w:szCs w:val="26"/>
        </w:rPr>
        <w:t xml:space="preserve">internal working document — not for issue to a client or a buyer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000"/>
      </w:tblGrid>
      <w:tr>
        <w:trPr>
          <w:tblHeader/>
        </w:trPr>
        <w:tc>
          <w:tcPr>
            <w:tcW w:type="dxa" w:w="2300"/>
            <w:shd w:fill="14181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6000"/>
            <w:shd w:fill="14181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14181D"/>
                <w:sz w:val="18"/>
                <w:szCs w:val="18"/>
              </w:rPr>
              <w:t xml:space="preserve">Document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14181D"/>
                <w:sz w:val="18"/>
                <w:szCs w:val="18"/>
              </w:rPr>
              <w:t xml:space="preserve">Siemens Energy — ticket 6771028, and what registration actually involves</w:t>
            </w:r>
          </w:p>
        </w:tc>
      </w:tr>
      <w:tr>
        <w:tc>
          <w:tcPr>
            <w:tcW w:type="dxa" w:w="2300"/>
            <w:shd w:fill="F2EF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14181D"/>
                <w:sz w:val="18"/>
                <w:szCs w:val="18"/>
              </w:rPr>
              <w:t xml:space="preserve">Source</w:t>
            </w:r>
          </w:p>
        </w:tc>
        <w:tc>
          <w:tcPr>
            <w:tcW w:type="dxa" w:w="6000"/>
            <w:shd w:fill="F2EF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14181D"/>
                <w:sz w:val="18"/>
                <w:szCs w:val="18"/>
              </w:rPr>
              <w:t xml:space="preserve">business/marketing/siemens-energy-supplier-registration.md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14181D"/>
                <w:sz w:val="18"/>
                <w:szCs w:val="18"/>
              </w:rPr>
              <w:t xml:space="preserve">Rendered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14181D"/>
                <w:sz w:val="18"/>
                <w:szCs w:val="18"/>
              </w:rPr>
              <w:t xml:space="preserve">15 October 2026</w:t>
            </w:r>
          </w:p>
        </w:tc>
      </w:tr>
      <w:tr>
        <w:tc>
          <w:tcPr>
            <w:tcW w:type="dxa" w:w="2300"/>
            <w:shd w:fill="F2EF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14181D"/>
                <w:sz w:val="18"/>
                <w:szCs w:val="18"/>
              </w:rPr>
              <w:t xml:space="preserve">Status</w:t>
            </w:r>
          </w:p>
        </w:tc>
        <w:tc>
          <w:tcPr>
            <w:tcW w:type="dxa" w:w="6000"/>
            <w:shd w:fill="F2EF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14181D"/>
                <w:sz w:val="18"/>
                <w:szCs w:val="18"/>
              </w:rPr>
              <w:t xml:space="preserve">Rendered from the markdown source. Edit the source and re-run; do not edit this file.</w:t>
            </w:r>
          </w:p>
        </w:tc>
      </w:tr>
    </w:tbl>
    <w:p>
      <w:pPr>
        <w:spacing w:after="300" w:before="90" w:line="280"/>
      </w:pPr>
      <w:r>
        <w:rPr>
          <w:rFonts w:ascii="Arial" w:cs="Arial" w:eastAsia="Arial" w:hAnsi="Arial"/>
          <w:color w:val="14181D"/>
          <w:sz w:val="20"/>
          <w:szCs w:val="20"/>
        </w:rPr>
        <w:t xml:space="preserve"/>
      </w:r>
    </w:p>
    <w:p>
      <w:r>
        <w:br w:type="page"/>
      </w:r>
    </w:p>
    <w:p>
      <w:pPr>
        <w:spacing w:after="90" w:before="90" w:line="280"/>
      </w:pPr>
      <w:r>
        <w:rPr>
          <w:rFonts w:ascii="Arial" w:cs="Arial" w:eastAsia="Arial" w:hAnsi="Arial"/>
          <w:b/>
          <w:bCs/>
          <w:color w:val="14181D"/>
          <w:sz w:val="20"/>
          <w:szCs w:val="20"/>
        </w:rPr>
        <w:t xml:space="preserve">From:</w:t>
      </w:r>
      <w:r>
        <w:rPr>
          <w:rFonts w:ascii="Arial" w:cs="Arial" w:eastAsia="Arial" w:hAnsi="Arial"/>
          <w:color w:val="14181D"/>
          <w:sz w:val="20"/>
          <w:szCs w:val="20"/>
        </w:rPr>
        <w:t xml:space="preserve"> Siemens Energy Customer Support Center, ticket 6771028 </w:t>
      </w:r>
      <w:r>
        <w:rPr>
          <w:rFonts w:ascii="Arial" w:cs="Arial" w:eastAsia="Arial" w:hAnsi="Arial"/>
          <w:b/>
          <w:bCs/>
          <w:color w:val="14181D"/>
          <w:sz w:val="20"/>
          <w:szCs w:val="20"/>
        </w:rPr>
        <w:t xml:space="preserve">Says:</w:t>
      </w:r>
      <w:r>
        <w:rPr>
          <w:rFonts w:ascii="Arial" w:cs="Arial" w:eastAsia="Arial" w:hAnsi="Arial"/>
          <w:color w:val="14181D"/>
          <w:sz w:val="20"/>
          <w:szCs w:val="20"/>
        </w:rPr>
        <w:t xml:space="preserve"> to become a supplier, register via the Collaborating with Siemens Energy page. </w:t>
      </w:r>
      <w:r>
        <w:rPr>
          <w:rFonts w:ascii="Arial" w:cs="Arial" w:eastAsia="Arial" w:hAnsi="Arial"/>
          <w:b/>
          <w:bCs/>
          <w:color w:val="14181D"/>
          <w:sz w:val="20"/>
          <w:szCs w:val="20"/>
        </w:rPr>
        <w:t xml:space="preserve">Date:</w:t>
      </w:r>
      <w:r>
        <w:rPr>
          <w:rFonts w:ascii="Arial" w:cs="Arial" w:eastAsia="Arial" w:hAnsi="Arial"/>
          <w:color w:val="14181D"/>
          <w:sz w:val="20"/>
          <w:szCs w:val="20"/>
        </w:rPr>
        <w:t xml:space="preserve"> 15 October 2026</w:t>
      </w:r>
    </w:p>
    <w:p>
      <w:pPr>
        <w:spacing w:after="90" w:before="90" w:line="280"/>
      </w:pPr>
      <w:r>
        <w:rPr>
          <w:rFonts w:ascii="Arial" w:cs="Arial" w:eastAsia="Arial" w:hAnsi="Arial"/>
          <w:color w:val="14181D"/>
          <w:sz w:val="20"/>
          <w:szCs w:val="20"/>
        </w:rPr>
        <w:t xml:space="preserve">An auto-routed redirect from a support desk. It is not a rejection and it is not an opening — it is the public front door, sent to everyone who writes to the wrong address. The reply should be three lines, and the value is entirely in doing the registration properly.</w:t>
      </w:r>
    </w:p>
    <w:p>
      <w:pPr>
        <w:pStyle w:val="Heading1"/>
        <w:keepNext/>
        <w:pBdr>
          <w:bottom w:val="single" w:color="9C7A3C" w:sz="8" w:space="6"/>
        </w:pBdr>
        <w:spacing w:after="150" w:before="380"/>
      </w:pPr>
      <w:r>
        <w:rPr>
          <w:rFonts w:ascii="Arial" w:cs="Arial" w:eastAsia="Arial" w:hAnsi="Arial"/>
          <w:b/>
          <w:bCs/>
          <w:color w:val="14181D"/>
          <w:sz w:val="26"/>
          <w:szCs w:val="26"/>
        </w:rPr>
        <w:t xml:space="preserve">The reply</w:t>
      </w:r>
    </w:p>
    <w:p>
      <w:pPr>
        <w:pBdr>
          <w:left w:val="single" w:color="9C7A3C" w:sz="18" w:space="10"/>
        </w:pBdr>
        <w:shd w:fill="EFE6D2" w:color="auto" w:val="clear"/>
        <w:spacing w:after="150" w:before="150" w:line="280"/>
        <w:ind w:left="170" w:right="170"/>
      </w:pPr>
      <w:r>
        <w:rPr>
          <w:rFonts w:ascii="Arial" w:cs="Arial" w:eastAsia="Arial" w:hAnsi="Arial"/>
          <w:color w:val="14181D"/>
          <w:sz w:val="19"/>
          <w:szCs w:val="19"/>
        </w:rPr>
        <w:t xml:space="preserve">Subject: Re: Ticket 6771028 — supplier registration</w:t>
      </w:r>
    </w:p>
    <w:p>
      <w:pPr>
        <w:pBdr>
          <w:left w:val="single" w:color="9C7A3C" w:sz="18" w:space="10"/>
        </w:pBdr>
        <w:shd w:fill="EFE6D2" w:color="auto" w:val="clear"/>
        <w:spacing w:after="150" w:before="150" w:line="280"/>
        <w:ind w:left="170" w:right="170"/>
      </w:pPr>
      <w:r>
        <w:rPr>
          <w:rFonts w:ascii="Arial" w:cs="Arial" w:eastAsia="Arial" w:hAnsi="Arial"/>
          <w:color w:val="14181D"/>
          <w:sz w:val="19"/>
          <w:szCs w:val="19"/>
        </w:rPr>
        <w:t xml:space="preserve">Dear Customer Support Center,</w:t>
      </w:r>
    </w:p>
    <w:p>
      <w:pPr>
        <w:pBdr>
          <w:left w:val="single" w:color="9C7A3C" w:sz="18" w:space="10"/>
        </w:pBdr>
        <w:shd w:fill="EFE6D2" w:color="auto" w:val="clear"/>
        <w:spacing w:after="150" w:before="150" w:line="280"/>
        <w:ind w:left="170" w:right="170"/>
      </w:pPr>
      <w:r>
        <w:rPr>
          <w:rFonts w:ascii="Arial" w:cs="Arial" w:eastAsia="Arial" w:hAnsi="Arial"/>
          <w:color w:val="14181D"/>
          <w:sz w:val="19"/>
          <w:szCs w:val="19"/>
        </w:rPr>
        <w:t xml:space="preserve">Thank you. I will register ETABLIX Limited through the supplier portal.</w:t>
      </w:r>
    </w:p>
    <w:p>
      <w:pPr>
        <w:pBdr>
          <w:left w:val="single" w:color="9C7A3C" w:sz="18" w:space="10"/>
        </w:pBdr>
        <w:shd w:fill="EFE6D2" w:color="auto" w:val="clear"/>
        <w:spacing w:after="150" w:before="150" w:line="280"/>
        <w:ind w:left="170" w:right="170"/>
      </w:pPr>
      <w:r>
        <w:rPr>
          <w:rFonts w:ascii="Arial" w:cs="Arial" w:eastAsia="Arial" w:hAnsi="Arial"/>
          <w:color w:val="14181D"/>
          <w:sz w:val="19"/>
          <w:szCs w:val="19"/>
        </w:rPr>
        <w:t xml:space="preserve">So that it reaches the right category: our services are site establishment and temporary site services for construction and infrastructure projects — compound and welfare, temporary power and utilities, security, waste, catering, workforce accommodation, logistics, and demobilisation and reinstatement. If that sits with a particular business area rather than central procurement, I would be grateful if you could note it on this ticket.</w:t>
      </w:r>
    </w:p>
    <w:p>
      <w:pPr>
        <w:pBdr>
          <w:left w:val="single" w:color="9C7A3C" w:sz="18" w:space="10"/>
        </w:pBdr>
        <w:shd w:fill="EFE6D2" w:color="auto" w:val="clear"/>
        <w:spacing w:after="150" w:before="150" w:line="280"/>
        <w:ind w:left="170" w:right="170"/>
      </w:pPr>
      <w:r>
        <w:rPr>
          <w:rFonts w:ascii="Arial" w:cs="Arial" w:eastAsia="Arial" w:hAnsi="Arial"/>
          <w:color w:val="14181D"/>
          <w:sz w:val="19"/>
          <w:szCs w:val="19"/>
        </w:rPr>
        <w:t xml:space="preserve">Kind regards,</w:t>
      </w:r>
    </w:p>
    <w:p>
      <w:pPr>
        <w:pBdr>
          <w:left w:val="single" w:color="9C7A3C" w:sz="18" w:space="10"/>
        </w:pBdr>
        <w:shd w:fill="EFE6D2" w:color="auto" w:val="clear"/>
        <w:spacing w:after="150" w:before="150" w:line="280"/>
        <w:ind w:left="170" w:right="170"/>
      </w:pPr>
      <w:r>
        <w:rPr>
          <w:rFonts w:ascii="Arial" w:cs="Arial" w:eastAsia="Arial" w:hAnsi="Arial"/>
          <w:color w:val="14181D"/>
          <w:sz w:val="19"/>
          <w:szCs w:val="19"/>
        </w:rPr>
        <w:t xml:space="preserve">Justin Ngolu Nseya MCIOB Managing Director, ETABLIX Limited</w:t>
      </w:r>
    </w:p>
    <w:p>
      <w:pPr>
        <w:spacing w:after="90" w:before="90" w:line="280"/>
      </w:pPr>
      <w:r>
        <w:rPr>
          <w:rFonts w:ascii="Arial" w:cs="Arial" w:eastAsia="Arial" w:hAnsi="Arial"/>
          <w:color w:val="14181D"/>
          <w:sz w:val="20"/>
          <w:szCs w:val="20"/>
        </w:rPr>
        <w:t xml:space="preserve">That is as much as a support centre can act on. Asking them to annotate the ticket with the category is the only request they can actually grant, and it costs nothing if they do not.</w:t>
      </w:r>
    </w:p>
    <w:p>
      <w:pPr>
        <w:pStyle w:val="Heading1"/>
        <w:keepNext/>
        <w:pBdr>
          <w:bottom w:val="single" w:color="9C7A3C" w:sz="8" w:space="6"/>
        </w:pBdr>
        <w:spacing w:after="150" w:before="380"/>
      </w:pPr>
      <w:r>
        <w:rPr>
          <w:rFonts w:ascii="Arial" w:cs="Arial" w:eastAsia="Arial" w:hAnsi="Arial"/>
          <w:b/>
          <w:bCs/>
          <w:color w:val="14181D"/>
          <w:sz w:val="26"/>
          <w:szCs w:val="26"/>
        </w:rPr>
        <w:t xml:space="preserve">What registration actually involves — and where it will stop</w:t>
      </w:r>
    </w:p>
    <w:p>
      <w:pPr>
        <w:spacing w:after="90" w:before="90" w:line="280"/>
      </w:pPr>
      <w:r>
        <w:rPr>
          <w:rFonts w:ascii="Arial" w:cs="Arial" w:eastAsia="Arial" w:hAnsi="Arial"/>
          <w:color w:val="14181D"/>
          <w:sz w:val="20"/>
          <w:szCs w:val="20"/>
        </w:rPr>
        <w:t xml:space="preserve">From Siemens Energy's own published supplier process, not from guesswork:</w:t>
      </w:r>
    </w:p>
    <w:p>
      <w:pPr>
        <w:pStyle w:val="ListParagraph"/>
        <w:numPr>
          <w:ilvl w:val="0"/>
          <w:numId w:val="2"/>
        </w:numPr>
        <w:spacing w:after="50" w:before="50" w:line="280"/>
      </w:pPr>
      <w:r>
        <w:rPr>
          <w:rFonts w:ascii="Arial" w:cs="Arial" w:eastAsia="Arial" w:hAnsi="Arial"/>
          <w:b/>
          <w:bCs/>
          <w:color w:val="14181D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color w:val="14181D"/>
          <w:sz w:val="20"/>
          <w:szCs w:val="20"/>
        </w:rPr>
        <w:t xml:space="preserve">Registration runs through SAP Ariba.</w:t>
      </w:r>
      <w:r>
        <w:rPr>
          <w:rFonts w:ascii="Arial" w:cs="Arial" w:eastAsia="Arial" w:hAnsi="Arial"/>
          <w:color w:val="14181D"/>
          <w:sz w:val="20"/>
          <w:szCs w:val="20"/>
        </w:rPr>
        <w:t xml:space="preserve"> Company details, an administrator, business data, product and service categories, ship-to locations.</w:t>
      </w:r>
    </w:p>
    <w:p>
      <w:pPr>
        <w:pStyle w:val="ListParagraph"/>
        <w:numPr>
          <w:ilvl w:val="0"/>
          <w:numId w:val="2"/>
        </w:numPr>
        <w:spacing w:after="50" w:before="50" w:line="280"/>
      </w:pPr>
      <w:r>
        <w:rPr>
          <w:rFonts w:ascii="Arial" w:cs="Arial" w:eastAsia="Arial" w:hAnsi="Arial"/>
          <w:b/>
          <w:bCs/>
          <w:color w:val="14181D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color w:val="14181D"/>
          <w:sz w:val="20"/>
          <w:szCs w:val="20"/>
        </w:rPr>
        <w:t xml:space="preserve">Registering is not the thing that matters.</w:t>
      </w:r>
      <w:r>
        <w:rPr>
          <w:rFonts w:ascii="Arial" w:cs="Arial" w:eastAsia="Arial" w:hAnsi="Arial"/>
          <w:color w:val="14181D"/>
          <w:sz w:val="20"/>
          <w:szCs w:val="20"/>
        </w:rPr>
        <w:t xml:space="preserve"> Suppliers then complete qualification modules chosen by their product or service portfolio: the </w:t>
      </w:r>
      <w:r>
        <w:rPr>
          <w:rFonts w:ascii="Arial" w:cs="Arial" w:eastAsia="Arial" w:hAnsi="Arial"/>
          <w:b/>
          <w:bCs/>
          <w:color w:val="14181D"/>
          <w:sz w:val="20"/>
          <w:szCs w:val="20"/>
        </w:rPr>
        <w:t xml:space="preserve">Sustainability Self-Assessment</w:t>
      </w:r>
      <w:r>
        <w:rPr>
          <w:rFonts w:ascii="Arial" w:cs="Arial" w:eastAsia="Arial" w:hAnsi="Arial"/>
          <w:color w:val="14181D"/>
          <w:sz w:val="20"/>
          <w:szCs w:val="20"/>
        </w:rPr>
        <w:t xml:space="preserve">, plus further modules on </w:t>
      </w:r>
      <w:r>
        <w:rPr>
          <w:rFonts w:ascii="Arial" w:cs="Arial" w:eastAsia="Arial" w:hAnsi="Arial"/>
          <w:b/>
          <w:bCs/>
          <w:color w:val="14181D"/>
          <w:sz w:val="20"/>
          <w:szCs w:val="20"/>
        </w:rPr>
        <w:t xml:space="preserve">health and safety</w:t>
      </w:r>
      <w:r>
        <w:rPr>
          <w:rFonts w:ascii="Arial" w:cs="Arial" w:eastAsia="Arial" w:hAnsi="Arial"/>
          <w:color w:val="14181D"/>
          <w:sz w:val="20"/>
          <w:szCs w:val="20"/>
        </w:rPr>
        <w:t xml:space="preserve"> and </w:t>
      </w:r>
      <w:r>
        <w:rPr>
          <w:rFonts w:ascii="Arial" w:cs="Arial" w:eastAsia="Arial" w:hAnsi="Arial"/>
          <w:b/>
          <w:bCs/>
          <w:color w:val="14181D"/>
          <w:sz w:val="20"/>
          <w:szCs w:val="20"/>
        </w:rPr>
        <w:t xml:space="preserve">cyber security</w:t>
      </w:r>
      <w:r>
        <w:rPr>
          <w:rFonts w:ascii="Arial" w:cs="Arial" w:eastAsia="Arial" w:hAnsi="Arial"/>
          <w:color w:val="14181D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before="50" w:line="280"/>
      </w:pPr>
      <w:r>
        <w:rPr>
          <w:rFonts w:ascii="Arial" w:cs="Arial" w:eastAsia="Arial" w:hAnsi="Arial"/>
          <w:b/>
          <w:bCs/>
          <w:color w:val="14181D"/>
          <w:sz w:val="20"/>
          <w:szCs w:val="20"/>
        </w:rPr>
        <w:t xml:space="preserve">3. </w:t>
      </w:r>
      <w:r>
        <w:rPr>
          <w:rFonts w:ascii="Arial" w:cs="Arial" w:eastAsia="Arial" w:hAnsi="Arial"/>
          <w:b/>
          <w:bCs/>
          <w:color w:val="14181D"/>
          <w:sz w:val="20"/>
          <w:szCs w:val="20"/>
        </w:rPr>
        <w:t xml:space="preserve">"Ready-for-Business" (R4B) is the gate.</w:t>
      </w:r>
      <w:r>
        <w:rPr>
          <w:rFonts w:ascii="Arial" w:cs="Arial" w:eastAsia="Arial" w:hAnsi="Arial"/>
          <w:color w:val="14181D"/>
          <w:sz w:val="20"/>
          <w:szCs w:val="20"/>
        </w:rPr>
        <w:t xml:space="preserve"> That status is what permits a supplier to take part in electronic invitations to tender and auctions. A registration that never reaches R4B is a database row.</w:t>
      </w:r>
    </w:p>
    <w:p>
      <w:pPr>
        <w:spacing w:after="90" w:before="90" w:line="280"/>
      </w:pPr>
      <w:r>
        <w:rPr>
          <w:rFonts w:ascii="Arial" w:cs="Arial" w:eastAsia="Arial" w:hAnsi="Arial"/>
          <w:b/>
          <w:bCs/>
          <w:color w:val="14181D"/>
          <w:sz w:val="20"/>
          <w:szCs w:val="20"/>
        </w:rPr>
        <w:t xml:space="preserve">So the real work is the modules, and two of the three touch a known gap.</w:t>
      </w:r>
    </w:p>
    <w:p>
      <w:pPr>
        <w:pStyle w:val="ListParagraph"/>
        <w:numPr>
          <w:ilvl w:val="0"/>
          <w:numId w:val="2"/>
        </w:numPr>
        <w:spacing w:after="50" w:before="50" w:line="280"/>
      </w:pPr>
      <w:r>
        <w:rPr>
          <w:rFonts w:ascii="Arial" w:cs="Arial" w:eastAsia="Arial" w:hAnsi="Arial"/>
          <w:b/>
          <w:bCs/>
          <w:color w:val="14181D"/>
          <w:sz w:val="20"/>
          <w:szCs w:val="20"/>
        </w:rPr>
        <w:t xml:space="preserve">Sustainability Self-Assessment</w:t>
      </w:r>
      <w:r>
        <w:rPr>
          <w:rFonts w:ascii="Arial" w:cs="Arial" w:eastAsia="Arial" w:hAnsi="Arial"/>
          <w:color w:val="14181D"/>
          <w:sz w:val="20"/>
          <w:szCs w:val="20"/>
        </w:rPr>
        <w:t xml:space="preserve"> — a self-assessment, not a certification. Answerable honestly today, and the honest answers are acceptable.</w:t>
      </w:r>
    </w:p>
    <w:p>
      <w:pPr>
        <w:pStyle w:val="ListParagraph"/>
        <w:numPr>
          <w:ilvl w:val="0"/>
          <w:numId w:val="2"/>
        </w:numPr>
        <w:spacing w:after="50" w:before="50" w:line="280"/>
      </w:pPr>
      <w:r>
        <w:rPr>
          <w:rFonts w:ascii="Arial" w:cs="Arial" w:eastAsia="Arial" w:hAnsi="Arial"/>
          <w:b/>
          <w:bCs/>
          <w:color w:val="14181D"/>
          <w:sz w:val="20"/>
          <w:szCs w:val="20"/>
        </w:rPr>
        <w:t xml:space="preserve">Health and safety</w:t>
      </w:r>
      <w:r>
        <w:rPr>
          <w:rFonts w:ascii="Arial" w:cs="Arial" w:eastAsia="Arial" w:hAnsi="Arial"/>
          <w:color w:val="14181D"/>
          <w:sz w:val="20"/>
          <w:szCs w:val="20"/>
        </w:rPr>
        <w:t xml:space="preserve"> — this is where the absence of SSIP registration or a documented equivalent will be felt, along with accident and enforcement history. The documented health and safety policy already built covers the substance; what is missing is third-party verification.</w:t>
      </w:r>
    </w:p>
    <w:p>
      <w:pPr>
        <w:pStyle w:val="ListParagraph"/>
        <w:numPr>
          <w:ilvl w:val="0"/>
          <w:numId w:val="2"/>
        </w:numPr>
        <w:spacing w:after="50" w:before="50" w:line="280"/>
      </w:pPr>
      <w:r>
        <w:rPr>
          <w:rFonts w:ascii="Arial" w:cs="Arial" w:eastAsia="Arial" w:hAnsi="Arial"/>
          <w:b/>
          <w:bCs/>
          <w:color w:val="14181D"/>
          <w:sz w:val="20"/>
          <w:szCs w:val="20"/>
        </w:rPr>
        <w:t xml:space="preserve">Cyber security</w:t>
      </w:r>
      <w:r>
        <w:rPr>
          <w:rFonts w:ascii="Arial" w:cs="Arial" w:eastAsia="Arial" w:hAnsi="Arial"/>
          <w:color w:val="14181D"/>
          <w:sz w:val="20"/>
          <w:szCs w:val="20"/>
        </w:rPr>
        <w:t xml:space="preserve"> — the module that makes </w:t>
      </w:r>
      <w:r>
        <w:rPr>
          <w:rFonts w:ascii="Arial" w:cs="Arial" w:eastAsia="Arial" w:hAnsi="Arial"/>
          <w:b/>
          <w:bCs/>
          <w:color w:val="14181D"/>
          <w:sz w:val="20"/>
          <w:szCs w:val="20"/>
        </w:rPr>
        <w:t xml:space="preserve">Cyber Essentials</w:t>
      </w:r>
      <w:r>
        <w:rPr>
          <w:rFonts w:ascii="Arial" w:cs="Arial" w:eastAsia="Arial" w:hAnsi="Arial"/>
          <w:color w:val="14181D"/>
          <w:sz w:val="20"/>
          <w:szCs w:val="20"/>
        </w:rPr>
        <w:t xml:space="preserve"> worth buying sooner than planned. It is the cheapest certification on the list and it answers a named gate directly, rather than generally improving the paperwork.</w:t>
      </w:r>
    </w:p>
    <w:p>
      <w:pPr>
        <w:pStyle w:val="Heading1"/>
        <w:keepNext/>
        <w:pBdr>
          <w:bottom w:val="single" w:color="9C7A3C" w:sz="8" w:space="6"/>
        </w:pBdr>
        <w:spacing w:after="150" w:before="380"/>
      </w:pPr>
      <w:r>
        <w:rPr>
          <w:rFonts w:ascii="Arial" w:cs="Arial" w:eastAsia="Arial" w:hAnsi="Arial"/>
          <w:b/>
          <w:bCs/>
          <w:color w:val="14181D"/>
          <w:sz w:val="26"/>
          <w:szCs w:val="26"/>
        </w:rPr>
        <w:t xml:space="preserve">Two standing cautions</w:t>
      </w:r>
    </w:p>
    <w:p>
      <w:pPr>
        <w:spacing w:after="90" w:before="90" w:line="280"/>
      </w:pPr>
      <w:r>
        <w:rPr>
          <w:rFonts w:ascii="Arial" w:cs="Arial" w:eastAsia="Arial" w:hAnsi="Arial"/>
          <w:b/>
          <w:bCs/>
          <w:color w:val="14181D"/>
          <w:sz w:val="20"/>
          <w:szCs w:val="20"/>
        </w:rPr>
        <w:t xml:space="preserve">Never pay to register.</w:t>
      </w:r>
      <w:r>
        <w:rPr>
          <w:rFonts w:ascii="Arial" w:cs="Arial" w:eastAsia="Arial" w:hAnsi="Arial"/>
          <w:color w:val="14181D"/>
          <w:sz w:val="20"/>
          <w:szCs w:val="20"/>
        </w:rPr>
        <w:t xml:space="preserve"> Registration as a supplier to a buyer is free. If any step asks for a subscription, a listing fee or a paid upgrade to be visible, stop and check what is being bought — that is a different product from being on Siemens Energy's supplier list.</w:t>
      </w:r>
    </w:p>
    <w:p>
      <w:pPr>
        <w:spacing w:after="90" w:before="90" w:line="280"/>
      </w:pPr>
      <w:r>
        <w:rPr>
          <w:rFonts w:ascii="Arial" w:cs="Arial" w:eastAsia="Arial" w:hAnsi="Arial"/>
          <w:b/>
          <w:bCs/>
          <w:color w:val="14181D"/>
          <w:sz w:val="20"/>
          <w:szCs w:val="20"/>
        </w:rPr>
        <w:t xml:space="preserve">Claim nothing in the modules that is not held.</w:t>
      </w:r>
      <w:r>
        <w:rPr>
          <w:rFonts w:ascii="Arial" w:cs="Arial" w:eastAsia="Arial" w:hAnsi="Arial"/>
          <w:color w:val="14181D"/>
          <w:sz w:val="20"/>
          <w:szCs w:val="20"/>
        </w:rPr>
        <w:t xml:space="preserve"> No ISO certification and no SSIP registration exist, and a questionnaire answer is a declaration. Answer "documented, not certified", attach the policy, and let the gap be visible. A discovered overclaim closes a door permanently; a visible gap only narrows it.</w:t>
      </w:r>
    </w:p>
    <w:p>
      <w:pPr>
        <w:pStyle w:val="Heading1"/>
        <w:keepNext/>
        <w:pBdr>
          <w:bottom w:val="single" w:color="9C7A3C" w:sz="8" w:space="6"/>
        </w:pBdr>
        <w:spacing w:after="150" w:before="380"/>
      </w:pPr>
      <w:r>
        <w:rPr>
          <w:rFonts w:ascii="Arial" w:cs="Arial" w:eastAsia="Arial" w:hAnsi="Arial"/>
          <w:b/>
          <w:bCs/>
          <w:color w:val="14181D"/>
          <w:sz w:val="26"/>
          <w:szCs w:val="26"/>
        </w:rPr>
        <w:t xml:space="preserve">Sources</w:t>
      </w:r>
    </w:p>
    <w:p>
      <w:pPr>
        <w:pStyle w:val="ListParagraph"/>
        <w:numPr>
          <w:ilvl w:val="0"/>
          <w:numId w:val="2"/>
        </w:numPr>
        <w:spacing w:after="50" w:before="50" w:line="280"/>
      </w:pPr>
      <w:r>
        <w:rPr>
          <w:rFonts w:ascii="Arial" w:cs="Arial" w:eastAsia="Arial" w:hAnsi="Arial"/>
          <w:color w:val="14181D"/>
          <w:sz w:val="20"/>
          <w:szCs w:val="20"/>
        </w:rPr>
        <w:t xml:space="preserve">[Collaborating with Siemens Energy — supplier management](https://www.siemens-energy.com/global/en/company/about/supply-chain-management/collaborating-with-siemens-energy/supplier-management.html)</w:t>
      </w:r>
    </w:p>
    <w:p>
      <w:pPr>
        <w:pStyle w:val="ListParagraph"/>
        <w:numPr>
          <w:ilvl w:val="0"/>
          <w:numId w:val="2"/>
        </w:numPr>
        <w:spacing w:after="50" w:before="50" w:line="280"/>
      </w:pPr>
      <w:r>
        <w:rPr>
          <w:rFonts w:ascii="Arial" w:cs="Arial" w:eastAsia="Arial" w:hAnsi="Arial"/>
          <w:color w:val="14181D"/>
          <w:sz w:val="20"/>
          <w:szCs w:val="20"/>
        </w:rPr>
        <w:t xml:space="preserve">[Supplier manual: first registration (PDF)](https://assets.siemens-energy.com/dam/3cd2c180-f969-4acc-99b7-b05100f40ca7/SupplierManual-1rst-Registration-EN-pdf_Original%20file.pdf)</w:t>
      </w:r>
    </w:p>
    <w:sectPr>
      <w:headerReference w:type="default" r:id="rId6"/>
      <w:footerReference w:type="default" r:id="rId7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B6672"/>
        <w:sz w:val="14"/>
        <w:szCs w:val="14"/>
      </w:rPr>
      <w:t xml:space="preserve">JNN GLOBAL LTD · 15405437          </w:t>
    </w:r>
    <w:r>
      <w:rPr>
        <w:rFonts w:ascii="Arial" w:cs="Arial" w:eastAsia="Arial" w:hAnsi="Arial"/>
        <w:color w:val="5B6672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672"/>
        <w:sz w:val="14"/>
        <w:szCs w:val="14"/>
      </w:rPr>
      <w:t xml:space="preserve"> of </w:t>
    </w:r>
    <w:r>
      <w:rPr>
        <w:rFonts w:ascii="Arial" w:cs="Arial" w:eastAsia="Arial" w:hAnsi="Arial"/>
        <w:color w:val="5B6672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FE6D2" w:sz="4" w:space="4"/>
      </w:pBdr>
      <w:jc w:val="right"/>
    </w:pPr>
    <w:r>
      <w:rPr>
        <w:rFonts w:ascii="Arial" w:cs="Arial" w:eastAsia="Arial" w:hAnsi="Arial"/>
        <w:color w:val="5B6672"/>
        <w:sz w:val="14"/>
        <w:szCs w:val="14"/>
      </w:rPr>
      <w:t xml:space="preserve">ETABLIX · Siemens Energy — ticket 6771028, and what registration actually involves · Rev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360" w:hanging="200"/>
      </w:pPr>
      <w:rPr>
        <w:rFonts w:ascii="Arial" w:cs="Arial" w:eastAsia="Arial" w:hAnsi="Arial"/>
        <w:b/>
        <w:bCs/>
        <w:color w:val="9C7A3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181D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SIEMENS ENERGY — TICKET 6771028, AND WHAT REGISTRATION ACTUALLY INVOLVES</dc:title>
  <dc:creator>ETABLIX — Integrated Site Services</dc:creator>
  <dc:description>ETABLIX SIEMENS ENERGY — TICKET 6771028, AND WHAT REGISTRATION ACTUALLY INVOLVES</dc:description>
  <cp:lastModifiedBy>Un-named</cp:lastModifiedBy>
  <cp:revision>1</cp:revision>
  <dcterms:created xsi:type="dcterms:W3CDTF">2026-10-15T16:08:05.998Z</dcterms:created>
  <dcterms:modified xsi:type="dcterms:W3CDTF">2026-10-15T16:08:05.998Z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