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REPLY — ILI GROUP (INTELLIGENT LAND INVESTMENTS)</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 ILI Group (Intelligent Land Investments)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business/marketing/ili-group-reply.md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b/>
          <w:bCs/>
          <w:color w:val="14181D"/>
          <w:sz w:val="20"/>
          <w:szCs w:val="20"/>
        </w:rPr>
        <w:t xml:space="preserve">From:</w:t>
      </w:r>
      <w:r>
        <w:rPr>
          <w:rFonts w:ascii="Arial" w:cs="Arial" w:eastAsia="Arial" w:hAnsi="Arial"/>
          <w:color w:val="14181D"/>
          <w:sz w:val="20"/>
          <w:szCs w:val="20"/>
        </w:rPr>
        <w:t xml:space="preserve"> Chris McCearney, Operations Manager, ILI Group </w:t>
      </w:r>
      <w:r>
        <w:rPr>
          <w:rFonts w:ascii="Arial" w:cs="Arial" w:eastAsia="Arial" w:hAnsi="Arial"/>
          <w:b/>
          <w:bCs/>
          <w:color w:val="14181D"/>
          <w:sz w:val="20"/>
          <w:szCs w:val="20"/>
        </w:rPr>
        <w:t xml:space="preserve">Replying to:</w:t>
      </w:r>
      <w:r>
        <w:rPr>
          <w:rFonts w:ascii="Arial" w:cs="Arial" w:eastAsia="Arial" w:hAnsi="Arial"/>
          <w:color w:val="14181D"/>
          <w:sz w:val="20"/>
          <w:szCs w:val="20"/>
        </w:rPr>
        <w:t xml:space="preserve"> the supply-chain introduction sent 29 September 2026 </w:t>
      </w:r>
      <w:r>
        <w:rPr>
          <w:rFonts w:ascii="Arial" w:cs="Arial" w:eastAsia="Arial" w:hAnsi="Arial"/>
          <w:b/>
          <w:bCs/>
          <w:color w:val="14181D"/>
          <w:sz w:val="20"/>
          <w:szCs w:val="20"/>
        </w:rPr>
        <w:t xml:space="preserve">His position:</w:t>
      </w:r>
      <w:r>
        <w:rPr>
          <w:rFonts w:ascii="Arial" w:cs="Arial" w:eastAsia="Arial" w:hAnsi="Arial"/>
          <w:color w:val="14181D"/>
          <w:sz w:val="20"/>
          <w:szCs w:val="20"/>
        </w:rPr>
        <w:t xml:space="preserve"> ILI is a pre-construction developer and unlikely to be involved in the construction phase; happy to register the interest and pass the details on when the time comes; watch the industry press for announcements </w:t>
      </w:r>
      <w:r>
        <w:rPr>
          <w:rFonts w:ascii="Arial" w:cs="Arial" w:eastAsia="Arial" w:hAnsi="Arial"/>
          <w:b/>
          <w:bCs/>
          <w:color w:val="14181D"/>
          <w:sz w:val="20"/>
          <w:szCs w:val="20"/>
        </w:rPr>
        <w:t xml:space="preserve">Date:</w:t>
      </w:r>
      <w:r>
        <w:rPr>
          <w:rFonts w:ascii="Arial" w:cs="Arial" w:eastAsia="Arial" w:hAnsi="Arial"/>
          <w:color w:val="14181D"/>
          <w:sz w:val="20"/>
          <w:szCs w:val="20"/>
        </w:rPr>
        <w:t xml:space="preserve"> 13 October 2026</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ILI actually is, from the public record</w:t>
      </w:r>
    </w:p>
    <w:p>
      <w:pPr>
        <w:spacing w:after="90" w:before="90" w:line="280"/>
      </w:pPr>
      <w:r>
        <w:rPr>
          <w:rFonts w:ascii="Arial" w:cs="Arial" w:eastAsia="Arial" w:hAnsi="Arial"/>
          <w:color w:val="14181D"/>
          <w:sz w:val="20"/>
          <w:szCs w:val="20"/>
        </w:rPr>
        <w:t xml:space="preserve">A Scottish developer that takes energy storage schemes through land rights, consent and grid connection, and then sells them. Pumped storage hydro and utility-scale battery. The pattern is visible in their own announcements: the 450 MW Red John scheme at Loch Ness, later Loch na Cathrach, consented in 2021 and sold to Statkraft; 50 MW battery sites sold to Eelpower, to Field, and to JLEN with Foresight; a second tranche of around 350 MW of Scottish battery sites released for sale in 2025 with connection dates from 2026 to 2028. The largest in the portfolio is Balliemeanoch at Loch Awe, a Section 36 application for around 1.5 GW with a five-year construction programme, AECOM engaged as technical consultants.</w:t>
      </w:r>
    </w:p>
    <w:p>
      <w:pPr>
        <w:spacing w:after="90" w:before="90" w:line="280"/>
      </w:pPr>
      <w:r>
        <w:rPr>
          <w:rFonts w:ascii="Arial" w:cs="Arial" w:eastAsia="Arial" w:hAnsi="Arial"/>
          <w:b/>
          <w:bCs/>
          <w:color w:val="14181D"/>
          <w:sz w:val="20"/>
          <w:szCs w:val="20"/>
        </w:rPr>
        <w:t xml:space="preserve">So Chris is correct, and the introduction was aimed at the wrong stage.</w:t>
      </w:r>
      <w:r>
        <w:rPr>
          <w:rFonts w:ascii="Arial" w:cs="Arial" w:eastAsia="Arial" w:hAnsi="Arial"/>
          <w:color w:val="14181D"/>
          <w:sz w:val="20"/>
          <w:szCs w:val="20"/>
        </w:rPr>
        <w:t xml:space="preserve"> The original email described three ways to engage on a construction-phase scope. ILI does not hold a construction-phase scope. Arguing with him would be both wrong and obvious.</w:t>
      </w:r>
    </w:p>
    <w:p>
      <w:pPr>
        <w:spacing w:after="90" w:before="90" w:line="280"/>
      </w:pPr>
      <w:r>
        <w:rPr>
          <w:rFonts w:ascii="Arial" w:cs="Arial" w:eastAsia="Arial" w:hAnsi="Arial"/>
          <w:b/>
          <w:bCs/>
          <w:color w:val="14181D"/>
          <w:sz w:val="20"/>
          <w:szCs w:val="20"/>
        </w:rPr>
        <w:t xml:space="preserve">But the thread is not closed, for two reasons.</w:t>
      </w:r>
      <w:r>
        <w:rPr>
          <w:rFonts w:ascii="Arial" w:cs="Arial" w:eastAsia="Arial" w:hAnsi="Arial"/>
          <w:color w:val="14181D"/>
          <w:sz w:val="20"/>
          <w:szCs w:val="20"/>
        </w:rPr>
        <w:t xml:space="preserve"> First, ILI is not the buyer — the acquirer is, and the acquirers are a matter of public record. Second, there is one piece of ETABLIX work that genuinely belongs at the development stage rather than the construction stage, and it is worth one short paragraph.</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reply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Subject: Re: ETABLIX — supply chain introduction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Dear Chris,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Thank you for the straight answer, and for taking the time to give one. You are right, and my original email was aimed at the wrong stage of your business. It was written for the construction phase, which as you say is not yours.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Please do register the interest, and I would be glad of a note if something moves.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One thing I would offer, because it sits at your stage rather than a contractor's. On a long-duration scheme in a remote location with a multi-year build, the construction accommodation and site establishment strategy is a development question before it is a construction one. It appears in the environmental statement, the construction method statement and the construction traffic management plan, and it sits inside the capital cost estimate an acquirer prices. A scheme that reaches transfer without a worked answer to where the construction workforce lives for the duration, and what the compound and access actually require, tends to have that gap priced against it by the party taking it on. Defining it is advisory work — fixed scope, fixed fee, and you would retain every contract. It is the only one of the three routes in my first email that makes any sense for a developer, and I should have led with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And one question, which would be worth more to me than a register entry. Your consented schemes transfer to owners who then build them. Is the acquirer the party I should be approaching directly, and is there a point in your process where a transfer becomes public and you would be willing to flag it? I am not asking you to pre-empt anything commercially sensitive — only whether I am knocking on the right door.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 will keep an eye on the press, as you suggest.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Kind regards,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Justin Ngolu Nseya MCIOB Managing Director, ETABLIX Limited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Why it is written this way</w:t>
      </w:r>
    </w:p>
    <w:p>
      <w:pPr>
        <w:spacing w:after="90" w:before="90" w:line="280"/>
      </w:pPr>
      <w:r>
        <w:rPr>
          <w:rFonts w:ascii="Arial" w:cs="Arial" w:eastAsia="Arial" w:hAnsi="Arial"/>
          <w:b/>
          <w:bCs/>
          <w:color w:val="14181D"/>
          <w:sz w:val="20"/>
          <w:szCs w:val="20"/>
        </w:rPr>
        <w:t xml:space="preserve">Conceding the point in the first line buys the rest of the email.</w:t>
      </w:r>
      <w:r>
        <w:rPr>
          <w:rFonts w:ascii="Arial" w:cs="Arial" w:eastAsia="Arial" w:hAnsi="Arial"/>
          <w:color w:val="14181D"/>
          <w:sz w:val="20"/>
          <w:szCs w:val="20"/>
        </w:rPr>
        <w:t xml:space="preserve"> He gave a courteous brush-off to a message that misread his business. A reply that argues, or that re-sends the three models, confirms he was right to brush it off. A reply that says </w:t>
      </w:r>
      <w:r>
        <w:rPr>
          <w:rFonts w:ascii="Arial" w:cs="Arial" w:eastAsia="Arial" w:hAnsi="Arial"/>
          <w:i/>
          <w:iCs/>
          <w:color w:val="14181D"/>
          <w:sz w:val="20"/>
          <w:szCs w:val="20"/>
        </w:rPr>
        <w:t xml:space="preserve">you are right and I aimed at the wrong stage</w:t>
      </w:r>
      <w:r>
        <w:rPr>
          <w:rFonts w:ascii="Arial" w:cs="Arial" w:eastAsia="Arial" w:hAnsi="Arial"/>
          <w:color w:val="14181D"/>
          <w:sz w:val="20"/>
          <w:szCs w:val="20"/>
        </w:rPr>
        <w:t xml:space="preserve"> earns the one paragraph that follows.</w:t>
      </w:r>
    </w:p>
    <w:p>
      <w:pPr>
        <w:spacing w:after="90" w:before="90" w:line="280"/>
      </w:pPr>
      <w:r>
        <w:rPr>
          <w:rFonts w:ascii="Arial" w:cs="Arial" w:eastAsia="Arial" w:hAnsi="Arial"/>
          <w:b/>
          <w:bCs/>
          <w:color w:val="14181D"/>
          <w:sz w:val="20"/>
          <w:szCs w:val="20"/>
        </w:rPr>
        <w:t xml:space="preserve">Only Model 01 appears.</w:t>
      </w:r>
      <w:r>
        <w:rPr>
          <w:rFonts w:ascii="Arial" w:cs="Arial" w:eastAsia="Arial" w:hAnsi="Arial"/>
          <w:color w:val="14181D"/>
          <w:sz w:val="20"/>
          <w:szCs w:val="20"/>
        </w:rPr>
        <w:t xml:space="preserve"> Advisory is the only one of the three that a pre-construction developer can buy, because it is the only one that does not require a construction contract to exist. Repeating Models 02 and 03 to a developer is the original mistake made twice.</w:t>
      </w:r>
    </w:p>
    <w:p>
      <w:pPr>
        <w:spacing w:after="90" w:before="90" w:line="280"/>
      </w:pPr>
      <w:r>
        <w:rPr>
          <w:rFonts w:ascii="Arial" w:cs="Arial" w:eastAsia="Arial" w:hAnsi="Arial"/>
          <w:b/>
          <w:bCs/>
          <w:color w:val="14181D"/>
          <w:sz w:val="20"/>
          <w:szCs w:val="20"/>
        </w:rPr>
        <w:t xml:space="preserve">The real prize is the question at the end, not the offer in the middle.</w:t>
      </w:r>
      <w:r>
        <w:rPr>
          <w:rFonts w:ascii="Arial" w:cs="Arial" w:eastAsia="Arial" w:hAnsi="Arial"/>
          <w:color w:val="14181D"/>
          <w:sz w:val="20"/>
          <w:szCs w:val="20"/>
        </w:rPr>
        <w:t xml:space="preserve"> ILI develops and sells; the acquirer builds. Statkraft, Field, Eelpower, JLEN and Foresight have all taken ILI schemes on, and every one of them is a better prospect for ETABLIX than ILI itself. Chris can answer the question honestly without disclosing anything, and the answer reorganises the whole pipeline entry: the developer is a signpost, not a customer.</w:t>
      </w:r>
    </w:p>
    <w:p>
      <w:pPr>
        <w:spacing w:after="90" w:before="90" w:line="280"/>
      </w:pPr>
      <w:r>
        <w:rPr>
          <w:rFonts w:ascii="Arial" w:cs="Arial" w:eastAsia="Arial" w:hAnsi="Arial"/>
          <w:b/>
          <w:bCs/>
          <w:color w:val="14181D"/>
          <w:sz w:val="20"/>
          <w:szCs w:val="20"/>
        </w:rPr>
        <w:t xml:space="preserve">The accommodation argument is made as a valuation point, not a safety or compliance point.</w:t>
      </w:r>
      <w:r>
        <w:rPr>
          <w:rFonts w:ascii="Arial" w:cs="Arial" w:eastAsia="Arial" w:hAnsi="Arial"/>
          <w:color w:val="14181D"/>
          <w:sz w:val="20"/>
          <w:szCs w:val="20"/>
        </w:rPr>
        <w:t xml:space="preserve"> A developer whose entire business is the sale price of a consented scheme cares about what an acquirer deducts for. That is the register his attention is in.</w:t>
      </w:r>
    </w:p>
    <w:p>
      <w:pPr>
        <w:spacing w:after="90" w:before="90" w:line="280"/>
      </w:pPr>
      <w:r>
        <w:rPr>
          <w:rFonts w:ascii="Arial" w:cs="Arial" w:eastAsia="Arial" w:hAnsi="Arial"/>
          <w:b/>
          <w:bCs/>
          <w:color w:val="14181D"/>
          <w:sz w:val="20"/>
          <w:szCs w:val="20"/>
        </w:rPr>
        <w:t xml:space="preserve">What the reply withholds.</w:t>
      </w:r>
      <w:r>
        <w:rPr>
          <w:rFonts w:ascii="Arial" w:cs="Arial" w:eastAsia="Arial" w:hAnsi="Arial"/>
          <w:color w:val="14181D"/>
          <w:sz w:val="20"/>
          <w:szCs w:val="20"/>
        </w:rPr>
        <w:t xml:space="preserve"> No price. No statistic and no case study — the cost-of-a-gap argument is stated as a tendency, not a number, because no number exists that can be stood behind. No client, scheme or former employer of the director is named. No accreditation is claimed. Nothing implies a Principal Designer or Principal Contractor appointment, and the advisory route is stated as leaving every contract with the buyer precisely so it cannot be read that way. Their own projects are referred to only in the terms they have themselves announced publicly.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to do after sending</w:t>
      </w:r>
    </w:p>
    <w:p>
      <w:pPr>
        <w:spacing w:after="90" w:before="90" w:line="280"/>
      </w:pPr>
      <w:r>
        <w:rPr>
          <w:rFonts w:ascii="Arial" w:cs="Arial" w:eastAsia="Arial" w:hAnsi="Arial"/>
          <w:color w:val="14181D"/>
          <w:sz w:val="20"/>
          <w:szCs w:val="20"/>
        </w:rPr>
        <w:t xml:space="preserve">Treat ILI as a signpost and work the acquirers directly, whatever Chris answers. The parties who have bought ILI schemes are public, and an owner who has just acquired a consented multi-year build in a remote location is at exactly the moment when the site establishment question becomes theirs and nobody has yet answered it. That is a better-aimed approach than the one that produced this reply, and it came out of a message that failed.</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Reply — ILI Group (Intelligent Land Investments)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REPLY — ILI GROUP (INTELLIGENT LAND INVESTMENTS)</dc:title>
  <dc:creator>ETABLIX — Integrated Site Services</dc:creator>
  <dc:description>ETABLIX REPLY — ILI GROUP (INTELLIGENT LAND INVESTMENTS)</dc:description>
  <cp:lastModifiedBy>Un-named</cp:lastModifiedBy>
  <cp:revision>1</cp:revision>
  <dcterms:created xsi:type="dcterms:W3CDTF">2026-10-13T09:12:31.908Z</dcterms:created>
  <dcterms:modified xsi:type="dcterms:W3CDTF">2026-10-13T09:12:31.908Z</dcterms:modified>
</cp:coreProperties>
</file>

<file path=docProps/custom.xml><?xml version="1.0" encoding="utf-8"?>
<Properties xmlns="http://schemas.openxmlformats.org/officeDocument/2006/custom-properties" xmlns:vt="http://schemas.openxmlformats.org/officeDocument/2006/docPropsVTypes"/>
</file>