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LINKEDIN COMMENTS — HOUSE STYLE</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LinkedIn comments — house style</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business/marketing/COMMENT-HOUSE-STYLE.md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7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spacing w:after="90" w:before="90" w:line="280"/>
      </w:pPr>
      <w:r>
        <w:rPr>
          <w:rFonts w:ascii="Arial" w:cs="Arial" w:eastAsia="Arial" w:hAnsi="Arial"/>
          <w:b/>
          <w:bCs/>
          <w:color w:val="14181D"/>
          <w:sz w:val="20"/>
          <w:szCs w:val="20"/>
        </w:rPr>
        <w:t xml:space="preserve">Standing rule, from 24 September 2026.</w:t>
      </w:r>
      <w:r>
        <w:rPr>
          <w:rFonts w:ascii="Arial" w:cs="Arial" w:eastAsia="Arial" w:hAnsi="Arial"/>
          <w:color w:val="14181D"/>
          <w:sz w:val="20"/>
          <w:szCs w:val="20"/>
        </w:rPr>
        <w:t xml:space="preserve"> Every comment on a post related to what ETABLIX does must also sell ETABLIX.</w:t>
      </w:r>
    </w:p>
    <w:p>
      <w:pPr>
        <w:spacing w:after="90" w:before="90" w:line="280"/>
      </w:pPr>
      <w:r>
        <w:rPr>
          <w:rFonts w:ascii="Arial" w:cs="Arial" w:eastAsia="Arial" w:hAnsi="Arial"/>
          <w:color w:val="14181D"/>
          <w:sz w:val="20"/>
          <w:szCs w:val="20"/>
        </w:rPr>
        <w:t xml:space="preserve">This SUPERSEDES the default in the comment files written before this date, which all say some version of </w:t>
      </w:r>
      <w:r>
        <w:rPr>
          <w:rFonts w:ascii="Arial" w:cs="Arial" w:eastAsia="Arial" w:hAnsi="Arial"/>
          <w:i/>
          <w:iCs/>
          <w:color w:val="14181D"/>
          <w:sz w:val="20"/>
          <w:szCs w:val="20"/>
        </w:rPr>
        <w:t xml:space="preserve">"no pitch, no company named, no ask"</w:t>
      </w:r>
      <w:r>
        <w:rPr>
          <w:rFonts w:ascii="Arial" w:cs="Arial" w:eastAsia="Arial" w:hAnsi="Arial"/>
          <w:color w:val="14181D"/>
          <w:sz w:val="20"/>
          <w:szCs w:val="20"/>
        </w:rPr>
        <w:t xml:space="preserve">. Those files are kept as written — the comments in them were posted, and the reasoning in them about accuracy, tone and what not to say still stands. Only the no-pitch line is overtaken.</w:t>
      </w:r>
    </w:p>
    <w:p>
      <w:pPr>
        <w:spacing w:after="90" w:before="90" w:line="280"/>
      </w:pPr>
      <w:r>
        <w:rPr>
          <w:rFonts w:ascii="Arial" w:cs="Arial" w:eastAsia="Arial" w:hAnsi="Arial"/>
          <w:b/>
          <w:bCs/>
          <w:color w:val="14181D"/>
          <w:sz w:val="20"/>
          <w:szCs w:val="20"/>
        </w:rPr>
        <w:t xml:space="preserve">Second standing rule, from 7 October 2026. Always write in the first person.</w:t>
      </w:r>
    </w:p>
    <w:p>
      <w:pPr>
        <w:spacing w:after="90" w:before="90" w:line="280"/>
      </w:pPr>
      <w:r>
        <w:rPr>
          <w:rFonts w:ascii="Arial" w:cs="Arial" w:eastAsia="Arial" w:hAnsi="Arial"/>
          <w:color w:val="14181D"/>
          <w:sz w:val="20"/>
          <w:szCs w:val="20"/>
        </w:rPr>
        <w:t xml:space="preserve">Comments go out from the director's own profile. He </w:t>
      </w:r>
      <w:r>
        <w:rPr>
          <w:rFonts w:ascii="Arial" w:cs="Arial" w:eastAsia="Arial" w:hAnsi="Arial"/>
          <w:i/>
          <w:iCs/>
          <w:color w:val="14181D"/>
          <w:sz w:val="20"/>
          <w:szCs w:val="20"/>
        </w:rPr>
        <w:t xml:space="preserve">is</w:t>
      </w:r>
      <w:r>
        <w:rPr>
          <w:rFonts w:ascii="Arial" w:cs="Arial" w:eastAsia="Arial" w:hAnsi="Arial"/>
          <w:color w:val="14181D"/>
          <w:sz w:val="20"/>
          <w:szCs w:val="20"/>
        </w:rPr>
        <w:t xml:space="preserve"> the company, so "we at ETABLIX specify" and "our director ran that scope" read as somebody writing on his behalf — which is less natural, slightly less honest, and weaker on a personal profile. Write </w:t>
      </w:r>
      <w:r>
        <w:rPr>
          <w:rFonts w:ascii="Arial" w:cs="Arial" w:eastAsia="Arial" w:hAnsi="Arial"/>
          <w:b/>
          <w:bCs/>
          <w:color w:val="14181D"/>
          <w:sz w:val="20"/>
          <w:szCs w:val="20"/>
        </w:rPr>
        <w:t xml:space="preserve">I</w:t>
      </w:r>
      <w:r>
        <w:rPr>
          <w:rFonts w:ascii="Arial" w:cs="Arial" w:eastAsia="Arial" w:hAnsi="Arial"/>
          <w:color w:val="14181D"/>
          <w:sz w:val="20"/>
          <w:szCs w:val="20"/>
        </w:rPr>
        <w:t xml:space="preserv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I ran that scope on a 309-bedroom workforce village across five packages, then placed the running of the whole village with a single managing contractor.</w:t>
      </w:r>
    </w:p>
    <w:p>
      <w:pPr>
        <w:spacing w:after="90" w:before="90" w:line="280"/>
      </w:pPr>
      <w:r>
        <w:rPr>
          <w:rFonts w:ascii="Arial" w:cs="Arial" w:eastAsia="Arial" w:hAnsi="Arial"/>
          <w:color w:val="14181D"/>
          <w:sz w:val="20"/>
          <w:szCs w:val="20"/>
        </w:rPr>
        <w:t xml:space="preserve">not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~~Our director ran that scope on a 309-bedroom workforce village.~~</w:t>
      </w:r>
    </w:p>
    <w:p>
      <w:pPr>
        <w:spacing w:after="90" w:before="90" w:line="280"/>
      </w:pPr>
      <w:r>
        <w:rPr>
          <w:rFonts w:ascii="Arial" w:cs="Arial" w:eastAsia="Arial" w:hAnsi="Arial"/>
          <w:color w:val="14181D"/>
          <w:sz w:val="20"/>
          <w:szCs w:val="20"/>
        </w:rPr>
        <w:t xml:space="preserve">The one exception is a comment posted from the ETABLIX company page, where corporate voice is correct. Everything else is first person.</w:t>
      </w:r>
    </w:p>
    <w:p>
      <w:pPr>
        <w:spacing w:after="90" w:before="90" w:line="280"/>
      </w:pPr>
      <w:r>
        <w:rPr>
          <w:rFonts w:ascii="Arial" w:cs="Arial" w:eastAsia="Arial" w:hAnsi="Arial"/>
          <w:b/>
          <w:bCs/>
          <w:color w:val="14181D"/>
          <w:sz w:val="20"/>
          <w:szCs w:val="20"/>
        </w:rPr>
        <w:t xml:space="preserve">Third standing rule, from 7 October 2026. Keep it short — 60 to 90 words.</w:t>
      </w:r>
    </w:p>
    <w:p>
      <w:pPr>
        <w:spacing w:after="90" w:before="90" w:line="280"/>
      </w:pPr>
      <w:r>
        <w:rPr>
          <w:rFonts w:ascii="Arial" w:cs="Arial" w:eastAsia="Arial" w:hAnsi="Arial"/>
          <w:color w:val="14181D"/>
          <w:sz w:val="20"/>
          <w:szCs w:val="20"/>
        </w:rPr>
        <w:t xml:space="preserve">The four comments posted before this rule ran to 150–200 words each. That is an essay, not a comment. On LinkedIn a long comment is collapsed behind </w:t>
      </w:r>
      <w:r>
        <w:rPr>
          <w:rFonts w:ascii="Arial" w:cs="Arial" w:eastAsia="Arial" w:hAnsi="Arial"/>
          <w:i/>
          <w:iCs/>
          <w:color w:val="14181D"/>
          <w:sz w:val="20"/>
          <w:szCs w:val="20"/>
        </w:rPr>
        <w:t xml:space="preserve">see more</w:t>
      </w:r>
      <w:r>
        <w:rPr>
          <w:rFonts w:ascii="Arial" w:cs="Arial" w:eastAsia="Arial" w:hAnsi="Arial"/>
          <w:color w:val="14181D"/>
          <w:sz w:val="20"/>
          <w:szCs w:val="20"/>
        </w:rPr>
        <w:t xml:space="preserve">, which means the sell — always the last part — is the part nobody reads. Length does not demonstrate expertise. Having one sharp thing to say does.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75"/>
        <w:gridCol w:w="6225"/>
      </w:tblGrid>
      <w:tr>
        <w:trPr>
          <w:tblHeader/>
        </w:trPr>
        <w:tc>
          <w:tcPr>
            <w:tcW w:type="dxa" w:w="2075"/>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
            </w:r>
          </w:p>
        </w:tc>
        <w:tc>
          <w:tcPr>
            <w:tcW w:type="dxa" w:w="6225"/>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
            </w:r>
          </w:p>
        </w:tc>
      </w:tr>
      <w:tr>
        <w:tc>
          <w:tcPr>
            <w:tcW w:type="dxa" w:w="2075"/>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Target</w:t>
            </w:r>
          </w:p>
        </w:tc>
        <w:tc>
          <w:tcPr>
            <w:tcW w:type="dxa" w:w="6225"/>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60 to 90 words</w:t>
            </w:r>
          </w:p>
        </w:tc>
      </w:tr>
      <w:tr>
        <w:tc>
          <w:tcPr>
            <w:tcW w:type="dxa" w:w="207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Hard ceiling</w:t>
            </w:r>
          </w:p>
        </w:tc>
        <w:tc>
          <w:tcPr>
            <w:tcW w:type="dxa" w:w="622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110</w:t>
            </w:r>
          </w:p>
        </w:tc>
      </w:tr>
      <w:tr>
        <w:tc>
          <w:tcPr>
            <w:tcW w:type="dxa" w:w="2075"/>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Paragraphs</w:t>
            </w:r>
          </w:p>
        </w:tc>
        <w:tc>
          <w:tcPr>
            <w:tcW w:type="dxa" w:w="6225"/>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Three or four, one or two lines each</w:t>
            </w:r>
          </w:p>
        </w:tc>
      </w:tr>
      <w:tr>
        <w:tc>
          <w:tcPr>
            <w:tcW w:type="dxa" w:w="207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Ideas</w:t>
            </w:r>
          </w:p>
        </w:tc>
        <w:tc>
          <w:tcPr>
            <w:tcW w:type="dxa" w:w="622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One. Not the best two.</w:t>
            </w:r>
          </w:p>
        </w:tc>
      </w:tr>
    </w:tbl>
    <w:p>
      <w:pPr>
        <w:spacing w:after="90" w:before="90" w:line="280"/>
      </w:pPr>
      <w:r>
        <w:rPr>
          <w:rFonts w:ascii="Arial" w:cs="Arial" w:eastAsia="Arial" w:hAnsi="Arial"/>
          <w:color w:val="14181D"/>
          <w:sz w:val="20"/>
          <w:szCs w:val="20"/>
        </w:rPr>
        <w:t xml:space="preserve">The four-part shape still holds — credit, insight, bridge, offer — but each part is now a sentence rather than a paragraph. The discipline is cutting the second good idea, which is always the hardest thing to delete and almost always what pushes a comment past the fold.</w:t>
      </w:r>
    </w:p>
    <w:p>
      <w:pPr>
        <w:spacing w:after="90" w:before="90" w:line="280"/>
      </w:pPr>
      <w:r>
        <w:rPr>
          <w:rFonts w:ascii="Arial" w:cs="Arial" w:eastAsia="Arial" w:hAnsi="Arial"/>
          <w:b/>
          <w:bCs/>
          <w:color w:val="14181D"/>
          <w:sz w:val="20"/>
          <w:szCs w:val="20"/>
        </w:rPr>
        <w:t xml:space="preserve">The sell survives the cut.</w:t>
      </w:r>
      <w:r>
        <w:rPr>
          <w:rFonts w:ascii="Arial" w:cs="Arial" w:eastAsia="Arial" w:hAnsi="Arial"/>
          <w:color w:val="14181D"/>
          <w:sz w:val="20"/>
          <w:szCs w:val="20"/>
        </w:rPr>
        <w:t xml:space="preserve"> Shorter does not mean dropping the commercial close; it means the insight gets one sentence instead of four, so the close still lands above the fold.</w:t>
      </w:r>
    </w:p>
    <w:p>
      <w:pPr>
        <w:spacing w:after="90" w:before="90" w:line="280"/>
      </w:pPr>
      <w:r>
        <w:rPr>
          <w:rFonts w:ascii="Arial" w:cs="Arial" w:eastAsia="Arial" w:hAnsi="Arial"/>
          <w:b/>
          <w:bCs/>
          <w:color w:val="14181D"/>
          <w:sz w:val="20"/>
          <w:szCs w:val="20"/>
        </w:rPr>
        <w:t xml:space="preserve">The three rules together are the whole brief:</w:t>
      </w:r>
      <w:r>
        <w:rPr>
          <w:rFonts w:ascii="Arial" w:cs="Arial" w:eastAsia="Arial" w:hAnsi="Arial"/>
          <w:color w:val="14181D"/>
          <w:sz w:val="20"/>
          <w:szCs w:val="20"/>
        </w:rPr>
        <w:t xml:space="preserve"> </w:t>
      </w:r>
      <w:r>
        <w:rPr>
          <w:rFonts w:ascii="Arial" w:cs="Arial" w:eastAsia="Arial" w:hAnsi="Arial"/>
          <w:i/>
          <w:iCs/>
          <w:color w:val="14181D"/>
          <w:sz w:val="20"/>
          <w:szCs w:val="20"/>
        </w:rPr>
        <w:t xml:space="preserve">first person, short, and sell.</w:t>
      </w:r>
      <w:r>
        <w:rPr>
          <w:rFonts w:ascii="Arial" w:cs="Arial" w:eastAsia="Arial" w:hAnsi="Arial"/>
          <w:color w:val="14181D"/>
          <w:sz w:val="20"/>
          <w:szCs w:val="20"/>
        </w:rPr>
        <w:t xml:space="preserve"> Three comments were posted in the corporate voice before this was settled — Farhad Azizi on Burj Azizi, Kier on the Sizewell Link Road, and Balfour Beatty on the GRID UK capacity roundtable, the last of which was first person. They are left as posted.</w:t>
      </w:r>
    </w:p>
    <w:p>
      <w:pPr>
        <w:spacing w:after="90" w:before="90" w:line="280"/>
      </w:pPr>
      <w:r>
        <w:rPr>
          <w:rFonts w:ascii="Arial" w:cs="Arial" w:eastAsia="Arial" w:hAnsi="Arial"/>
          <w:color w:val="14181D"/>
          <w:sz w:val="20"/>
          <w:szCs w:val="20"/>
        </w:rPr>
        <w:t xml:space="preserve">Nothing else in this file is new. It is the guardrails that were already being applied, written down so that adding a commercial close does not quietly drop them.</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shape</w:t>
      </w:r>
    </w:p>
    <w:p>
      <w:pPr>
        <w:spacing w:after="90" w:before="90" w:line="280"/>
      </w:pPr>
      <w:r>
        <w:rPr>
          <w:rFonts w:ascii="Arial" w:cs="Arial" w:eastAsia="Arial" w:hAnsi="Arial"/>
          <w:color w:val="14181D"/>
          <w:sz w:val="20"/>
          <w:szCs w:val="20"/>
        </w:rPr>
        <w:t xml:space="preserve">Four parts, in this order. The order is the mechanism: the sell is earned by what precedes it, and moved to the front it reads as an advert and gets scrolled past.</w:t>
      </w:r>
    </w:p>
    <w:p>
      <w:pPr>
        <w:pStyle w:val="ListParagraph"/>
        <w:numPr>
          <w:ilvl w:val="0"/>
          <w:numId w:val="2"/>
        </w:numPr>
        <w:spacing w:after="50" w:before="50" w:line="280"/>
      </w:pPr>
      <w:r>
        <w:rPr>
          <w:rFonts w:ascii="Arial" w:cs="Arial" w:eastAsia="Arial" w:hAnsi="Arial"/>
          <w:b/>
          <w:bCs/>
          <w:color w:val="14181D"/>
          <w:sz w:val="20"/>
          <w:szCs w:val="20"/>
        </w:rPr>
        <w:t xml:space="preserve">1. </w:t>
      </w:r>
      <w:r>
        <w:rPr>
          <w:rFonts w:ascii="Arial" w:cs="Arial" w:eastAsia="Arial" w:hAnsi="Arial"/>
          <w:b/>
          <w:bCs/>
          <w:color w:val="14181D"/>
          <w:sz w:val="20"/>
          <w:szCs w:val="20"/>
        </w:rPr>
        <w:t xml:space="preserve">Credit.</w:t>
      </w:r>
      <w:r>
        <w:rPr>
          <w:rFonts w:ascii="Arial" w:cs="Arial" w:eastAsia="Arial" w:hAnsi="Arial"/>
          <w:color w:val="14181D"/>
          <w:sz w:val="20"/>
          <w:szCs w:val="20"/>
        </w:rPr>
        <w:t xml:space="preserve"> One line, specific to their post. Not flattery — a sentence that shows the post was actually read. "The CCS integration is what makes this hard rather than just large" is credit. "Great news!" is not.</w:t>
      </w:r>
    </w:p>
    <w:p>
      <w:pPr>
        <w:pStyle w:val="ListParagraph"/>
        <w:numPr>
          <w:ilvl w:val="0"/>
          <w:numId w:val="2"/>
        </w:numPr>
        <w:spacing w:after="50" w:before="50" w:line="280"/>
      </w:pPr>
      <w:r>
        <w:rPr>
          <w:rFonts w:ascii="Arial" w:cs="Arial" w:eastAsia="Arial" w:hAnsi="Arial"/>
          <w:b/>
          <w:bCs/>
          <w:color w:val="14181D"/>
          <w:sz w:val="20"/>
          <w:szCs w:val="20"/>
        </w:rPr>
        <w:t xml:space="preserve">2. </w:t>
      </w:r>
      <w:r>
        <w:rPr>
          <w:rFonts w:ascii="Arial" w:cs="Arial" w:eastAsia="Arial" w:hAnsi="Arial"/>
          <w:b/>
          <w:bCs/>
          <w:color w:val="14181D"/>
          <w:sz w:val="20"/>
          <w:szCs w:val="20"/>
        </w:rPr>
        <w:t xml:space="preserve">The insight.</w:t>
      </w:r>
      <w:r>
        <w:rPr>
          <w:rFonts w:ascii="Arial" w:cs="Arial" w:eastAsia="Arial" w:hAnsi="Arial"/>
          <w:color w:val="14181D"/>
          <w:sz w:val="20"/>
          <w:szCs w:val="20"/>
        </w:rPr>
        <w:t xml:space="preserve"> The longest part. Something true and non-obvious about </w:t>
      </w:r>
      <w:r>
        <w:rPr>
          <w:rFonts w:ascii="Arial" w:cs="Arial" w:eastAsia="Arial" w:hAnsi="Arial"/>
          <w:i/>
          <w:iCs/>
          <w:color w:val="14181D"/>
          <w:sz w:val="20"/>
          <w:szCs w:val="20"/>
        </w:rPr>
        <w:t xml:space="preserve">their</w:t>
      </w:r>
      <w:r>
        <w:rPr>
          <w:rFonts w:ascii="Arial" w:cs="Arial" w:eastAsia="Arial" w:hAnsi="Arial"/>
          <w:color w:val="14181D"/>
          <w:sz w:val="20"/>
          <w:szCs w:val="20"/>
        </w:rPr>
        <w:t xml:space="preserve"> situation that they have not said themselves. This is the whole transaction: the reader gives attention, the comment gives something back. Without it, parts 3 and 4 have not been paid for.</w:t>
      </w:r>
    </w:p>
    <w:p>
      <w:pPr>
        <w:pStyle w:val="ListParagraph"/>
        <w:numPr>
          <w:ilvl w:val="0"/>
          <w:numId w:val="2"/>
        </w:numPr>
        <w:spacing w:after="50" w:before="50" w:line="280"/>
      </w:pPr>
      <w:r>
        <w:rPr>
          <w:rFonts w:ascii="Arial" w:cs="Arial" w:eastAsia="Arial" w:hAnsi="Arial"/>
          <w:b/>
          <w:bCs/>
          <w:color w:val="14181D"/>
          <w:sz w:val="20"/>
          <w:szCs w:val="20"/>
        </w:rPr>
        <w:t xml:space="preserve">3. </w:t>
      </w:r>
      <w:r>
        <w:rPr>
          <w:rFonts w:ascii="Arial" w:cs="Arial" w:eastAsia="Arial" w:hAnsi="Arial"/>
          <w:b/>
          <w:bCs/>
          <w:color w:val="14181D"/>
          <w:sz w:val="20"/>
          <w:szCs w:val="20"/>
        </w:rPr>
        <w:t xml:space="preserve">The bridge.</w:t>
      </w:r>
      <w:r>
        <w:rPr>
          <w:rFonts w:ascii="Arial" w:cs="Arial" w:eastAsia="Arial" w:hAnsi="Arial"/>
          <w:color w:val="14181D"/>
          <w:sz w:val="20"/>
          <w:szCs w:val="20"/>
        </w:rPr>
        <w:t xml:space="preserve"> ONE sentence naming ETABLIX, phrased as the answer to the insight rather than as a description of a service. "That tail is what ETABLIX does — we price and specify site establishment as one package before mobilisation" bridges. "ETABLIX is a site services consultancy offering..." does not.</w:t>
      </w:r>
    </w:p>
    <w:p>
      <w:pPr>
        <w:pStyle w:val="ListParagraph"/>
        <w:numPr>
          <w:ilvl w:val="0"/>
          <w:numId w:val="2"/>
        </w:numPr>
        <w:spacing w:after="50" w:before="50" w:line="280"/>
      </w:pPr>
      <w:r>
        <w:rPr>
          <w:rFonts w:ascii="Arial" w:cs="Arial" w:eastAsia="Arial" w:hAnsi="Arial"/>
          <w:b/>
          <w:bCs/>
          <w:color w:val="14181D"/>
          <w:sz w:val="20"/>
          <w:szCs w:val="20"/>
        </w:rPr>
        <w:t xml:space="preserve">4. </w:t>
      </w:r>
      <w:r>
        <w:rPr>
          <w:rFonts w:ascii="Arial" w:cs="Arial" w:eastAsia="Arial" w:hAnsi="Arial"/>
          <w:b/>
          <w:bCs/>
          <w:color w:val="14181D"/>
          <w:sz w:val="20"/>
          <w:szCs w:val="20"/>
        </w:rPr>
        <w:t xml:space="preserve">The offer.</w:t>
      </w:r>
      <w:r>
        <w:rPr>
          <w:rFonts w:ascii="Arial" w:cs="Arial" w:eastAsia="Arial" w:hAnsi="Arial"/>
          <w:color w:val="14181D"/>
          <w:sz w:val="20"/>
          <w:szCs w:val="20"/>
        </w:rPr>
        <w:t xml:space="preserve"> Low friction, nothing demanded. The risk reversal, or the specimen report, or both. It must be possible to accept with one reply.</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ratio</w:t>
      </w:r>
    </w:p>
    <w:p>
      <w:pPr>
        <w:spacing w:after="90" w:before="90" w:line="280"/>
      </w:pPr>
      <w:r>
        <w:rPr>
          <w:rFonts w:ascii="Arial" w:cs="Arial" w:eastAsia="Arial" w:hAnsi="Arial"/>
          <w:b/>
          <w:bCs/>
          <w:color w:val="14181D"/>
          <w:sz w:val="20"/>
          <w:szCs w:val="20"/>
        </w:rPr>
        <w:t xml:space="preserve">The sell is never the longest part.</w:t>
      </w:r>
      <w:r>
        <w:rPr>
          <w:rFonts w:ascii="Arial" w:cs="Arial" w:eastAsia="Arial" w:hAnsi="Arial"/>
          <w:color w:val="14181D"/>
          <w:sz w:val="20"/>
          <w:szCs w:val="20"/>
        </w:rPr>
        <w:t xml:space="preserve"> Roughly seventy per cent insight, thirty per cent sell. If parts 3 and 4 together run longer than part 2, the comment has become an advert and should be cut, not posted. A comment that reads as an advert is muted, and a muted account cannot sell to anyone.</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What never goes into the sell</w:t>
      </w:r>
    </w:p>
    <w:p>
      <w:pPr>
        <w:pStyle w:val="ListParagraph"/>
        <w:numPr>
          <w:ilvl w:val="0"/>
          <w:numId w:val="2"/>
        </w:numPr>
        <w:spacing w:after="50" w:before="50" w:line="280"/>
      </w:pPr>
      <w:r>
        <w:rPr>
          <w:rFonts w:ascii="Arial" w:cs="Arial" w:eastAsia="Arial" w:hAnsi="Arial"/>
          <w:b/>
          <w:bCs/>
          <w:color w:val="14181D"/>
          <w:sz w:val="20"/>
          <w:szCs w:val="20"/>
        </w:rPr>
        <w:t xml:space="preserve">The price.</w:t>
      </w:r>
      <w:r>
        <w:rPr>
          <w:rFonts w:ascii="Arial" w:cs="Arial" w:eastAsia="Arial" w:hAnsi="Arial"/>
          <w:color w:val="14181D"/>
          <w:sz w:val="20"/>
          <w:szCs w:val="20"/>
        </w:rPr>
        <w:t xml:space="preserve"> Not in a public comment. Two reasons: it reaches competitors, and it anchors a tier-one contractor at the single-site wedge before anyone has had a conversation. The risk reversal carries the same commercial weight with no number attached. Price is quoted out loud in the meeting — that is the rule in the go-to-market plan at 8.1 — not published under someone else's post.</w:t>
      </w:r>
    </w:p>
    <w:p>
      <w:pPr>
        <w:pStyle w:val="ListParagraph"/>
        <w:numPr>
          <w:ilvl w:val="0"/>
          <w:numId w:val="2"/>
        </w:numPr>
        <w:spacing w:after="50" w:before="50" w:line="280"/>
      </w:pPr>
      <w:r>
        <w:rPr>
          <w:rFonts w:ascii="Arial" w:cs="Arial" w:eastAsia="Arial" w:hAnsi="Arial"/>
          <w:b/>
          <w:bCs/>
          <w:color w:val="14181D"/>
          <w:sz w:val="20"/>
          <w:szCs w:val="20"/>
        </w:rPr>
        <w:t xml:space="preserve">Any claim about how the poster, their client or their partners perform.</w:t>
      </w:r>
      <w:r>
        <w:rPr>
          <w:rFonts w:ascii="Arial" w:cs="Arial" w:eastAsia="Arial" w:hAnsi="Arial"/>
          <w:color w:val="14181D"/>
          <w:sz w:val="20"/>
          <w:szCs w:val="20"/>
        </w:rPr>
        <w:t xml:space="preserve"> Time, capacity and structure are safe ground. Competence is not, and never becomes so.</w:t>
      </w:r>
    </w:p>
    <w:p>
      <w:pPr>
        <w:pStyle w:val="ListParagraph"/>
        <w:numPr>
          <w:ilvl w:val="0"/>
          <w:numId w:val="2"/>
        </w:numPr>
        <w:spacing w:after="50" w:before="50" w:line="280"/>
      </w:pPr>
      <w:r>
        <w:rPr>
          <w:rFonts w:ascii="Arial" w:cs="Arial" w:eastAsia="Arial" w:hAnsi="Arial"/>
          <w:b/>
          <w:bCs/>
          <w:color w:val="14181D"/>
          <w:sz w:val="20"/>
          <w:szCs w:val="20"/>
        </w:rPr>
        <w:t xml:space="preserve">Invented proof.</w:t>
      </w:r>
      <w:r>
        <w:rPr>
          <w:rFonts w:ascii="Arial" w:cs="Arial" w:eastAsia="Arial" w:hAnsi="Arial"/>
          <w:color w:val="14181D"/>
          <w:sz w:val="20"/>
          <w:szCs w:val="20"/>
        </w:rPr>
        <w:t xml:space="preserve"> No client, no delivered scheme, no statistic, no testimonial that does not exist. Until there is delivered work to cite, the specimen report IS the proof — and it is described accurately every time: an invented project, so no client is identified.</w:t>
      </w:r>
    </w:p>
    <w:p>
      <w:pPr>
        <w:pStyle w:val="ListParagraph"/>
        <w:numPr>
          <w:ilvl w:val="0"/>
          <w:numId w:val="2"/>
        </w:numPr>
        <w:spacing w:after="50" w:before="50" w:line="280"/>
      </w:pPr>
      <w:r>
        <w:rPr>
          <w:rFonts w:ascii="Arial" w:cs="Arial" w:eastAsia="Arial" w:hAnsi="Arial"/>
          <w:b/>
          <w:bCs/>
          <w:color w:val="14181D"/>
          <w:sz w:val="20"/>
          <w:szCs w:val="20"/>
        </w:rPr>
        <w:t xml:space="preserve">Anything implying a CDM 2015 duty-holder role.</w:t>
      </w:r>
      <w:r>
        <w:rPr>
          <w:rFonts w:ascii="Arial" w:cs="Arial" w:eastAsia="Arial" w:hAnsi="Arial"/>
          <w:color w:val="14181D"/>
          <w:sz w:val="20"/>
          <w:szCs w:val="20"/>
        </w:rPr>
        <w:t xml:space="preserve"> "Price and specify" is safe. Wording that could be read as Principal Designer or Principal Contractor is not.</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When not to sell at all</w:t>
      </w:r>
    </w:p>
    <w:p>
      <w:pPr>
        <w:spacing w:after="90" w:before="90" w:line="280"/>
      </w:pPr>
      <w:r>
        <w:rPr>
          <w:rFonts w:ascii="Arial" w:cs="Arial" w:eastAsia="Arial" w:hAnsi="Arial"/>
          <w:color w:val="14181D"/>
          <w:sz w:val="20"/>
          <w:szCs w:val="20"/>
        </w:rPr>
        <w:t xml:space="preserve">The rule is "related to what we do". These are not, whatever they mention:</w:t>
      </w:r>
    </w:p>
    <w:p>
      <w:pPr>
        <w:pStyle w:val="ListParagraph"/>
        <w:numPr>
          <w:ilvl w:val="0"/>
          <w:numId w:val="2"/>
        </w:numPr>
        <w:spacing w:after="50" w:before="50" w:line="280"/>
      </w:pPr>
      <w:r>
        <w:rPr>
          <w:rFonts w:ascii="Arial" w:cs="Arial" w:eastAsia="Arial" w:hAnsi="Arial"/>
          <w:color w:val="14181D"/>
          <w:sz w:val="20"/>
          <w:szCs w:val="20"/>
        </w:rPr>
        <w:t xml:space="preserve">A fatality, injury, or any safety incident.</w:t>
      </w:r>
    </w:p>
    <w:p>
      <w:pPr>
        <w:pStyle w:val="ListParagraph"/>
        <w:numPr>
          <w:ilvl w:val="0"/>
          <w:numId w:val="2"/>
        </w:numPr>
        <w:spacing w:after="50" w:before="50" w:line="280"/>
      </w:pPr>
      <w:r>
        <w:rPr>
          <w:rFonts w:ascii="Arial" w:cs="Arial" w:eastAsia="Arial" w:hAnsi="Arial"/>
          <w:color w:val="14181D"/>
          <w:sz w:val="20"/>
          <w:szCs w:val="20"/>
        </w:rPr>
        <w:t xml:space="preserve">A memorial, retirement or obituary.</w:t>
      </w:r>
    </w:p>
    <w:p>
      <w:pPr>
        <w:pStyle w:val="ListParagraph"/>
        <w:numPr>
          <w:ilvl w:val="0"/>
          <w:numId w:val="2"/>
        </w:numPr>
        <w:spacing w:after="50" w:before="50" w:line="280"/>
      </w:pPr>
      <w:r>
        <w:rPr>
          <w:rFonts w:ascii="Arial" w:cs="Arial" w:eastAsia="Arial" w:hAnsi="Arial"/>
          <w:color w:val="14181D"/>
          <w:sz w:val="20"/>
          <w:szCs w:val="20"/>
        </w:rPr>
        <w:t xml:space="preserve">Redundancies, restructuring or a profit warning.</w:t>
      </w:r>
    </w:p>
    <w:p>
      <w:pPr>
        <w:pStyle w:val="ListParagraph"/>
        <w:numPr>
          <w:ilvl w:val="0"/>
          <w:numId w:val="2"/>
        </w:numPr>
        <w:spacing w:after="50" w:before="50" w:line="280"/>
      </w:pPr>
      <w:r>
        <w:rPr>
          <w:rFonts w:ascii="Arial" w:cs="Arial" w:eastAsia="Arial" w:hAnsi="Arial"/>
          <w:color w:val="14181D"/>
          <w:sz w:val="20"/>
          <w:szCs w:val="20"/>
        </w:rPr>
        <w:t xml:space="preserve">A personal award, promotion or milestone.</w:t>
      </w:r>
    </w:p>
    <w:p>
      <w:pPr>
        <w:spacing w:after="90" w:before="90" w:line="280"/>
      </w:pPr>
      <w:r>
        <w:rPr>
          <w:rFonts w:ascii="Arial" w:cs="Arial" w:eastAsia="Arial" w:hAnsi="Arial"/>
          <w:color w:val="14181D"/>
          <w:sz w:val="20"/>
          <w:szCs w:val="20"/>
        </w:rPr>
        <w:t xml:space="preserve">On those, comment with warmth or do not comment. A commercial line under any of them is remembered for years by exactly the people who matter.</w:t>
      </w:r>
    </w:p>
    <w:p>
      <w:pPr>
        <w:pStyle w:val="Heading1"/>
        <w:keepNext/>
        <w:pBdr>
          <w:bottom w:val="single" w:color="9C7A3C" w:sz="8" w:space="6"/>
        </w:pBdr>
        <w:spacing w:after="150" w:before="380"/>
      </w:pPr>
      <w:r>
        <w:rPr>
          <w:rFonts w:ascii="Arial" w:cs="Arial" w:eastAsia="Arial" w:hAnsi="Arial"/>
          <w:b/>
          <w:bCs/>
          <w:color w:val="14181D"/>
          <w:sz w:val="26"/>
          <w:szCs w:val="26"/>
        </w:rPr>
        <w:t xml:space="preserve">Two adjustments by audience</w:t>
      </w:r>
    </w:p>
    <w:p>
      <w:pPr>
        <w:pStyle w:val="ListParagraph"/>
        <w:numPr>
          <w:ilvl w:val="0"/>
          <w:numId w:val="2"/>
        </w:numPr>
        <w:spacing w:after="50" w:before="50" w:line="280"/>
      </w:pPr>
      <w:r>
        <w:rPr>
          <w:rFonts w:ascii="Arial" w:cs="Arial" w:eastAsia="Arial" w:hAnsi="Arial"/>
          <w:b/>
          <w:bCs/>
          <w:color w:val="14181D"/>
          <w:sz w:val="20"/>
          <w:szCs w:val="20"/>
        </w:rPr>
        <w:t xml:space="preserve">A supply chain peer rather than a buyer</w:t>
      </w:r>
      <w:r>
        <w:rPr>
          <w:rFonts w:ascii="Arial" w:cs="Arial" w:eastAsia="Arial" w:hAnsi="Arial"/>
          <w:color w:val="14181D"/>
          <w:sz w:val="20"/>
          <w:szCs w:val="20"/>
        </w:rPr>
        <w:t xml:space="preserve"> — someone who sells something else into the same contractors. The sell softens to a single line, because the relationship is the asset and it is worth more over two years than a proposal is this quarter.</w:t>
      </w:r>
    </w:p>
    <w:p>
      <w:pPr>
        <w:pStyle w:val="ListParagraph"/>
        <w:numPr>
          <w:ilvl w:val="0"/>
          <w:numId w:val="2"/>
        </w:numPr>
        <w:spacing w:after="50" w:before="50" w:line="280"/>
      </w:pPr>
      <w:r>
        <w:rPr>
          <w:rFonts w:ascii="Arial" w:cs="Arial" w:eastAsia="Arial" w:hAnsi="Arial"/>
          <w:b/>
          <w:bCs/>
          <w:color w:val="14181D"/>
          <w:sz w:val="20"/>
          <w:szCs w:val="20"/>
        </w:rPr>
        <w:t xml:space="preserve">A corporate page rather than a person.</w:t>
      </w:r>
      <w:r>
        <w:rPr>
          <w:rFonts w:ascii="Arial" w:cs="Arial" w:eastAsia="Arial" w:hAnsi="Arial"/>
          <w:color w:val="14181D"/>
          <w:sz w:val="20"/>
          <w:szCs w:val="20"/>
        </w:rPr>
        <w:t xml:space="preserve"> Comments under a brand account are read by the social team. Post it anyway when the post is significant, but watch for the named individual sharing it on their own profile within a day or two, and put the same comment there. That is the version that reaches someone who owns a number on a live scheme.</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LinkedIn comments — house style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COMMENTS — HOUSE STYLE</dc:title>
  <dc:creator>ETABLIX — Integrated Site Services</dc:creator>
  <dc:description>ETABLIX LINKEDIN COMMENTS — HOUSE STYLE</dc:description>
  <cp:lastModifiedBy>Un-named</cp:lastModifiedBy>
  <cp:revision>1</cp:revision>
  <dcterms:created xsi:type="dcterms:W3CDTF">2026-10-07T22:46:35.365Z</dcterms:created>
  <dcterms:modified xsi:type="dcterms:W3CDTF">2026-10-07T22:46:35.365Z</dcterms:modified>
</cp:coreProperties>
</file>

<file path=docProps/custom.xml><?xml version="1.0" encoding="utf-8"?>
<Properties xmlns="http://schemas.openxmlformats.org/officeDocument/2006/custom-properties" xmlns:vt="http://schemas.openxmlformats.org/officeDocument/2006/docPropsVTypes"/>
</file>