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60"/>
      </w:pPr>
      <w:r>
        <w:rPr>
          <w:rFonts w:ascii="Arial" w:cs="Arial" w:eastAsia="Arial" w:hAnsi="Arial"/>
          <w:b/>
          <w:bCs/>
          <w:color w:val="14181D"/>
          <w:sz w:val="56"/>
          <w:szCs w:val="56"/>
        </w:rPr>
        <w:t xml:space="preserve">ETABLIX</w:t>
      </w:r>
    </w:p>
    <w:p>
      <w:pPr>
        <w:spacing w:after="60" w:before="0"/>
      </w:pPr>
      <w:r>
        <w:rPr>
          <w:rFonts w:ascii="Arial" w:cs="Arial" w:eastAsia="Arial" w:hAnsi="Arial"/>
          <w:b/>
          <w:bCs/>
          <w:color w:val="9C7A3C"/>
          <w:sz w:val="18"/>
          <w:szCs w:val="18"/>
        </w:rPr>
        <w:t xml:space="preserve">INTEGRATED SITE SERVICES</w:t>
      </w:r>
    </w:p>
    <w:p>
      <w:pPr>
        <w:pBdr>
          <w:bottom w:val="single" w:color="9C7A3C" w:sz="6" w:space="6"/>
        </w:pBdr>
        <w:spacing w:after="380" w:before="90" w:line="280"/>
      </w:pPr>
      <w:r>
        <w:rPr>
          <w:rFonts w:ascii="Arial" w:cs="Arial" w:eastAsia="Arial" w:hAnsi="Arial"/>
          <w:color w:val="5B6672"/>
          <w:sz w:val="18"/>
          <w:szCs w:val="18"/>
        </w:rPr>
        <w:t xml:space="preserve">A trading name of JNN GLOBAL LTD · Company number 15405437</w:t>
      </w:r>
    </w:p>
    <w:p>
      <w:pPr>
        <w:spacing w:after="0" w:before="260"/>
      </w:pPr>
      <w:r>
        <w:rPr>
          <w:rFonts w:ascii="Arial" w:cs="Arial" w:eastAsia="Arial" w:hAnsi="Arial"/>
          <w:b/>
          <w:bCs/>
          <w:color w:val="9C7A3C"/>
          <w:sz w:val="30"/>
          <w:szCs w:val="30"/>
        </w:rPr>
        <w:t xml:space="preserve">WORKING BRIEF</w:t>
      </w:r>
    </w:p>
    <w:p>
      <w:pPr>
        <w:spacing w:after="0" w:before="0"/>
      </w:pPr>
      <w:r>
        <w:rPr>
          <w:rFonts w:ascii="Arial" w:cs="Arial" w:eastAsia="Arial" w:hAnsi="Arial"/>
          <w:b/>
          <w:bCs/>
          <w:color w:val="14181D"/>
          <w:sz w:val="44"/>
          <w:szCs w:val="44"/>
        </w:rPr>
        <w:t xml:space="preserve">SIEMENS ENERGY SUPPLIER COLLABORATION FORM — ANSWERS, FIELD BY FIELD</w:t>
      </w:r>
    </w:p>
    <w:p>
      <w:pPr>
        <w:spacing w:after="420" w:before="60"/>
      </w:pPr>
      <w:r>
        <w:rPr>
          <w:rFonts w:ascii="Arial" w:cs="Arial" w:eastAsia="Arial" w:hAnsi="Arial"/>
          <w:color w:val="5B6672"/>
          <w:sz w:val="26"/>
          <w:szCs w:val="26"/>
        </w:rPr>
        <w:t xml:space="preserve">internal working document — not for issue to a client or a buyer</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300"/>
        <w:gridCol w:w="6000"/>
      </w:tblGrid>
      <w:tr>
        <w:trPr>
          <w:tblHeader/>
        </w:trPr>
        <w:tc>
          <w:tcPr>
            <w:tcW w:type="dxa" w:w="23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c>
          <w:tcPr>
            <w:tcW w:type="dxa" w:w="60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Document</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Siemens Energy supplier collaboration form — answers, field by field</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Source</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business/bids/siemens-energy-supplier-form.md</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Rendered</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15 October 2026</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Status</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Rendered from the markdown source. Edit the source and re-run; do not edit this file.</w:t>
            </w:r>
          </w:p>
        </w:tc>
      </w:tr>
    </w:tbl>
    <w:p>
      <w:pPr>
        <w:spacing w:after="300" w:before="90" w:line="280"/>
      </w:pPr>
      <w:r>
        <w:rPr>
          <w:rFonts w:ascii="Arial" w:cs="Arial" w:eastAsia="Arial" w:hAnsi="Arial"/>
          <w:color w:val="14181D"/>
          <w:sz w:val="20"/>
          <w:szCs w:val="20"/>
        </w:rPr>
        <w:t xml:space="preserve"/>
      </w:r>
    </w:p>
    <w:p>
      <w:r>
        <w:br w:type="page"/>
      </w:r>
    </w:p>
    <w:p>
      <w:pPr>
        <w:spacing w:after="90" w:before="90" w:line="280"/>
      </w:pPr>
      <w:r>
        <w:rPr>
          <w:rFonts w:ascii="Arial" w:cs="Arial" w:eastAsia="Arial" w:hAnsi="Arial"/>
          <w:b/>
          <w:bCs/>
          <w:color w:val="14181D"/>
          <w:sz w:val="20"/>
          <w:szCs w:val="20"/>
        </w:rPr>
        <w:t xml:space="preserve">Form:</w:t>
      </w:r>
      <w:r>
        <w:rPr>
          <w:rFonts w:ascii="Arial" w:cs="Arial" w:eastAsia="Arial" w:hAnsi="Arial"/>
          <w:color w:val="14181D"/>
          <w:sz w:val="20"/>
          <w:szCs w:val="20"/>
        </w:rPr>
        <w:t xml:space="preserve"> Collaborating with Siemens Energy — supply chain request </w:t>
      </w:r>
      <w:r>
        <w:rPr>
          <w:rFonts w:ascii="Arial" w:cs="Arial" w:eastAsia="Arial" w:hAnsi="Arial"/>
          <w:b/>
          <w:bCs/>
          <w:color w:val="14181D"/>
          <w:sz w:val="20"/>
          <w:szCs w:val="20"/>
        </w:rPr>
        <w:t xml:space="preserve">Completed for:</w:t>
      </w:r>
      <w:r>
        <w:rPr>
          <w:rFonts w:ascii="Arial" w:cs="Arial" w:eastAsia="Arial" w:hAnsi="Arial"/>
          <w:color w:val="14181D"/>
          <w:sz w:val="20"/>
          <w:szCs w:val="20"/>
        </w:rPr>
        <w:t xml:space="preserve"> JNN GLOBAL LTD, trading as ETABLIX </w:t>
      </w:r>
      <w:r>
        <w:rPr>
          <w:rFonts w:ascii="Arial" w:cs="Arial" w:eastAsia="Arial" w:hAnsi="Arial"/>
          <w:b/>
          <w:bCs/>
          <w:color w:val="14181D"/>
          <w:sz w:val="20"/>
          <w:szCs w:val="20"/>
        </w:rPr>
        <w:t xml:space="preserve">Date:</w:t>
      </w:r>
      <w:r>
        <w:rPr>
          <w:rFonts w:ascii="Arial" w:cs="Arial" w:eastAsia="Arial" w:hAnsi="Arial"/>
          <w:color w:val="14181D"/>
          <w:sz w:val="20"/>
          <w:szCs w:val="20"/>
        </w:rPr>
        <w:t xml:space="preserve"> 15 October 2026</w:t>
      </w:r>
    </w:p>
    <w:p>
      <w:pPr>
        <w:spacing w:after="90" w:before="90" w:line="280"/>
      </w:pPr>
      <w:r>
        <w:rPr>
          <w:rFonts w:ascii="Arial" w:cs="Arial" w:eastAsia="Arial" w:hAnsi="Arial"/>
          <w:color w:val="14181D"/>
          <w:sz w:val="20"/>
          <w:szCs w:val="20"/>
        </w:rPr>
        <w:t xml:space="preserve">Every answer below is one ETABLIX can stand behind if it is checked. Four fields on this form are places where a careless answer becomes a false declaration, and they are called out in their own section. Read that section before typing anything.</w:t>
      </w:r>
    </w:p>
    <w:p>
      <w:pPr>
        <w:pStyle w:val="Heading1"/>
        <w:keepNext/>
        <w:pBdr>
          <w:bottom w:val="single" w:color="9C7A3C" w:sz="8" w:space="6"/>
        </w:pBdr>
        <w:spacing w:after="150" w:before="380"/>
      </w:pPr>
      <w:r>
        <w:rPr>
          <w:rFonts w:ascii="Arial" w:cs="Arial" w:eastAsia="Arial" w:hAnsi="Arial"/>
          <w:b/>
          <w:bCs/>
          <w:color w:val="14181D"/>
          <w:sz w:val="26"/>
          <w:szCs w:val="26"/>
        </w:rPr>
        <w:t xml:space="preserve">Where this form sits, and which door it is</w:t>
      </w:r>
    </w:p>
    <w:p>
      <w:pPr>
        <w:spacing w:after="90" w:before="90" w:line="280"/>
      </w:pPr>
      <w:r>
        <w:rPr>
          <w:rFonts w:ascii="Arial" w:cs="Arial" w:eastAsia="Arial" w:hAnsi="Arial"/>
          <w:color w:val="14181D"/>
          <w:sz w:val="20"/>
          <w:szCs w:val="20"/>
        </w:rPr>
        <w:t xml:space="preserve">The collaboration page offers </w:t>
      </w:r>
      <w:r>
        <w:rPr>
          <w:rFonts w:ascii="Arial" w:cs="Arial" w:eastAsia="Arial" w:hAnsi="Arial"/>
          <w:b/>
          <w:bCs/>
          <w:color w:val="14181D"/>
          <w:sz w:val="20"/>
          <w:szCs w:val="20"/>
        </w:rPr>
        <w:t xml:space="preserve">two</w:t>
      </w:r>
      <w:r>
        <w:rPr>
          <w:rFonts w:ascii="Arial" w:cs="Arial" w:eastAsia="Arial" w:hAnsi="Arial"/>
          <w:color w:val="14181D"/>
          <w:sz w:val="20"/>
          <w:szCs w:val="20"/>
        </w:rPr>
        <w:t xml:space="preserve"> buttons, and they are not alternatives for the same thing:</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192"/>
        <w:gridCol w:w="2565"/>
        <w:gridCol w:w="3543"/>
      </w:tblGrid>
      <w:tr>
        <w:trPr>
          <w:tblHeader/>
        </w:trPr>
        <w:tc>
          <w:tcPr>
            <w:tcW w:type="dxa" w:w="2192"/>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Button</w:t>
            </w:r>
          </w:p>
        </w:tc>
        <w:tc>
          <w:tcPr>
            <w:tcW w:type="dxa" w:w="2565"/>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Goes to</w:t>
            </w:r>
          </w:p>
        </w:tc>
        <w:tc>
          <w:tcPr>
            <w:tcW w:type="dxa" w:w="3543"/>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For</w:t>
            </w:r>
          </w:p>
        </w:tc>
      </w:tr>
      <w:tr>
        <w:tc>
          <w:tcPr>
            <w:tcW w:type="dxa" w:w="2192"/>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Click here to innovate with us</w:t>
            </w:r>
          </w:p>
        </w:tc>
        <w:tc>
          <w:tcPr>
            <w:tcW w:type="dxa" w:w="2565"/>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innovation-orbit.siemens-energy.com/partners</w:t>
            </w:r>
          </w:p>
        </w:tc>
        <w:tc>
          <w:tcPr>
            <w:tcW w:type="dxa" w:w="3543"/>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An innovative proposal — a technology or solution put forward for assessment</w:t>
            </w:r>
          </w:p>
        </w:tc>
      </w:tr>
      <w:tr>
        <w:tc>
          <w:tcPr>
            <w:tcW w:type="dxa" w:w="2192"/>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Supplier self-nomination (excluding innovation)</w:t>
            </w:r>
          </w:p>
        </w:tc>
        <w:tc>
          <w:tcPr>
            <w:tcW w:type="dxa" w:w="2565"/>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innovation-orbit.siemens-energy.com/supplychainpartners</w:t>
            </w:r>
          </w:p>
        </w:tc>
        <w:tc>
          <w:tcPr>
            <w:tcW w:type="dxa" w:w="3543"/>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Introducing yourself as a new supplier, with no innovation proposal</w:t>
            </w:r>
          </w:p>
        </w:tc>
      </w:tr>
    </w:tbl>
    <w:p>
      <w:pPr>
        <w:spacing w:after="90" w:before="90" w:line="280"/>
      </w:pPr>
      <w:r>
        <w:rPr>
          <w:rFonts w:ascii="Arial" w:cs="Arial" w:eastAsia="Arial" w:hAnsi="Arial"/>
          <w:b/>
          <w:bCs/>
          <w:color w:val="14181D"/>
          <w:sz w:val="20"/>
          <w:szCs w:val="20"/>
        </w:rPr>
        <w:t xml:space="preserve">Take the self-nomination.</w:t>
      </w:r>
      <w:r>
        <w:rPr>
          <w:rFonts w:ascii="Arial" w:cs="Arial" w:eastAsia="Arial" w:hAnsi="Arial"/>
          <w:color w:val="14181D"/>
          <w:sz w:val="20"/>
          <w:szCs w:val="20"/>
        </w:rPr>
        <w:t xml:space="preserve"> ETABLIX supplies a service, not a technology being offered for innovation assessment, and the innovation route puts the submission in front of people evaluating intellectual property and co-development rather than buyers of site services. The "Contact us" link earlier on the same page goes to the same self-nomination address.</w:t>
      </w:r>
    </w:p>
    <w:p>
      <w:pPr>
        <w:spacing w:after="90" w:before="90" w:line="280"/>
      </w:pPr>
      <w:r>
        <w:rPr>
          <w:rFonts w:ascii="Arial" w:cs="Arial" w:eastAsia="Arial" w:hAnsi="Arial"/>
          <w:b/>
          <w:bCs/>
          <w:color w:val="14181D"/>
          <w:sz w:val="20"/>
          <w:szCs w:val="20"/>
        </w:rPr>
        <w:t xml:space="preserve">The form already being completed is the right one.</w:t>
      </w:r>
      <w:r>
        <w:rPr>
          <w:rFonts w:ascii="Arial" w:cs="Arial" w:eastAsia="Arial" w:hAnsi="Arial"/>
          <w:color w:val="14181D"/>
          <w:sz w:val="20"/>
          <w:szCs w:val="20"/>
        </w:rPr>
        <w:t xml:space="preserve"> It is served from innovation-orbit.siemens-energy.com, which is the self-nomination application. Nothing else needs finding.</w:t>
      </w:r>
    </w:p>
    <w:p>
      <w:pPr>
        <w:spacing w:after="90" w:before="90" w:line="280"/>
      </w:pPr>
      <w:r>
        <w:rPr>
          <w:rFonts w:ascii="Arial" w:cs="Arial" w:eastAsia="Arial" w:hAnsi="Arial"/>
          <w:b/>
          <w:bCs/>
          <w:color w:val="14181D"/>
          <w:sz w:val="20"/>
          <w:szCs w:val="20"/>
        </w:rPr>
        <w:t xml:space="preserve">Region.</w:t>
      </w:r>
      <w:r>
        <w:rPr>
          <w:rFonts w:ascii="Arial" w:cs="Arial" w:eastAsia="Arial" w:hAnsi="Arial"/>
          <w:color w:val="14181D"/>
          <w:sz w:val="20"/>
          <w:szCs w:val="20"/>
        </w:rPr>
        <w:t xml:space="preserve"> The page says the region is used to route the nomination to the correct regional procurement team, so this is the field that decides who reads it. The legal headquarters is Birmingham, so the answer is the United Kingdom — </w:t>
      </w:r>
      <w:r>
        <w:rPr>
          <w:rFonts w:ascii="Arial" w:cs="Arial" w:eastAsia="Arial" w:hAnsi="Arial"/>
          <w:b/>
          <w:bCs/>
          <w:color w:val="14181D"/>
          <w:sz w:val="20"/>
          <w:szCs w:val="20"/>
        </w:rPr>
        <w:t xml:space="preserve">UK and Ireland</w:t>
      </w:r>
      <w:r>
        <w:rPr>
          <w:rFonts w:ascii="Arial" w:cs="Arial" w:eastAsia="Arial" w:hAnsi="Arial"/>
          <w:color w:val="14181D"/>
          <w:sz w:val="20"/>
          <w:szCs w:val="20"/>
        </w:rPr>
        <w:t xml:space="preserve"> where that is offered, </w:t>
      </w:r>
      <w:r>
        <w:rPr>
          <w:rFonts w:ascii="Arial" w:cs="Arial" w:eastAsia="Arial" w:hAnsi="Arial"/>
          <w:b/>
          <w:bCs/>
          <w:color w:val="14181D"/>
          <w:sz w:val="20"/>
          <w:szCs w:val="20"/>
        </w:rPr>
        <w:t xml:space="preserve">Europe</w:t>
      </w:r>
      <w:r>
        <w:rPr>
          <w:rFonts w:ascii="Arial" w:cs="Arial" w:eastAsia="Arial" w:hAnsi="Arial"/>
          <w:color w:val="14181D"/>
          <w:sz w:val="20"/>
          <w:szCs w:val="20"/>
        </w:rPr>
        <w:t xml:space="preserve"> on the form's own region list.</w:t>
      </w:r>
    </w:p>
    <w:p>
      <w:pPr>
        <w:pStyle w:val="Heading2"/>
        <w:keepNext/>
        <w:spacing w:after="110" w:before="260"/>
      </w:pPr>
      <w:r>
        <w:rPr>
          <w:rFonts w:ascii="Arial" w:cs="Arial" w:eastAsia="Arial" w:hAnsi="Arial"/>
          <w:b/>
          <w:bCs/>
          <w:color w:val="9C7A3C"/>
          <w:sz w:val="21"/>
          <w:szCs w:val="21"/>
        </w:rPr>
        <w:t xml:space="preserve">What happens after it is submitted</w:t>
      </w:r>
    </w:p>
    <w:p>
      <w:pPr>
        <w:pStyle w:val="ListParagraph"/>
        <w:numPr>
          <w:ilvl w:val="0"/>
          <w:numId w:val="2"/>
        </w:numPr>
        <w:spacing w:after="50" w:before="50" w:line="280"/>
      </w:pPr>
      <w:r>
        <w:rPr>
          <w:rFonts w:ascii="Arial" w:cs="Arial" w:eastAsia="Arial" w:hAnsi="Arial"/>
          <w:b/>
          <w:bCs/>
          <w:color w:val="14181D"/>
          <w:sz w:val="20"/>
          <w:szCs w:val="20"/>
        </w:rPr>
        <w:t xml:space="preserve">1. </w:t>
      </w:r>
      <w:r>
        <w:rPr>
          <w:rFonts w:ascii="Arial" w:cs="Arial" w:eastAsia="Arial" w:hAnsi="Arial"/>
          <w:b/>
          <w:bCs/>
          <w:color w:val="14181D"/>
          <w:sz w:val="20"/>
          <w:szCs w:val="20"/>
        </w:rPr>
        <w:t xml:space="preserve">Self-nomination</w:t>
      </w:r>
      <w:r>
        <w:rPr>
          <w:rFonts w:ascii="Arial" w:cs="Arial" w:eastAsia="Arial" w:hAnsi="Arial"/>
          <w:color w:val="14181D"/>
          <w:sz w:val="20"/>
          <w:szCs w:val="20"/>
        </w:rPr>
        <w:t xml:space="preserve"> — this form. Reviewed for a current or future need.</w:t>
      </w:r>
    </w:p>
    <w:p>
      <w:pPr>
        <w:pStyle w:val="ListParagraph"/>
        <w:numPr>
          <w:ilvl w:val="0"/>
          <w:numId w:val="2"/>
        </w:numPr>
        <w:spacing w:after="50" w:before="50" w:line="280"/>
      </w:pPr>
      <w:r>
        <w:rPr>
          <w:rFonts w:ascii="Arial" w:cs="Arial" w:eastAsia="Arial" w:hAnsi="Arial"/>
          <w:b/>
          <w:bCs/>
          <w:color w:val="14181D"/>
          <w:sz w:val="20"/>
          <w:szCs w:val="20"/>
        </w:rPr>
        <w:t xml:space="preserve">2. </w:t>
      </w:r>
      <w:r>
        <w:rPr>
          <w:rFonts w:ascii="Arial" w:cs="Arial" w:eastAsia="Arial" w:hAnsi="Arial"/>
          <w:b/>
          <w:bCs/>
          <w:color w:val="14181D"/>
          <w:sz w:val="20"/>
          <w:szCs w:val="20"/>
        </w:rPr>
        <w:t xml:space="preserve">Registration</w:t>
      </w:r>
      <w:r>
        <w:rPr>
          <w:rFonts w:ascii="Arial" w:cs="Arial" w:eastAsia="Arial" w:hAnsi="Arial"/>
          <w:color w:val="14181D"/>
          <w:sz w:val="20"/>
          <w:szCs w:val="20"/>
        </w:rPr>
        <w:t xml:space="preserve"> — if there is a need, procurement organises onboarding through </w:t>
      </w:r>
      <w:r>
        <w:rPr>
          <w:rFonts w:ascii="Arial" w:cs="Arial" w:eastAsia="Arial" w:hAnsi="Arial"/>
          <w:b/>
          <w:bCs/>
          <w:color w:val="14181D"/>
          <w:sz w:val="20"/>
          <w:szCs w:val="20"/>
        </w:rPr>
        <w:t xml:space="preserve">SAP Ariba</w:t>
      </w:r>
      <w:r>
        <w:rPr>
          <w:rFonts w:ascii="Arial" w:cs="Arial" w:eastAsia="Arial" w:hAnsi="Arial"/>
          <w:color w:val="14181D"/>
          <w:sz w:val="20"/>
          <w:szCs w:val="20"/>
        </w:rPr>
        <w:t xml:space="preserve">. This is by invitation. There is nothing to be gained by going looking for Ariba now; an uninvited account does not advance anything.</w:t>
      </w:r>
    </w:p>
    <w:p>
      <w:pPr>
        <w:pStyle w:val="ListParagraph"/>
        <w:numPr>
          <w:ilvl w:val="0"/>
          <w:numId w:val="2"/>
        </w:numPr>
        <w:spacing w:after="50" w:before="50" w:line="280"/>
      </w:pPr>
      <w:r>
        <w:rPr>
          <w:rFonts w:ascii="Arial" w:cs="Arial" w:eastAsia="Arial" w:hAnsi="Arial"/>
          <w:b/>
          <w:bCs/>
          <w:color w:val="14181D"/>
          <w:sz w:val="20"/>
          <w:szCs w:val="20"/>
        </w:rPr>
        <w:t xml:space="preserve">3. </w:t>
      </w:r>
      <w:r>
        <w:rPr>
          <w:rFonts w:ascii="Arial" w:cs="Arial" w:eastAsia="Arial" w:hAnsi="Arial"/>
          <w:b/>
          <w:bCs/>
          <w:color w:val="14181D"/>
          <w:sz w:val="20"/>
          <w:szCs w:val="20"/>
        </w:rPr>
        <w:t xml:space="preserve">Qualification modules</w:t>
      </w:r>
      <w:r>
        <w:rPr>
          <w:rFonts w:ascii="Arial" w:cs="Arial" w:eastAsia="Arial" w:hAnsi="Arial"/>
          <w:color w:val="14181D"/>
          <w:sz w:val="20"/>
          <w:szCs w:val="20"/>
        </w:rPr>
        <w:t xml:space="preserve"> — chosen by the service offered. The </w:t>
      </w:r>
      <w:r>
        <w:rPr>
          <w:rFonts w:ascii="Arial" w:cs="Arial" w:eastAsia="Arial" w:hAnsi="Arial"/>
          <w:b/>
          <w:bCs/>
          <w:color w:val="14181D"/>
          <w:sz w:val="20"/>
          <w:szCs w:val="20"/>
        </w:rPr>
        <w:t xml:space="preserve">Sustainability Self-Assessment</w:t>
      </w:r>
      <w:r>
        <w:rPr>
          <w:rFonts w:ascii="Arial" w:cs="Arial" w:eastAsia="Arial" w:hAnsi="Arial"/>
          <w:color w:val="14181D"/>
          <w:sz w:val="20"/>
          <w:szCs w:val="20"/>
        </w:rPr>
        <w:t xml:space="preserve">, plus modules on </w:t>
      </w:r>
      <w:r>
        <w:rPr>
          <w:rFonts w:ascii="Arial" w:cs="Arial" w:eastAsia="Arial" w:hAnsi="Arial"/>
          <w:b/>
          <w:bCs/>
          <w:color w:val="14181D"/>
          <w:sz w:val="20"/>
          <w:szCs w:val="20"/>
        </w:rPr>
        <w:t xml:space="preserve">health and safety</w:t>
      </w:r>
      <w:r>
        <w:rPr>
          <w:rFonts w:ascii="Arial" w:cs="Arial" w:eastAsia="Arial" w:hAnsi="Arial"/>
          <w:color w:val="14181D"/>
          <w:sz w:val="20"/>
          <w:szCs w:val="20"/>
        </w:rPr>
        <w:t xml:space="preserve"> and </w:t>
      </w:r>
      <w:r>
        <w:rPr>
          <w:rFonts w:ascii="Arial" w:cs="Arial" w:eastAsia="Arial" w:hAnsi="Arial"/>
          <w:b/>
          <w:bCs/>
          <w:color w:val="14181D"/>
          <w:sz w:val="20"/>
          <w:szCs w:val="20"/>
        </w:rPr>
        <w:t xml:space="preserve">cybersecurity</w:t>
      </w:r>
      <w:r>
        <w:rPr>
          <w:rFonts w:ascii="Arial" w:cs="Arial" w:eastAsia="Arial" w:hAnsi="Arial"/>
          <w:color w:val="14181D"/>
          <w:sz w:val="20"/>
          <w:szCs w:val="20"/>
        </w:rPr>
        <w:t xml:space="preserve">. These are the real gate, and "Ready-for-Business" status is what permits taking part in invitations to tender.</w:t>
      </w:r>
    </w:p>
    <w:p>
      <w:pPr>
        <w:spacing w:after="90" w:before="90" w:line="280"/>
      </w:pPr>
      <w:r>
        <w:rPr>
          <w:rFonts w:ascii="Arial" w:cs="Arial" w:eastAsia="Arial" w:hAnsi="Arial"/>
          <w:color w:val="14181D"/>
          <w:sz w:val="20"/>
          <w:szCs w:val="20"/>
        </w:rPr>
        <w:t xml:space="preserve">So the form is the easy part. The modules are where this is won or lost, and two of the three touch a known gap.</w:t>
      </w:r>
    </w:p>
    <w:p>
      <w:pPr>
        <w:pStyle w:val="Heading2"/>
        <w:keepNext/>
        <w:spacing w:after="110" w:before="260"/>
      </w:pPr>
      <w:r>
        <w:rPr>
          <w:rFonts w:ascii="Arial" w:cs="Arial" w:eastAsia="Arial" w:hAnsi="Arial"/>
          <w:b/>
          <w:bCs/>
          <w:color w:val="9C7A3C"/>
          <w:sz w:val="21"/>
          <w:szCs w:val="21"/>
        </w:rPr>
        <w:t xml:space="preserve">Read three documents before submitting</w:t>
      </w:r>
    </w:p>
    <w:p>
      <w:pPr>
        <w:spacing w:after="90" w:before="90" w:line="280"/>
      </w:pPr>
      <w:r>
        <w:rPr>
          <w:rFonts w:ascii="Arial" w:cs="Arial" w:eastAsia="Arial" w:hAnsi="Arial"/>
          <w:color w:val="14181D"/>
          <w:sz w:val="20"/>
          <w:szCs w:val="20"/>
        </w:rPr>
        <w:t xml:space="preserve">Submitting commits the company to Siemens Energy's supplier standards, so read what is being committed to rather than ticking it:</w:t>
      </w:r>
    </w:p>
    <w:p>
      <w:pPr>
        <w:pStyle w:val="ListParagraph"/>
        <w:numPr>
          <w:ilvl w:val="0"/>
          <w:numId w:val="2"/>
        </w:numPr>
        <w:spacing w:after="50" w:before="50" w:line="280"/>
      </w:pPr>
      <w:r>
        <w:rPr>
          <w:rFonts w:ascii="Arial" w:cs="Arial" w:eastAsia="Arial" w:hAnsi="Arial"/>
          <w:b/>
          <w:bCs/>
          <w:color w:val="14181D"/>
          <w:sz w:val="20"/>
          <w:szCs w:val="20"/>
        </w:rPr>
        <w:t xml:space="preserve">Code of Conduct for Siemens Energy Suppliers</w:t>
      </w:r>
      <w:r>
        <w:rPr>
          <w:rFonts w:ascii="Arial" w:cs="Arial" w:eastAsia="Arial" w:hAnsi="Arial"/>
          <w:color w:val="14181D"/>
          <w:sz w:val="20"/>
          <w:szCs w:val="20"/>
        </w:rPr>
        <w:t xml:space="preserve"> — the commitment made at registration.</w:t>
      </w:r>
    </w:p>
    <w:p>
      <w:pPr>
        <w:pStyle w:val="ListParagraph"/>
        <w:numPr>
          <w:ilvl w:val="0"/>
          <w:numId w:val="2"/>
        </w:numPr>
        <w:spacing w:after="50" w:before="50" w:line="280"/>
      </w:pPr>
      <w:r>
        <w:rPr>
          <w:rFonts w:ascii="Arial" w:cs="Arial" w:eastAsia="Arial" w:hAnsi="Arial"/>
          <w:b/>
          <w:bCs/>
          <w:color w:val="14181D"/>
          <w:sz w:val="20"/>
          <w:szCs w:val="20"/>
        </w:rPr>
        <w:t xml:space="preserve">Code of Conduct, "Management System for occupational Health and Safety"</w:t>
      </w:r>
      <w:r>
        <w:rPr>
          <w:rFonts w:ascii="Arial" w:cs="Arial" w:eastAsia="Arial" w:hAnsi="Arial"/>
          <w:color w:val="14181D"/>
          <w:sz w:val="20"/>
          <w:szCs w:val="20"/>
        </w:rPr>
        <w:t xml:space="preserve"> — the section the health and safety module is assessed against. Worth reading closely: it asks for a </w:t>
      </w:r>
      <w:r>
        <w:rPr>
          <w:rFonts w:ascii="Arial" w:cs="Arial" w:eastAsia="Arial" w:hAnsi="Arial"/>
          <w:i/>
          <w:iCs/>
          <w:color w:val="14181D"/>
          <w:sz w:val="20"/>
          <w:szCs w:val="20"/>
        </w:rPr>
        <w:t xml:space="preserve">management system</w:t>
      </w:r>
      <w:r>
        <w:rPr>
          <w:rFonts w:ascii="Arial" w:cs="Arial" w:eastAsia="Arial" w:hAnsi="Arial"/>
          <w:color w:val="14181D"/>
          <w:sz w:val="20"/>
          <w:szCs w:val="20"/>
        </w:rPr>
        <w:t xml:space="preserve">, which a documented system can satisfy, rather than for a certificate ETABLIX does not hold. If that reading holds, the documented-not-certified position is adequate here and the coverage statement is the right attachment.</w:t>
      </w:r>
    </w:p>
    <w:p>
      <w:pPr>
        <w:pStyle w:val="ListParagraph"/>
        <w:numPr>
          <w:ilvl w:val="0"/>
          <w:numId w:val="2"/>
        </w:numPr>
        <w:spacing w:after="50" w:before="50" w:line="280"/>
      </w:pPr>
      <w:r>
        <w:rPr>
          <w:rFonts w:ascii="Arial" w:cs="Arial" w:eastAsia="Arial" w:hAnsi="Arial"/>
          <w:b/>
          <w:bCs/>
          <w:color w:val="14181D"/>
          <w:sz w:val="20"/>
          <w:szCs w:val="20"/>
        </w:rPr>
        <w:t xml:space="preserve">Code of Conduct, "Management System for environmental Protection"</w:t>
      </w:r>
      <w:r>
        <w:rPr>
          <w:rFonts w:ascii="Arial" w:cs="Arial" w:eastAsia="Arial" w:hAnsi="Arial"/>
          <w:color w:val="14181D"/>
          <w:sz w:val="20"/>
          <w:szCs w:val="20"/>
        </w:rPr>
        <w:t xml:space="preserve"> — the same question on the environmental side.</w:t>
      </w:r>
    </w:p>
    <w:p>
      <w:pPr>
        <w:spacing w:after="90" w:before="90" w:line="280"/>
      </w:pPr>
      <w:r>
        <w:rPr>
          <w:rFonts w:ascii="Arial" w:cs="Arial" w:eastAsia="Arial" w:hAnsi="Arial"/>
          <w:color w:val="14181D"/>
          <w:sz w:val="20"/>
          <w:szCs w:val="20"/>
        </w:rPr>
        <w:t xml:space="preserve">The </w:t>
      </w:r>
      <w:r>
        <w:rPr>
          <w:rFonts w:ascii="Arial" w:cs="Arial" w:eastAsia="Arial" w:hAnsi="Arial"/>
          <w:b/>
          <w:bCs/>
          <w:color w:val="14181D"/>
          <w:sz w:val="20"/>
          <w:szCs w:val="20"/>
        </w:rPr>
        <w:t xml:space="preserve">Cyber Resilience Act</w:t>
      </w:r>
      <w:r>
        <w:rPr>
          <w:rFonts w:ascii="Arial" w:cs="Arial" w:eastAsia="Arial" w:hAnsi="Arial"/>
          <w:color w:val="14181D"/>
          <w:sz w:val="20"/>
          <w:szCs w:val="20"/>
        </w:rPr>
        <w:t xml:space="preserve"> note is worth a look before the cybersecurity module, and reinforces why Cyber Essentials is the cheapest thing on the to-buy list that unblocks a named gate.</w:t>
      </w:r>
    </w:p>
    <w:p>
      <w:pPr>
        <w:spacing w:after="90" w:before="90" w:line="280"/>
      </w:pPr>
      <w:r>
        <w:rPr>
          <w:rFonts w:ascii="Arial" w:cs="Arial" w:eastAsia="Arial" w:hAnsi="Arial"/>
          <w:color w:val="14181D"/>
          <w:sz w:val="20"/>
          <w:szCs w:val="20"/>
        </w:rPr>
        <w:t xml:space="preserve">The </w:t>
      </w:r>
      <w:r>
        <w:rPr>
          <w:rFonts w:ascii="Arial" w:cs="Arial" w:eastAsia="Arial" w:hAnsi="Arial"/>
          <w:b/>
          <w:bCs/>
          <w:color w:val="14181D"/>
          <w:sz w:val="20"/>
          <w:szCs w:val="20"/>
        </w:rPr>
        <w:t xml:space="preserve">Responsible raw materials sourcing policy</w:t>
      </w:r>
      <w:r>
        <w:rPr>
          <w:rFonts w:ascii="Arial" w:cs="Arial" w:eastAsia="Arial" w:hAnsi="Arial"/>
          <w:color w:val="14181D"/>
          <w:sz w:val="20"/>
          <w:szCs w:val="20"/>
        </w:rPr>
        <w:t xml:space="preserve"> and the </w:t>
      </w:r>
      <w:r>
        <w:rPr>
          <w:rFonts w:ascii="Arial" w:cs="Arial" w:eastAsia="Arial" w:hAnsi="Arial"/>
          <w:b/>
          <w:bCs/>
          <w:color w:val="14181D"/>
          <w:sz w:val="20"/>
          <w:szCs w:val="20"/>
        </w:rPr>
        <w:t xml:space="preserve">Quality Principles</w:t>
      </w:r>
      <w:r>
        <w:rPr>
          <w:rFonts w:ascii="Arial" w:cs="Arial" w:eastAsia="Arial" w:hAnsi="Arial"/>
          <w:color w:val="14181D"/>
          <w:sz w:val="20"/>
          <w:szCs w:val="20"/>
        </w:rPr>
        <w:t xml:space="preserve"> annexes are written for manufacturers and do not apply to a service provider, but do not say so unprompted — answer them "not applicable, service provider" only if asked.</w:t>
      </w:r>
    </w:p>
    <w:p>
      <w:pPr>
        <w:pStyle w:val="Heading1"/>
        <w:keepNext/>
        <w:pBdr>
          <w:bottom w:val="single" w:color="9C7A3C" w:sz="8" w:space="6"/>
        </w:pBdr>
        <w:spacing w:after="150" w:before="380"/>
      </w:pPr>
      <w:r>
        <w:rPr>
          <w:rFonts w:ascii="Arial" w:cs="Arial" w:eastAsia="Arial" w:hAnsi="Arial"/>
          <w:b/>
          <w:bCs/>
          <w:color w:val="14181D"/>
          <w:sz w:val="26"/>
          <w:szCs w:val="26"/>
        </w:rPr>
        <w:t xml:space="preserve">The one that would have failed the registration on its own</w:t>
      </w:r>
    </w:p>
    <w:p>
      <w:pPr>
        <w:spacing w:after="90" w:before="90" w:line="280"/>
      </w:pPr>
      <w:r>
        <w:rPr>
          <w:rFonts w:ascii="Arial" w:cs="Arial" w:eastAsia="Arial" w:hAnsi="Arial"/>
          <w:b/>
          <w:bCs/>
          <w:color w:val="14181D"/>
          <w:sz w:val="20"/>
          <w:szCs w:val="20"/>
        </w:rPr>
        <w:t xml:space="preserve">The vendor legal name is JNN GLOBAL LTD, not ETABLIX.</w:t>
      </w:r>
    </w:p>
    <w:p>
      <w:pPr>
        <w:spacing w:after="90" w:before="90" w:line="280"/>
      </w:pPr>
      <w:r>
        <w:rPr>
          <w:rFonts w:ascii="Arial" w:cs="Arial" w:eastAsia="Arial" w:hAnsi="Arial"/>
          <w:color w:val="14181D"/>
          <w:sz w:val="20"/>
          <w:szCs w:val="20"/>
        </w:rPr>
        <w:t xml:space="preserve">ETABLIX is the trading name. The registered company at Companies House is </w:t>
      </w:r>
      <w:r>
        <w:rPr>
          <w:rFonts w:ascii="Arial" w:cs="Arial" w:eastAsia="Arial" w:hAnsi="Arial"/>
          <w:b/>
          <w:bCs/>
          <w:color w:val="14181D"/>
          <w:sz w:val="20"/>
          <w:szCs w:val="20"/>
        </w:rPr>
        <w:t xml:space="preserve">JNN GLOBAL LTD, company number 15405437</w:t>
      </w:r>
      <w:r>
        <w:rPr>
          <w:rFonts w:ascii="Arial" w:cs="Arial" w:eastAsia="Arial" w:hAnsi="Arial"/>
          <w:color w:val="14181D"/>
          <w:sz w:val="20"/>
          <w:szCs w:val="20"/>
        </w:rPr>
        <w:t xml:space="preserve">. A supplier registration whose legal name does not match the register is bounced at entity verification before a human reads a word of it, and that is the single most common reason a good registration dies quietly.</w:t>
      </w:r>
    </w:p>
    <w:p>
      <w:pPr>
        <w:spacing w:after="90" w:before="90" w:line="280"/>
      </w:pPr>
      <w:r>
        <w:rPr>
          <w:rFonts w:ascii="Arial" w:cs="Arial" w:eastAsia="Arial" w:hAnsi="Arial"/>
          <w:color w:val="14181D"/>
          <w:sz w:val="20"/>
          <w:szCs w:val="20"/>
        </w:rPr>
        <w:t xml:space="preserve">So: legal name fields get </w:t>
      </w:r>
      <w:r>
        <w:rPr>
          <w:rFonts w:ascii="Arial" w:cs="Arial" w:eastAsia="Arial" w:hAnsi="Arial"/>
          <w:b/>
          <w:bCs/>
          <w:color w:val="14181D"/>
          <w:sz w:val="20"/>
          <w:szCs w:val="20"/>
        </w:rPr>
        <w:t xml:space="preserve">JNN GLOBAL LTD</w:t>
      </w:r>
      <w:r>
        <w:rPr>
          <w:rFonts w:ascii="Arial" w:cs="Arial" w:eastAsia="Arial" w:hAnsi="Arial"/>
          <w:color w:val="14181D"/>
          <w:sz w:val="20"/>
          <w:szCs w:val="20"/>
        </w:rPr>
        <w:t xml:space="preserve">. The trading name goes in the additional information box and the USP, where it belongs.</w:t>
      </w:r>
    </w:p>
    <w:p>
      <w:pPr>
        <w:pStyle w:val="Heading1"/>
        <w:keepNext/>
        <w:pBdr>
          <w:bottom w:val="single" w:color="9C7A3C" w:sz="8" w:space="6"/>
        </w:pBdr>
        <w:spacing w:after="150" w:before="380"/>
      </w:pPr>
      <w:r>
        <w:rPr>
          <w:rFonts w:ascii="Arial" w:cs="Arial" w:eastAsia="Arial" w:hAnsi="Arial"/>
          <w:b/>
          <w:bCs/>
          <w:color w:val="14181D"/>
          <w:sz w:val="26"/>
          <w:szCs w:val="26"/>
        </w:rPr>
        <w:t xml:space="preserve">Section 1 — identity</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3782"/>
        <w:gridCol w:w="4518"/>
      </w:tblGrid>
      <w:tr>
        <w:trPr>
          <w:tblHeader/>
        </w:trPr>
        <w:tc>
          <w:tcPr>
            <w:tcW w:type="dxa" w:w="3782"/>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Field</w:t>
            </w:r>
          </w:p>
        </w:tc>
        <w:tc>
          <w:tcPr>
            <w:tcW w:type="dxa" w:w="4518"/>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Answer</w:t>
            </w:r>
          </w:p>
        </w:tc>
      </w:tr>
      <w:tr>
        <w:tc>
          <w:tcPr>
            <w:tcW w:type="dxa" w:w="3782"/>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Vendor legal name (Latin characters)</w:t>
            </w:r>
          </w:p>
        </w:tc>
        <w:tc>
          <w:tcPr>
            <w:tcW w:type="dxa" w:w="4518"/>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JNN GLOBAL LTD</w:t>
            </w:r>
          </w:p>
        </w:tc>
      </w:tr>
      <w:tr>
        <w:tc>
          <w:tcPr>
            <w:tcW w:type="dxa" w:w="3782"/>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Vendor legal name (local characters)</w:t>
            </w:r>
          </w:p>
        </w:tc>
        <w:tc>
          <w:tcPr>
            <w:tcW w:type="dxa" w:w="4518"/>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JNN GLOBAL LTD</w:t>
            </w:r>
          </w:p>
        </w:tc>
      </w:tr>
      <w:tr>
        <w:tc>
          <w:tcPr>
            <w:tcW w:type="dxa" w:w="3782"/>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Main contact: First name</w:t>
            </w:r>
          </w:p>
        </w:tc>
        <w:tc>
          <w:tcPr>
            <w:tcW w:type="dxa" w:w="4518"/>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Justin</w:t>
            </w:r>
          </w:p>
        </w:tc>
      </w:tr>
      <w:tr>
        <w:tc>
          <w:tcPr>
            <w:tcW w:type="dxa" w:w="3782"/>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Main contact: Last name</w:t>
            </w:r>
          </w:p>
        </w:tc>
        <w:tc>
          <w:tcPr>
            <w:tcW w:type="dxa" w:w="4518"/>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Ngolu Nseya</w:t>
            </w:r>
          </w:p>
        </w:tc>
      </w:tr>
      <w:tr>
        <w:tc>
          <w:tcPr>
            <w:tcW w:type="dxa" w:w="3782"/>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Main contact: E-mail</w:t>
            </w:r>
          </w:p>
        </w:tc>
        <w:tc>
          <w:tcPr>
            <w:tcW w:type="dxa" w:w="4518"/>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contact@etablix.com</w:t>
            </w:r>
          </w:p>
        </w:tc>
      </w:tr>
      <w:tr>
        <w:tc>
          <w:tcPr>
            <w:tcW w:type="dxa" w:w="3782"/>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Main contact: Phone</w:t>
            </w:r>
          </w:p>
        </w:tc>
        <w:tc>
          <w:tcPr>
            <w:tcW w:type="dxa" w:w="4518"/>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your number, in international format: +44 …</w:t>
            </w:r>
          </w:p>
        </w:tc>
      </w:tr>
      <w:tr>
        <w:tc>
          <w:tcPr>
            <w:tcW w:type="dxa" w:w="3782"/>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Main contact: Role in company</w:t>
            </w:r>
          </w:p>
        </w:tc>
        <w:tc>
          <w:tcPr>
            <w:tcW w:type="dxa" w:w="4518"/>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Managing Director</w:t>
            </w:r>
          </w:p>
        </w:tc>
      </w:tr>
      <w:tr>
        <w:tc>
          <w:tcPr>
            <w:tcW w:type="dxa" w:w="3782"/>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Headquarters: Country</w:t>
            </w:r>
          </w:p>
        </w:tc>
        <w:tc>
          <w:tcPr>
            <w:tcW w:type="dxa" w:w="4518"/>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United Kingdom</w:t>
            </w:r>
          </w:p>
        </w:tc>
      </w:tr>
      <w:tr>
        <w:tc>
          <w:tcPr>
            <w:tcW w:type="dxa" w:w="3782"/>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Headquarters: City</w:t>
            </w:r>
          </w:p>
        </w:tc>
        <w:tc>
          <w:tcPr>
            <w:tcW w:type="dxa" w:w="4518"/>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Birmingham</w:t>
            </w:r>
          </w:p>
        </w:tc>
      </w:tr>
      <w:tr>
        <w:tc>
          <w:tcPr>
            <w:tcW w:type="dxa" w:w="3782"/>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Headquarters: Region</w:t>
            </w:r>
          </w:p>
        </w:tc>
        <w:tc>
          <w:tcPr>
            <w:tcW w:type="dxa" w:w="4518"/>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Europe</w:t>
            </w:r>
          </w:p>
        </w:tc>
      </w:tr>
      <w:tr>
        <w:tc>
          <w:tcPr>
            <w:tcW w:type="dxa" w:w="3782"/>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Web Address</w:t>
            </w:r>
          </w:p>
        </w:tc>
        <w:tc>
          <w:tcPr>
            <w:tcW w:type="dxa" w:w="4518"/>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https://etablix.com</w:t>
            </w:r>
          </w:p>
        </w:tc>
      </w:tr>
      <w:tr>
        <w:tc>
          <w:tcPr>
            <w:tcW w:type="dxa" w:w="3782"/>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Already a registered Supplier?</w:t>
            </w:r>
          </w:p>
        </w:tc>
        <w:tc>
          <w:tcPr>
            <w:tcW w:type="dxa" w:w="4518"/>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No</w:t>
            </w:r>
          </w:p>
        </w:tc>
      </w:tr>
    </w:tbl>
    <w:p>
      <w:pPr>
        <w:spacing w:after="90" w:before="90" w:line="280"/>
      </w:pPr>
      <w:r>
        <w:rPr>
          <w:rFonts w:ascii="Arial" w:cs="Arial" w:eastAsia="Arial" w:hAnsi="Arial"/>
          <w:b/>
          <w:bCs/>
          <w:color w:val="14181D"/>
          <w:sz w:val="20"/>
          <w:szCs w:val="20"/>
        </w:rPr>
        <w:t xml:space="preserve">Local characters.</w:t>
      </w:r>
      <w:r>
        <w:rPr>
          <w:rFonts w:ascii="Arial" w:cs="Arial" w:eastAsia="Arial" w:hAnsi="Arial"/>
          <w:color w:val="14181D"/>
          <w:sz w:val="20"/>
          <w:szCs w:val="20"/>
        </w:rPr>
        <w:t xml:space="preserve"> That field exists for suppliers whose legal name is written in a non-Latin script — Chinese, Cyrillic, Arabic. A UK company puts the identical name in both. Do not use it for the trading name.</w:t>
      </w:r>
    </w:p>
    <w:p>
      <w:pPr>
        <w:spacing w:after="90" w:before="90" w:line="280"/>
      </w:pPr>
      <w:r>
        <w:rPr>
          <w:rFonts w:ascii="Arial" w:cs="Arial" w:eastAsia="Arial" w:hAnsi="Arial"/>
          <w:b/>
          <w:bCs/>
          <w:color w:val="14181D"/>
          <w:sz w:val="20"/>
          <w:szCs w:val="20"/>
        </w:rPr>
        <w:t xml:space="preserve">First and last name.</w:t>
      </w:r>
      <w:r>
        <w:rPr>
          <w:rFonts w:ascii="Arial" w:cs="Arial" w:eastAsia="Arial" w:hAnsi="Arial"/>
          <w:color w:val="14181D"/>
          <w:sz w:val="20"/>
          <w:szCs w:val="20"/>
        </w:rPr>
        <w:t xml:space="preserve"> Enter these exactly as Companies House records the director, not as you sign letters. The entity check compares them.</w:t>
      </w:r>
    </w:p>
    <w:p>
      <w:pPr>
        <w:pStyle w:val="Heading1"/>
        <w:keepNext/>
        <w:pBdr>
          <w:bottom w:val="single" w:color="9C7A3C" w:sz="8" w:space="6"/>
        </w:pBdr>
        <w:spacing w:after="150" w:before="380"/>
      </w:pPr>
      <w:r>
        <w:rPr>
          <w:rFonts w:ascii="Arial" w:cs="Arial" w:eastAsia="Arial" w:hAnsi="Arial"/>
          <w:b/>
          <w:bCs/>
          <w:color w:val="14181D"/>
          <w:sz w:val="26"/>
          <w:szCs w:val="26"/>
        </w:rPr>
        <w:t xml:space="preserve">Section 2 — the registration numbers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818"/>
        <w:gridCol w:w="6482"/>
      </w:tblGrid>
      <w:tr>
        <w:trPr>
          <w:tblHeader/>
        </w:trPr>
        <w:tc>
          <w:tcPr>
            <w:tcW w:type="dxa" w:w="1818"/>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Field</w:t>
            </w:r>
          </w:p>
        </w:tc>
        <w:tc>
          <w:tcPr>
            <w:tcW w:type="dxa" w:w="6482"/>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Answer</w:t>
            </w:r>
          </w:p>
        </w:tc>
      </w:tr>
      <w:tr>
        <w:tc>
          <w:tcPr>
            <w:tcW w:type="dxa" w:w="1818"/>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DUNS Number</w:t>
            </w:r>
          </w:p>
        </w:tc>
        <w:tc>
          <w:tcPr>
            <w:tcW w:type="dxa" w:w="6482"/>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leave blank unless one is already held</w:t>
            </w:r>
          </w:p>
        </w:tc>
      </w:tr>
      <w:tr>
        <w:tc>
          <w:tcPr>
            <w:tcW w:type="dxa" w:w="1818"/>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Tax number / VAT Number</w:t>
            </w:r>
          </w:p>
        </w:tc>
        <w:tc>
          <w:tcPr>
            <w:tcW w:type="dxa" w:w="6482"/>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VAT number if registered; otherwise 15405437</w:t>
            </w:r>
          </w:p>
        </w:tc>
      </w:tr>
      <w:tr>
        <w:tc>
          <w:tcPr>
            <w:tcW w:type="dxa" w:w="1818"/>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Legal form of company</w:t>
            </w:r>
          </w:p>
        </w:tc>
        <w:tc>
          <w:tcPr>
            <w:tcW w:type="dxa" w:w="6482"/>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Other → "Private company limited by shares (Ltd), registered in England and Wales"</w:t>
            </w:r>
          </w:p>
        </w:tc>
      </w:tr>
    </w:tbl>
    <w:p>
      <w:pPr>
        <w:spacing w:after="90" w:before="90" w:line="280"/>
      </w:pPr>
      <w:r>
        <w:rPr>
          <w:rFonts w:ascii="Arial" w:cs="Arial" w:eastAsia="Arial" w:hAnsi="Arial"/>
          <w:b/>
          <w:bCs/>
          <w:color w:val="14181D"/>
          <w:sz w:val="20"/>
          <w:szCs w:val="20"/>
        </w:rPr>
        <w:t xml:space="preserve">DUNS.</w:t>
      </w:r>
      <w:r>
        <w:rPr>
          <w:rFonts w:ascii="Arial" w:cs="Arial" w:eastAsia="Arial" w:hAnsi="Arial"/>
          <w:color w:val="14181D"/>
          <w:sz w:val="20"/>
          <w:szCs w:val="20"/>
        </w:rPr>
        <w:t xml:space="preserve"> If there is no DUNS number, leave it blank rather than inventing anything. One is free from Dun &amp; Bradstreet and takes days rather than weeks — and because the Ariba qualification stage often wants it, applying for one this week removes a future stoppage. Blank now is fine; wrong now is not.</w:t>
      </w:r>
    </w:p>
    <w:p>
      <w:pPr>
        <w:spacing w:after="90" w:before="90" w:line="280"/>
      </w:pPr>
      <w:r>
        <w:rPr>
          <w:rFonts w:ascii="Arial" w:cs="Arial" w:eastAsia="Arial" w:hAnsi="Arial"/>
          <w:b/>
          <w:bCs/>
          <w:color w:val="14181D"/>
          <w:sz w:val="20"/>
          <w:szCs w:val="20"/>
        </w:rPr>
        <w:t xml:space="preserve">Tax number.</w:t>
      </w:r>
      <w:r>
        <w:rPr>
          <w:rFonts w:ascii="Arial" w:cs="Arial" w:eastAsia="Arial" w:hAnsi="Arial"/>
          <w:color w:val="14181D"/>
          <w:sz w:val="20"/>
          <w:szCs w:val="20"/>
        </w:rPr>
        <w:t xml:space="preserve"> If the company is VAT registered, that is the VAT number (GB followed by nine digits). If it is not, enter the company registration number 15405437 and say "not VAT registered" in the additional information box so the blank is explained rather than looking like an omission.</w:t>
      </w:r>
    </w:p>
    <w:p>
      <w:pPr>
        <w:spacing w:after="90" w:before="90" w:line="280"/>
      </w:pPr>
      <w:r>
        <w:rPr>
          <w:rFonts w:ascii="Arial" w:cs="Arial" w:eastAsia="Arial" w:hAnsi="Arial"/>
          <w:b/>
          <w:bCs/>
          <w:color w:val="14181D"/>
          <w:sz w:val="20"/>
          <w:szCs w:val="20"/>
        </w:rPr>
        <w:t xml:space="preserve">Never enter the UTR here.</w:t>
      </w:r>
      <w:r>
        <w:rPr>
          <w:rFonts w:ascii="Arial" w:cs="Arial" w:eastAsia="Arial" w:hAnsi="Arial"/>
          <w:color w:val="14181D"/>
          <w:sz w:val="20"/>
          <w:szCs w:val="20"/>
        </w:rPr>
        <w:t xml:space="preserve"> The Unique Taxpayer Reference is a confidential HMRC reference, not a public tax identifier. It belongs on an HMRC return and nowhere else, and certainly not in a supplier portal.</w:t>
      </w:r>
    </w:p>
    <w:p>
      <w:pPr>
        <w:spacing w:after="90" w:before="90" w:line="280"/>
      </w:pPr>
      <w:r>
        <w:rPr>
          <w:rFonts w:ascii="Arial" w:cs="Arial" w:eastAsia="Arial" w:hAnsi="Arial"/>
          <w:b/>
          <w:bCs/>
          <w:color w:val="14181D"/>
          <w:sz w:val="20"/>
          <w:szCs w:val="20"/>
        </w:rPr>
        <w:t xml:space="preserve">Legal form.</w:t>
      </w:r>
      <w:r>
        <w:rPr>
          <w:rFonts w:ascii="Arial" w:cs="Arial" w:eastAsia="Arial" w:hAnsi="Arial"/>
          <w:color w:val="14181D"/>
          <w:sz w:val="20"/>
          <w:szCs w:val="20"/>
        </w:rPr>
        <w:t xml:space="preserve"> None of the listed options is a UK private limited company. "LLC" is an American form and a UK LLP is a different thing again; "GmbH" is the German functional equivalent, which is close in meaning and wrong on its face. Choose </w:t>
      </w:r>
      <w:r>
        <w:rPr>
          <w:rFonts w:ascii="Arial" w:cs="Arial" w:eastAsia="Arial" w:hAnsi="Arial"/>
          <w:b/>
          <w:bCs/>
          <w:color w:val="14181D"/>
          <w:sz w:val="20"/>
          <w:szCs w:val="20"/>
        </w:rPr>
        <w:t xml:space="preserve">Other</w:t>
      </w:r>
      <w:r>
        <w:rPr>
          <w:rFonts w:ascii="Arial" w:cs="Arial" w:eastAsia="Arial" w:hAnsi="Arial"/>
          <w:color w:val="14181D"/>
          <w:sz w:val="20"/>
          <w:szCs w:val="20"/>
        </w:rPr>
        <w:t xml:space="preserve"> and type the real form. An accurate "other" is read as precision; a wrong tick is read later as carelessness or worse.</w:t>
      </w:r>
    </w:p>
    <w:p>
      <w:pPr>
        <w:pStyle w:val="Heading1"/>
        <w:keepNext/>
        <w:pBdr>
          <w:bottom w:val="single" w:color="9C7A3C" w:sz="8" w:space="6"/>
        </w:pBdr>
        <w:spacing w:after="150" w:before="380"/>
      </w:pPr>
      <w:r>
        <w:rPr>
          <w:rFonts w:ascii="Arial" w:cs="Arial" w:eastAsia="Arial" w:hAnsi="Arial"/>
          <w:b/>
          <w:bCs/>
          <w:color w:val="14181D"/>
          <w:sz w:val="26"/>
          <w:szCs w:val="26"/>
        </w:rPr>
        <w:t xml:space="preserve">Section 3 — the financial fields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3216"/>
        <w:gridCol w:w="5084"/>
      </w:tblGrid>
      <w:tr>
        <w:trPr>
          <w:tblHeader/>
        </w:trPr>
        <w:tc>
          <w:tcPr>
            <w:tcW w:type="dxa" w:w="3216"/>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Field</w:t>
            </w:r>
          </w:p>
        </w:tc>
        <w:tc>
          <w:tcPr>
            <w:tcW w:type="dxa" w:w="5084"/>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Answer</w:t>
            </w:r>
          </w:p>
        </w:tc>
      </w:tr>
      <w:tr>
        <w:tc>
          <w:tcPr>
            <w:tcW w:type="dxa" w:w="3216"/>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Annual revenue last year</w:t>
            </w:r>
          </w:p>
        </w:tc>
        <w:tc>
          <w:tcPr>
            <w:tcW w:type="dxa" w:w="5084"/>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the true figure from the filed accounts, or blank</w:t>
            </w:r>
          </w:p>
        </w:tc>
      </w:tr>
      <w:tr>
        <w:tc>
          <w:tcPr>
            <w:tcW w:type="dxa" w:w="3216"/>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EBIT last year</w:t>
            </w:r>
          </w:p>
        </w:tc>
        <w:tc>
          <w:tcPr>
            <w:tcW w:type="dxa" w:w="5084"/>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the true figure, or blank</w:t>
            </w:r>
          </w:p>
        </w:tc>
      </w:tr>
      <w:tr>
        <w:tc>
          <w:tcPr>
            <w:tcW w:type="dxa" w:w="3216"/>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 of R&amp;D invested from turnover</w:t>
            </w:r>
          </w:p>
        </w:tc>
        <w:tc>
          <w:tcPr>
            <w:tcW w:type="dxa" w:w="5084"/>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leave blank</w:t>
            </w:r>
          </w:p>
        </w:tc>
      </w:tr>
      <w:tr>
        <w:tc>
          <w:tcPr>
            <w:tcW w:type="dxa" w:w="3216"/>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Number of employees</w:t>
            </w:r>
          </w:p>
        </w:tc>
        <w:tc>
          <w:tcPr>
            <w:tcW w:type="dxa" w:w="5084"/>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leave blank — see below</w:t>
            </w:r>
          </w:p>
        </w:tc>
      </w:tr>
      <w:tr>
        <w:tc>
          <w:tcPr>
            <w:tcW w:type="dxa" w:w="3216"/>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Business experience (in years)</w:t>
            </w:r>
          </w:p>
        </w:tc>
        <w:tc>
          <w:tcPr>
            <w:tcW w:type="dxa" w:w="5084"/>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1–3</w:t>
            </w:r>
          </w:p>
        </w:tc>
      </w:tr>
    </w:tbl>
    <w:p>
      <w:pPr>
        <w:spacing w:after="90" w:before="90" w:line="280"/>
      </w:pPr>
      <w:r>
        <w:rPr>
          <w:rFonts w:ascii="Arial" w:cs="Arial" w:eastAsia="Arial" w:hAnsi="Arial"/>
          <w:b/>
          <w:bCs/>
          <w:color w:val="14181D"/>
          <w:sz w:val="20"/>
          <w:szCs w:val="20"/>
        </w:rPr>
        <w:t xml:space="preserve">Revenue and EBIT.</w:t>
      </w:r>
      <w:r>
        <w:rPr>
          <w:rFonts w:ascii="Arial" w:cs="Arial" w:eastAsia="Arial" w:hAnsi="Arial"/>
          <w:color w:val="14181D"/>
          <w:sz w:val="20"/>
          <w:szCs w:val="20"/>
        </w:rPr>
        <w:t xml:space="preserve"> Enter what the accounts actually say, including a small or nil figure, or leave them blank if the first accounting period is not yet filed. These are checkable against Companies House in under a minute. An inflated figure here is not optimism, it is the end of the relationship.</w:t>
      </w:r>
    </w:p>
    <w:p>
      <w:pPr>
        <w:spacing w:after="90" w:before="90" w:line="280"/>
      </w:pPr>
      <w:r>
        <w:rPr>
          <w:rFonts w:ascii="Arial" w:cs="Arial" w:eastAsia="Arial" w:hAnsi="Arial"/>
          <w:b/>
          <w:bCs/>
          <w:color w:val="14181D"/>
          <w:sz w:val="20"/>
          <w:szCs w:val="20"/>
        </w:rPr>
        <w:t xml:space="preserve">R&amp;D percentage.</w:t>
      </w:r>
      <w:r>
        <w:rPr>
          <w:rFonts w:ascii="Arial" w:cs="Arial" w:eastAsia="Arial" w:hAnsi="Arial"/>
          <w:color w:val="14181D"/>
          <w:sz w:val="20"/>
          <w:szCs w:val="20"/>
        </w:rPr>
        <w:t xml:space="preserve"> Leave it blank. With a small turnover, any percentage is either meaningless or flattering, and neither helps.</w:t>
      </w:r>
    </w:p>
    <w:p>
      <w:pPr>
        <w:spacing w:after="90" w:before="90" w:line="280"/>
      </w:pPr>
      <w:r>
        <w:rPr>
          <w:rFonts w:ascii="Arial" w:cs="Arial" w:eastAsia="Arial" w:hAnsi="Arial"/>
          <w:b/>
          <w:bCs/>
          <w:color w:val="14181D"/>
          <w:sz w:val="20"/>
          <w:szCs w:val="20"/>
        </w:rPr>
        <w:t xml:space="preserve">Number of employees — the trap.</w:t>
      </w:r>
      <w:r>
        <w:rPr>
          <w:rFonts w:ascii="Arial" w:cs="Arial" w:eastAsia="Arial" w:hAnsi="Arial"/>
          <w:color w:val="14181D"/>
          <w:sz w:val="20"/>
          <w:szCs w:val="20"/>
        </w:rPr>
        <w:t xml:space="preserve"> The lowest band offered is </w:t>
      </w:r>
      <w:r>
        <w:rPr>
          <w:rFonts w:ascii="Arial" w:cs="Arial" w:eastAsia="Arial" w:hAnsi="Arial"/>
          <w:b/>
          <w:bCs/>
          <w:color w:val="14181D"/>
          <w:sz w:val="20"/>
          <w:szCs w:val="20"/>
        </w:rPr>
        <w:t xml:space="preserve">11–50</w:t>
      </w:r>
      <w:r>
        <w:rPr>
          <w:rFonts w:ascii="Arial" w:cs="Arial" w:eastAsia="Arial" w:hAnsi="Arial"/>
          <w:color w:val="14181D"/>
          <w:sz w:val="20"/>
          <w:szCs w:val="20"/>
        </w:rPr>
        <w:t xml:space="preserve">. JNN GLOBAL LTD has one working director and no employees; there is an employer's liability exemption on that basis. Selecting 11–50 would be a false statement on a form that also carries terms and conditions.</w:t>
      </w:r>
    </w:p>
    <w:p>
      <w:pPr>
        <w:spacing w:after="90" w:before="90" w:line="280"/>
      </w:pPr>
      <w:r>
        <w:rPr>
          <w:rFonts w:ascii="Arial" w:cs="Arial" w:eastAsia="Arial" w:hAnsi="Arial"/>
          <w:color w:val="14181D"/>
          <w:sz w:val="20"/>
          <w:szCs w:val="20"/>
        </w:rPr>
        <w:t xml:space="preserve">The field is not marked required, so </w:t>
      </w:r>
      <w:r>
        <w:rPr>
          <w:rFonts w:ascii="Arial" w:cs="Arial" w:eastAsia="Arial" w:hAnsi="Arial"/>
          <w:b/>
          <w:bCs/>
          <w:color w:val="14181D"/>
          <w:sz w:val="20"/>
          <w:szCs w:val="20"/>
        </w:rPr>
        <w:t xml:space="preserve">leave it blank</w:t>
      </w:r>
      <w:r>
        <w:rPr>
          <w:rFonts w:ascii="Arial" w:cs="Arial" w:eastAsia="Arial" w:hAnsi="Arial"/>
          <w:color w:val="14181D"/>
          <w:sz w:val="20"/>
          <w:szCs w:val="20"/>
        </w:rPr>
        <w:t xml:space="preserve"> and state the true position in the additional information box. If the form refuses to submit without it, do not pick a band — say so in the additional information, submit, and if it still blocks, write to the supplier support address and ask them to record the true figure. A buyer who learns the real number from you is untroubled by it. A buyer who finds it himself has found a misstatement.</w:t>
      </w:r>
    </w:p>
    <w:p>
      <w:pPr>
        <w:spacing w:after="90" w:before="90" w:line="280"/>
      </w:pPr>
      <w:r>
        <w:rPr>
          <w:rFonts w:ascii="Arial" w:cs="Arial" w:eastAsia="Arial" w:hAnsi="Arial"/>
          <w:b/>
          <w:bCs/>
          <w:color w:val="14181D"/>
          <w:sz w:val="20"/>
          <w:szCs w:val="20"/>
        </w:rPr>
        <w:t xml:space="preserve">Business experience.</w:t>
      </w:r>
      <w:r>
        <w:rPr>
          <w:rFonts w:ascii="Arial" w:cs="Arial" w:eastAsia="Arial" w:hAnsi="Arial"/>
          <w:color w:val="14181D"/>
          <w:sz w:val="20"/>
          <w:szCs w:val="20"/>
        </w:rPr>
        <w:t xml:space="preserve"> This asks about the vendor, not the director. The company answer is </w:t>
      </w:r>
      <w:r>
        <w:rPr>
          <w:rFonts w:ascii="Arial" w:cs="Arial" w:eastAsia="Arial" w:hAnsi="Arial"/>
          <w:b/>
          <w:bCs/>
          <w:color w:val="14181D"/>
          <w:sz w:val="20"/>
          <w:szCs w:val="20"/>
        </w:rPr>
        <w:t xml:space="preserve">1–3 years</w:t>
      </w:r>
      <w:r>
        <w:rPr>
          <w:rFonts w:ascii="Arial" w:cs="Arial" w:eastAsia="Arial" w:hAnsi="Arial"/>
          <w:color w:val="14181D"/>
          <w:sz w:val="20"/>
          <w:szCs w:val="20"/>
        </w:rPr>
        <w:t xml:space="preserve">. The director's own record goes in the USP, clearly attributed to him — which is both honest and more persuasive, because it is specific.</w:t>
      </w:r>
    </w:p>
    <w:p>
      <w:pPr>
        <w:pStyle w:val="Heading1"/>
        <w:keepNext/>
        <w:pBdr>
          <w:bottom w:val="single" w:color="9C7A3C" w:sz="8" w:space="6"/>
        </w:pBdr>
        <w:spacing w:after="150" w:before="380"/>
      </w:pPr>
      <w:r>
        <w:rPr>
          <w:rFonts w:ascii="Arial" w:cs="Arial" w:eastAsia="Arial" w:hAnsi="Arial"/>
          <w:b/>
          <w:bCs/>
          <w:color w:val="14181D"/>
          <w:sz w:val="26"/>
          <w:szCs w:val="26"/>
        </w:rPr>
        <w:t xml:space="preserve">Section 4 — what the company does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046"/>
        <w:gridCol w:w="6254"/>
      </w:tblGrid>
      <w:tr>
        <w:trPr>
          <w:tblHeader/>
        </w:trPr>
        <w:tc>
          <w:tcPr>
            <w:tcW w:type="dxa" w:w="2046"/>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Field</w:t>
            </w:r>
          </w:p>
        </w:tc>
        <w:tc>
          <w:tcPr>
            <w:tcW w:type="dxa" w:w="6254"/>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Answer</w:t>
            </w:r>
          </w:p>
        </w:tc>
      </w:tr>
      <w:tr>
        <w:tc>
          <w:tcPr>
            <w:tcW w:type="dxa" w:w="2046"/>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Supply to which kind of industries?</w:t>
            </w:r>
          </w:p>
        </w:tc>
        <w:tc>
          <w:tcPr>
            <w:tcW w:type="dxa" w:w="6254"/>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Electricity transmission and distribution; power generation; renewable energy; infrastructure; construction</w:t>
            </w:r>
          </w:p>
        </w:tc>
      </w:tr>
      <w:tr>
        <w:tc>
          <w:tcPr>
            <w:tcW w:type="dxa" w:w="2046"/>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Business focus</w:t>
            </w:r>
          </w:p>
        </w:tc>
        <w:tc>
          <w:tcPr>
            <w:tcW w:type="dxa" w:w="6254"/>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Services</w:t>
            </w:r>
          </w:p>
        </w:tc>
      </w:tr>
      <w:tr>
        <w:tc>
          <w:tcPr>
            <w:tcW w:type="dxa" w:w="2046"/>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Degree of vertical integration</w:t>
            </w:r>
          </w:p>
        </w:tc>
        <w:tc>
          <w:tcPr>
            <w:tcW w:type="dxa" w:w="6254"/>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Service provider</w:t>
            </w:r>
          </w:p>
        </w:tc>
      </w:tr>
      <w:tr>
        <w:tc>
          <w:tcPr>
            <w:tcW w:type="dxa" w:w="2046"/>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Countries with delivery experience</w:t>
            </w:r>
          </w:p>
        </w:tc>
        <w:tc>
          <w:tcPr>
            <w:tcW w:type="dxa" w:w="6254"/>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United Kingdom</w:t>
            </w:r>
          </w:p>
        </w:tc>
      </w:tr>
      <w:tr>
        <w:tc>
          <w:tcPr>
            <w:tcW w:type="dxa" w:w="2046"/>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Global manufacturing footprint</w:t>
            </w:r>
          </w:p>
        </w:tc>
        <w:tc>
          <w:tcPr>
            <w:tcW w:type="dxa" w:w="6254"/>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NONE</w:t>
            </w:r>
          </w:p>
        </w:tc>
      </w:tr>
      <w:tr>
        <w:tc>
          <w:tcPr>
            <w:tcW w:type="dxa" w:w="2046"/>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Warehouse locations</w:t>
            </w:r>
          </w:p>
        </w:tc>
        <w:tc>
          <w:tcPr>
            <w:tcW w:type="dxa" w:w="6254"/>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leave blank</w:t>
            </w:r>
          </w:p>
        </w:tc>
      </w:tr>
      <w:tr>
        <w:tc>
          <w:tcPr>
            <w:tcW w:type="dxa" w:w="2046"/>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R&amp;D locations globally</w:t>
            </w:r>
          </w:p>
        </w:tc>
        <w:tc>
          <w:tcPr>
            <w:tcW w:type="dxa" w:w="6254"/>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United Kingdom</w:t>
            </w:r>
          </w:p>
        </w:tc>
      </w:tr>
    </w:tbl>
    <w:p>
      <w:pPr>
        <w:spacing w:after="90" w:before="90" w:line="280"/>
      </w:pPr>
      <w:r>
        <w:rPr>
          <w:rFonts w:ascii="Arial" w:cs="Arial" w:eastAsia="Arial" w:hAnsi="Arial"/>
          <w:b/>
          <w:bCs/>
          <w:color w:val="14181D"/>
          <w:sz w:val="20"/>
          <w:szCs w:val="20"/>
        </w:rPr>
        <w:t xml:space="preserve">Countries with delivery experience.</w:t>
      </w:r>
      <w:r>
        <w:rPr>
          <w:rFonts w:ascii="Arial" w:cs="Arial" w:eastAsia="Arial" w:hAnsi="Arial"/>
          <w:color w:val="14181D"/>
          <w:sz w:val="20"/>
          <w:szCs w:val="20"/>
        </w:rPr>
        <w:t xml:space="preserve"> United Kingdom only. The director has worked on schemes elsewhere; the company has not. The question asks about the vendor and the distinction will be tested.</w:t>
      </w:r>
    </w:p>
    <w:p>
      <w:pPr>
        <w:spacing w:after="90" w:before="90" w:line="280"/>
      </w:pPr>
      <w:r>
        <w:rPr>
          <w:rFonts w:ascii="Arial" w:cs="Arial" w:eastAsia="Arial" w:hAnsi="Arial"/>
          <w:b/>
          <w:bCs/>
          <w:color w:val="14181D"/>
          <w:sz w:val="20"/>
          <w:szCs w:val="20"/>
        </w:rPr>
        <w:t xml:space="preserve">R&amp;D locations.</w:t>
      </w:r>
      <w:r>
        <w:rPr>
          <w:rFonts w:ascii="Arial" w:cs="Arial" w:eastAsia="Arial" w:hAnsi="Arial"/>
          <w:color w:val="14181D"/>
          <w:sz w:val="20"/>
          <w:szCs w:val="20"/>
        </w:rPr>
        <w:t xml:space="preserve"> United Kingdom is defensible because CONSTRUX and VERYX are developed in house — but say in the additional information that this is in-house project-control software rather than product research, so the entry is read correctly. If you would rather not have the conversation, NONE is also honest.</w:t>
      </w:r>
    </w:p>
    <w:p>
      <w:pPr>
        <w:pStyle w:val="Heading1"/>
        <w:keepNext/>
        <w:pBdr>
          <w:bottom w:val="single" w:color="9C7A3C" w:sz="8" w:space="6"/>
        </w:pBdr>
        <w:spacing w:after="150" w:before="380"/>
      </w:pPr>
      <w:r>
        <w:rPr>
          <w:rFonts w:ascii="Arial" w:cs="Arial" w:eastAsia="Arial" w:hAnsi="Arial"/>
          <w:b/>
          <w:bCs/>
          <w:color w:val="14181D"/>
          <w:sz w:val="26"/>
          <w:szCs w:val="26"/>
        </w:rPr>
        <w:t xml:space="preserve">Section 5 — categorisation</w:t>
      </w:r>
    </w:p>
    <w:p>
      <w:pPr>
        <w:spacing w:after="90" w:before="90" w:line="280"/>
      </w:pPr>
      <w:r>
        <w:rPr>
          <w:rFonts w:ascii="Arial" w:cs="Arial" w:eastAsia="Arial" w:hAnsi="Arial"/>
          <w:b/>
          <w:bCs/>
          <w:color w:val="14181D"/>
          <w:sz w:val="20"/>
          <w:szCs w:val="20"/>
        </w:rPr>
        <w:t xml:space="preserve">This section is read by a machine and then by a category buyer, and a wrong tick here is worse than a blank one.</w:t>
      </w:r>
      <w:r>
        <w:rPr>
          <w:rFonts w:ascii="Arial" w:cs="Arial" w:eastAsia="Arial" w:hAnsi="Arial"/>
          <w:color w:val="14181D"/>
          <w:sz w:val="20"/>
          <w:szCs w:val="20"/>
        </w:rPr>
        <w:t xml:space="preserve"> It does not merely fail to help: it routes enquiries for work ETABLIX cannot do, which then have to be declined. Declining a buyer's first enquiry is a worse first impression than never appearing in their list.</w:t>
      </w:r>
    </w:p>
    <w:p>
      <w:pPr>
        <w:spacing w:after="90" w:before="90" w:line="280"/>
      </w:pPr>
      <w:r>
        <w:rPr>
          <w:rFonts w:ascii="Arial" w:cs="Arial" w:eastAsia="Arial" w:hAnsi="Arial"/>
          <w:color w:val="14181D"/>
          <w:sz w:val="20"/>
          <w:szCs w:val="20"/>
        </w:rPr>
        <w:t xml:space="preserve">The Level 2 list is a single run of options drawn from all three Level 1 buckets, and most of it describes components for power equipment. Read it as a manufacturer's taxonomy, because that is what it is, and resist the entries that merely sound right.</w:t>
      </w:r>
    </w:p>
    <w:p>
      <w:pPr>
        <w:pStyle w:val="Heading2"/>
        <w:keepNext/>
        <w:spacing w:after="110" w:before="260"/>
      </w:pPr>
      <w:r>
        <w:rPr>
          <w:rFonts w:ascii="Arial" w:cs="Arial" w:eastAsia="Arial" w:hAnsi="Arial"/>
          <w:b/>
          <w:bCs/>
          <w:color w:val="9C7A3C"/>
          <w:sz w:val="21"/>
          <w:szCs w:val="21"/>
        </w:rPr>
        <w:t xml:space="preserve">Product Category (Level 1): **Direct** and **Indirect**</w:t>
      </w:r>
    </w:p>
    <w:p>
      <w:pPr>
        <w:spacing w:after="90" w:before="90" w:line="280"/>
      </w:pPr>
      <w:r>
        <w:rPr>
          <w:rFonts w:ascii="Arial" w:cs="Arial" w:eastAsia="Arial" w:hAnsi="Arial"/>
          <w:color w:val="14181D"/>
          <w:sz w:val="20"/>
          <w:szCs w:val="20"/>
        </w:rPr>
        <w:t xml:space="preserve">Not Logistic. Workforce transport is a package ETABLIX procures inside a wider scope rather than a service it offers standalone, and claiming a third bucket on the strength of one sub-package reads as unfocused.</w:t>
      </w:r>
    </w:p>
    <w:p>
      <w:pPr>
        <w:pStyle w:val="Heading2"/>
        <w:keepNext/>
        <w:spacing w:after="110" w:before="260"/>
      </w:pPr>
      <w:r>
        <w:rPr>
          <w:rFonts w:ascii="Arial" w:cs="Arial" w:eastAsia="Arial" w:hAnsi="Arial"/>
          <w:b/>
          <w:bCs/>
          <w:color w:val="9C7A3C"/>
          <w:sz w:val="21"/>
          <w:szCs w:val="21"/>
        </w:rPr>
        <w:t xml:space="preserve">Product Category (Level 2): six ticks, and no more</w:t>
      </w:r>
    </w:p>
    <w:p>
      <w:pPr>
        <w:spacing w:after="90" w:before="90" w:line="280"/>
      </w:pPr>
      <w:r>
        <w:rPr>
          <w:rFonts w:ascii="Arial" w:cs="Arial" w:eastAsia="Arial" w:hAnsi="Arial"/>
          <w:b/>
          <w:bCs/>
          <w:color w:val="14181D"/>
          <w:sz w:val="20"/>
          <w:szCs w:val="20"/>
        </w:rPr>
        <w:t xml:space="preserve">Direct</w:t>
      </w:r>
    </w:p>
    <w:p>
      <w:pPr>
        <w:pStyle w:val="ListParagraph"/>
        <w:numPr>
          <w:ilvl w:val="0"/>
          <w:numId w:val="2"/>
        </w:numPr>
        <w:spacing w:after="50" w:before="50" w:line="280"/>
      </w:pPr>
      <w:r>
        <w:rPr>
          <w:rFonts w:ascii="Arial" w:cs="Arial" w:eastAsia="Arial" w:hAnsi="Arial"/>
          <w:b/>
          <w:bCs/>
          <w:color w:val="14181D"/>
          <w:sz w:val="20"/>
          <w:szCs w:val="20"/>
        </w:rPr>
        <w:t xml:space="preserve">Civil Works</w:t>
      </w:r>
      <w:r>
        <w:rPr>
          <w:rFonts w:ascii="Arial" w:cs="Arial" w:eastAsia="Arial" w:hAnsi="Arial"/>
          <w:color w:val="14181D"/>
          <w:sz w:val="20"/>
          <w:szCs w:val="20"/>
        </w:rPr>
        <w:t xml:space="preserve"> — the compound: groundworks, hardstanding, drainage, access. Real, and the one category that puts ETABLIX in front of </w:t>
      </w:r>
      <w:r>
        <w:rPr>
          <w:rFonts w:ascii="Arial" w:cs="Arial" w:eastAsia="Arial" w:hAnsi="Arial"/>
          <w:i/>
          <w:iCs/>
          <w:color w:val="14181D"/>
          <w:sz w:val="20"/>
          <w:szCs w:val="20"/>
        </w:rPr>
        <w:t xml:space="preserve">project</w:t>
      </w:r>
      <w:r>
        <w:rPr>
          <w:rFonts w:ascii="Arial" w:cs="Arial" w:eastAsia="Arial" w:hAnsi="Arial"/>
          <w:color w:val="14181D"/>
          <w:sz w:val="20"/>
          <w:szCs w:val="20"/>
        </w:rPr>
        <w:t xml:space="preserve"> procurement rather than indirect spend.</w:t>
      </w:r>
    </w:p>
    <w:p>
      <w:pPr>
        <w:spacing w:after="90" w:before="90" w:line="280"/>
      </w:pPr>
      <w:r>
        <w:rPr>
          <w:rFonts w:ascii="Arial" w:cs="Arial" w:eastAsia="Arial" w:hAnsi="Arial"/>
          <w:b/>
          <w:bCs/>
          <w:color w:val="14181D"/>
          <w:sz w:val="20"/>
          <w:szCs w:val="20"/>
        </w:rPr>
        <w:t xml:space="preserve">Indirect</w:t>
      </w:r>
    </w:p>
    <w:p>
      <w:pPr>
        <w:pStyle w:val="ListParagraph"/>
        <w:numPr>
          <w:ilvl w:val="0"/>
          <w:numId w:val="2"/>
        </w:numPr>
        <w:spacing w:after="50" w:before="50" w:line="280"/>
      </w:pPr>
      <w:r>
        <w:rPr>
          <w:rFonts w:ascii="Arial" w:cs="Arial" w:eastAsia="Arial" w:hAnsi="Arial"/>
          <w:b/>
          <w:bCs/>
          <w:color w:val="14181D"/>
          <w:sz w:val="20"/>
          <w:szCs w:val="20"/>
        </w:rPr>
        <w:t xml:space="preserve">Facility Management</w:t>
      </w:r>
      <w:r>
        <w:rPr>
          <w:rFonts w:ascii="Arial" w:cs="Arial" w:eastAsia="Arial" w:hAnsi="Arial"/>
          <w:color w:val="14181D"/>
          <w:sz w:val="20"/>
          <w:szCs w:val="20"/>
        </w:rPr>
        <w:t xml:space="preserve"> — site services in operation: cleaning, catering, welfare servicing, accommodation management.</w:t>
      </w:r>
    </w:p>
    <w:p>
      <w:pPr>
        <w:pStyle w:val="ListParagraph"/>
        <w:numPr>
          <w:ilvl w:val="0"/>
          <w:numId w:val="2"/>
        </w:numPr>
        <w:spacing w:after="50" w:before="50" w:line="280"/>
      </w:pPr>
      <w:r>
        <w:rPr>
          <w:rFonts w:ascii="Arial" w:cs="Arial" w:eastAsia="Arial" w:hAnsi="Arial"/>
          <w:b/>
          <w:bCs/>
          <w:color w:val="14181D"/>
          <w:sz w:val="20"/>
          <w:szCs w:val="20"/>
        </w:rPr>
        <w:t xml:space="preserve">Waste Management</w:t>
      </w:r>
      <w:r>
        <w:rPr>
          <w:rFonts w:ascii="Arial" w:cs="Arial" w:eastAsia="Arial" w:hAnsi="Arial"/>
          <w:color w:val="14181D"/>
          <w:sz w:val="20"/>
          <w:szCs w:val="20"/>
        </w:rPr>
        <w:t xml:space="preserve"> — a package held and controlled on every site.</w:t>
      </w:r>
    </w:p>
    <w:p>
      <w:pPr>
        <w:pStyle w:val="ListParagraph"/>
        <w:numPr>
          <w:ilvl w:val="0"/>
          <w:numId w:val="2"/>
        </w:numPr>
        <w:spacing w:after="50" w:before="50" w:line="280"/>
      </w:pPr>
      <w:r>
        <w:rPr>
          <w:rFonts w:ascii="Arial" w:cs="Arial" w:eastAsia="Arial" w:hAnsi="Arial"/>
          <w:b/>
          <w:bCs/>
          <w:color w:val="14181D"/>
          <w:sz w:val="20"/>
          <w:szCs w:val="20"/>
        </w:rPr>
        <w:t xml:space="preserve">Consulting</w:t>
      </w:r>
      <w:r>
        <w:rPr>
          <w:rFonts w:ascii="Arial" w:cs="Arial" w:eastAsia="Arial" w:hAnsi="Arial"/>
          <w:color w:val="14181D"/>
          <w:sz w:val="20"/>
          <w:szCs w:val="20"/>
        </w:rPr>
        <w:t xml:space="preserve"> — Model 01 Advisory: strategy, specification, package boundaries, tender documents and evaluation.</w:t>
      </w:r>
    </w:p>
    <w:p>
      <w:pPr>
        <w:pStyle w:val="ListParagraph"/>
        <w:numPr>
          <w:ilvl w:val="0"/>
          <w:numId w:val="2"/>
        </w:numPr>
        <w:spacing w:after="50" w:before="50" w:line="280"/>
      </w:pPr>
      <w:r>
        <w:rPr>
          <w:rFonts w:ascii="Arial" w:cs="Arial" w:eastAsia="Arial" w:hAnsi="Arial"/>
          <w:b/>
          <w:bCs/>
          <w:color w:val="14181D"/>
          <w:sz w:val="20"/>
          <w:szCs w:val="20"/>
        </w:rPr>
        <w:t xml:space="preserve">Outsourcing Services</w:t>
      </w:r>
      <w:r>
        <w:rPr>
          <w:rFonts w:ascii="Arial" w:cs="Arial" w:eastAsia="Arial" w:hAnsi="Arial"/>
          <w:color w:val="14181D"/>
          <w:sz w:val="20"/>
          <w:szCs w:val="20"/>
        </w:rPr>
        <w:t xml:space="preserve"> — the closest match in this taxonomy to Models 02 and 03, where a whole service scope is managed under one accountable structure.</w:t>
      </w:r>
    </w:p>
    <w:p>
      <w:pPr>
        <w:spacing w:after="90" w:before="90" w:line="280"/>
      </w:pPr>
      <w:r>
        <w:rPr>
          <w:rFonts w:ascii="Arial" w:cs="Arial" w:eastAsia="Arial" w:hAnsi="Arial"/>
          <w:color w:val="14181D"/>
          <w:sz w:val="20"/>
          <w:szCs w:val="20"/>
        </w:rPr>
        <w:t xml:space="preserve">That is five. Add </w:t>
      </w:r>
      <w:r>
        <w:rPr>
          <w:rFonts w:ascii="Arial" w:cs="Arial" w:eastAsia="Arial" w:hAnsi="Arial"/>
          <w:b/>
          <w:bCs/>
          <w:color w:val="14181D"/>
          <w:sz w:val="20"/>
          <w:szCs w:val="20"/>
        </w:rPr>
        <w:t xml:space="preserve">Maintenance, repair, operations</w:t>
      </w:r>
      <w:r>
        <w:rPr>
          <w:rFonts w:ascii="Arial" w:cs="Arial" w:eastAsia="Arial" w:hAnsi="Arial"/>
          <w:color w:val="14181D"/>
          <w:sz w:val="20"/>
          <w:szCs w:val="20"/>
        </w:rPr>
        <w:t xml:space="preserve"> only if you want enquiries for the running phase of site services as well as its set-up; it is defensible but it also attracts spares and consumables enquiries that are not ours.</w:t>
      </w:r>
    </w:p>
    <w:p>
      <w:pPr>
        <w:pStyle w:val="Heading2"/>
        <w:keepNext/>
        <w:spacing w:after="110" w:before="260"/>
      </w:pPr>
      <w:r>
        <w:rPr>
          <w:rFonts w:ascii="Arial" w:cs="Arial" w:eastAsia="Arial" w:hAnsi="Arial"/>
          <w:b/>
          <w:bCs/>
          <w:color w:val="9C7A3C"/>
          <w:sz w:val="21"/>
          <w:szCs w:val="21"/>
        </w:rPr>
        <w:t xml:space="preserve">Two corrections to an earlier recommendation</w:t>
      </w:r>
    </w:p>
    <w:p>
      <w:pPr>
        <w:spacing w:after="90" w:before="90" w:line="280"/>
      </w:pPr>
      <w:r>
        <w:rPr>
          <w:rFonts w:ascii="Arial" w:cs="Arial" w:eastAsia="Arial" w:hAnsi="Arial"/>
          <w:color w:val="14181D"/>
          <w:sz w:val="20"/>
          <w:szCs w:val="20"/>
        </w:rPr>
        <w:t xml:space="preserve">An earlier draft of this sheet suggested </w:t>
      </w:r>
      <w:r>
        <w:rPr>
          <w:rFonts w:ascii="Arial" w:cs="Arial" w:eastAsia="Arial" w:hAnsi="Arial"/>
          <w:b/>
          <w:bCs/>
          <w:color w:val="14181D"/>
          <w:sz w:val="20"/>
          <w:szCs w:val="20"/>
        </w:rPr>
        <w:t xml:space="preserve">Containers &amp; Ehouse</w:t>
      </w:r>
      <w:r>
        <w:rPr>
          <w:rFonts w:ascii="Arial" w:cs="Arial" w:eastAsia="Arial" w:hAnsi="Arial"/>
          <w:color w:val="14181D"/>
          <w:sz w:val="20"/>
          <w:szCs w:val="20"/>
        </w:rPr>
        <w:t xml:space="preserve"> and </w:t>
      </w:r>
      <w:r>
        <w:rPr>
          <w:rFonts w:ascii="Arial" w:cs="Arial" w:eastAsia="Arial" w:hAnsi="Arial"/>
          <w:b/>
          <w:bCs/>
          <w:color w:val="14181D"/>
          <w:sz w:val="20"/>
          <w:szCs w:val="20"/>
        </w:rPr>
        <w:t xml:space="preserve">Construction / Erection</w:t>
      </w:r>
      <w:r>
        <w:rPr>
          <w:rFonts w:ascii="Arial" w:cs="Arial" w:eastAsia="Arial" w:hAnsi="Arial"/>
          <w:color w:val="14181D"/>
          <w:sz w:val="20"/>
          <w:szCs w:val="20"/>
        </w:rPr>
        <w:t xml:space="preserve">. Both were wrong, and the reason matters.</w:t>
      </w:r>
    </w:p>
    <w:p>
      <w:pPr>
        <w:spacing w:after="90" w:before="90" w:line="280"/>
      </w:pPr>
      <w:r>
        <w:rPr>
          <w:rFonts w:ascii="Arial" w:cs="Arial" w:eastAsia="Arial" w:hAnsi="Arial"/>
          <w:b/>
          <w:bCs/>
          <w:color w:val="14181D"/>
          <w:sz w:val="20"/>
          <w:szCs w:val="20"/>
        </w:rPr>
        <w:t xml:space="preserve">"Containers &amp; Ehouse" is not site accommodation.</w:t>
      </w:r>
      <w:r>
        <w:rPr>
          <w:rFonts w:ascii="Arial" w:cs="Arial" w:eastAsia="Arial" w:hAnsi="Arial"/>
          <w:color w:val="14181D"/>
          <w:sz w:val="20"/>
          <w:szCs w:val="20"/>
        </w:rPr>
        <w:t xml:space="preserve"> In a Siemens Energy taxonomy an E-house is a prefabricated electrical building — containerised switchgear and control equipment. Ticking it invites enquiries to supply electrical housings, which ETABLIX does not do. Welfare cabins and accommodation modules are not in this list at all, and that gap is handled in the Additional information box rather than by borrowing somebody else's category.</w:t>
      </w:r>
    </w:p>
    <w:p>
      <w:pPr>
        <w:spacing w:after="90" w:before="90" w:line="280"/>
      </w:pPr>
      <w:r>
        <w:rPr>
          <w:rFonts w:ascii="Arial" w:cs="Arial" w:eastAsia="Arial" w:hAnsi="Arial"/>
          <w:b/>
          <w:bCs/>
          <w:color w:val="14181D"/>
          <w:sz w:val="20"/>
          <w:szCs w:val="20"/>
        </w:rPr>
        <w:t xml:space="preserve">"Construction / Erection" and "Installation/Erection" mean erecting their plant.</w:t>
      </w:r>
      <w:r>
        <w:rPr>
          <w:rFonts w:ascii="Arial" w:cs="Arial" w:eastAsia="Arial" w:hAnsi="Arial"/>
          <w:color w:val="14181D"/>
          <w:sz w:val="20"/>
          <w:szCs w:val="20"/>
        </w:rPr>
        <w:t xml:space="preserve"> Turbines, transformers, switchgear. ETABLIX does not erect plant, and these entries sit among blades, bushings and bus bars for that reason.</w:t>
      </w:r>
    </w:p>
    <w:p>
      <w:pPr>
        <w:spacing w:after="90" w:before="90" w:line="280"/>
      </w:pPr>
      <w:r>
        <w:rPr>
          <w:rFonts w:ascii="Arial" w:cs="Arial" w:eastAsia="Arial" w:hAnsi="Arial"/>
          <w:b/>
          <w:bCs/>
          <w:color w:val="14181D"/>
          <w:sz w:val="20"/>
          <w:szCs w:val="20"/>
        </w:rPr>
        <w:t xml:space="preserve">Also leave off, with the reason:</w:t>
      </w:r>
    </w:p>
    <w:p>
      <w:pPr>
        <w:pStyle w:val="ListParagraph"/>
        <w:numPr>
          <w:ilvl w:val="0"/>
          <w:numId w:val="2"/>
        </w:numPr>
        <w:spacing w:after="50" w:before="50" w:line="280"/>
      </w:pPr>
      <w:r>
        <w:rPr>
          <w:rFonts w:ascii="Arial" w:cs="Arial" w:eastAsia="Arial" w:hAnsi="Arial"/>
          <w:b/>
          <w:bCs/>
          <w:color w:val="14181D"/>
          <w:sz w:val="20"/>
          <w:szCs w:val="20"/>
        </w:rPr>
        <w:t xml:space="preserve">Field Services</w:t>
      </w:r>
      <w:r>
        <w:rPr>
          <w:rFonts w:ascii="Arial" w:cs="Arial" w:eastAsia="Arial" w:hAnsi="Arial"/>
          <w:color w:val="14181D"/>
          <w:sz w:val="20"/>
          <w:szCs w:val="20"/>
        </w:rPr>
        <w:t xml:space="preserve"> and </w:t>
      </w:r>
      <w:r>
        <w:rPr>
          <w:rFonts w:ascii="Arial" w:cs="Arial" w:eastAsia="Arial" w:hAnsi="Arial"/>
          <w:b/>
          <w:bCs/>
          <w:color w:val="14181D"/>
          <w:sz w:val="20"/>
          <w:szCs w:val="20"/>
        </w:rPr>
        <w:t xml:space="preserve">Field Service Labour</w:t>
      </w:r>
      <w:r>
        <w:rPr>
          <w:rFonts w:ascii="Arial" w:cs="Arial" w:eastAsia="Arial" w:hAnsi="Arial"/>
          <w:color w:val="14181D"/>
          <w:sz w:val="20"/>
          <w:szCs w:val="20"/>
        </w:rPr>
        <w:t xml:space="preserve"> — Siemens Energy's own field service discipline, and the second is labour supply.</w:t>
      </w:r>
    </w:p>
    <w:p>
      <w:pPr>
        <w:pStyle w:val="ListParagraph"/>
        <w:numPr>
          <w:ilvl w:val="0"/>
          <w:numId w:val="2"/>
        </w:numPr>
        <w:spacing w:after="50" w:before="50" w:line="280"/>
      </w:pPr>
      <w:r>
        <w:rPr>
          <w:rFonts w:ascii="Arial" w:cs="Arial" w:eastAsia="Arial" w:hAnsi="Arial"/>
          <w:b/>
          <w:bCs/>
          <w:color w:val="14181D"/>
          <w:sz w:val="20"/>
          <w:szCs w:val="20"/>
        </w:rPr>
        <w:t xml:space="preserve">Temporary Labor</w:t>
      </w:r>
      <w:r>
        <w:rPr>
          <w:rFonts w:ascii="Arial" w:cs="Arial" w:eastAsia="Arial" w:hAnsi="Arial"/>
          <w:color w:val="14181D"/>
          <w:sz w:val="20"/>
          <w:szCs w:val="20"/>
        </w:rPr>
        <w:t xml:space="preserve"> — the most tempting wrong answer on the page. It would classify ETABLIX as a labour supplier, the exact opposite of the position held everywhere else: defined packages, not labour-only. A category is hard to undo once a buyer's system holds it.</w:t>
      </w:r>
    </w:p>
    <w:p>
      <w:pPr>
        <w:pStyle w:val="ListParagraph"/>
        <w:numPr>
          <w:ilvl w:val="0"/>
          <w:numId w:val="2"/>
        </w:numPr>
        <w:spacing w:after="50" w:before="50" w:line="280"/>
      </w:pPr>
      <w:r>
        <w:rPr>
          <w:rFonts w:ascii="Arial" w:cs="Arial" w:eastAsia="Arial" w:hAnsi="Arial"/>
          <w:b/>
          <w:bCs/>
          <w:color w:val="14181D"/>
          <w:sz w:val="20"/>
          <w:szCs w:val="20"/>
        </w:rPr>
        <w:t xml:space="preserve">Engineering Services</w:t>
      </w:r>
      <w:r>
        <w:rPr>
          <w:rFonts w:ascii="Arial" w:cs="Arial" w:eastAsia="Arial" w:hAnsi="Arial"/>
          <w:color w:val="14181D"/>
          <w:sz w:val="20"/>
          <w:szCs w:val="20"/>
        </w:rPr>
        <w:t xml:space="preserve"> — design and temporary-works engineering are bought in, not done in house. Ticking it invites a technical qualification that would have to be declined.</w:t>
      </w:r>
    </w:p>
    <w:p>
      <w:pPr>
        <w:pStyle w:val="ListParagraph"/>
        <w:numPr>
          <w:ilvl w:val="0"/>
          <w:numId w:val="2"/>
        </w:numPr>
        <w:spacing w:after="50" w:before="50" w:line="280"/>
      </w:pPr>
      <w:r>
        <w:rPr>
          <w:rFonts w:ascii="Arial" w:cs="Arial" w:eastAsia="Arial" w:hAnsi="Arial"/>
          <w:b/>
          <w:bCs/>
          <w:color w:val="14181D"/>
          <w:sz w:val="20"/>
          <w:szCs w:val="20"/>
        </w:rPr>
        <w:t xml:space="preserve">Building Services</w:t>
      </w:r>
      <w:r>
        <w:rPr>
          <w:rFonts w:ascii="Arial" w:cs="Arial" w:eastAsia="Arial" w:hAnsi="Arial"/>
          <w:color w:val="14181D"/>
          <w:sz w:val="20"/>
          <w:szCs w:val="20"/>
        </w:rPr>
        <w:t xml:space="preserve">, </w:t>
      </w:r>
      <w:r>
        <w:rPr>
          <w:rFonts w:ascii="Arial" w:cs="Arial" w:eastAsia="Arial" w:hAnsi="Arial"/>
          <w:b/>
          <w:bCs/>
          <w:color w:val="14181D"/>
          <w:sz w:val="20"/>
          <w:szCs w:val="20"/>
        </w:rPr>
        <w:t xml:space="preserve">Water Treatment</w:t>
      </w:r>
      <w:r>
        <w:rPr>
          <w:rFonts w:ascii="Arial" w:cs="Arial" w:eastAsia="Arial" w:hAnsi="Arial"/>
          <w:color w:val="14181D"/>
          <w:sz w:val="20"/>
          <w:szCs w:val="20"/>
        </w:rPr>
        <w:t xml:space="preserve">, </w:t>
      </w:r>
      <w:r>
        <w:rPr>
          <w:rFonts w:ascii="Arial" w:cs="Arial" w:eastAsia="Arial" w:hAnsi="Arial"/>
          <w:b/>
          <w:bCs/>
          <w:color w:val="14181D"/>
          <w:sz w:val="20"/>
          <w:szCs w:val="20"/>
        </w:rPr>
        <w:t xml:space="preserve">Fire Fighting</w:t>
      </w:r>
      <w:r>
        <w:rPr>
          <w:rFonts w:ascii="Arial" w:cs="Arial" w:eastAsia="Arial" w:hAnsi="Arial"/>
          <w:color w:val="14181D"/>
          <w:sz w:val="20"/>
          <w:szCs w:val="20"/>
        </w:rPr>
        <w:t xml:space="preserve"> — permanent plant and building systems, not temporary site utilities.</w:t>
      </w:r>
    </w:p>
    <w:p>
      <w:pPr>
        <w:pStyle w:val="ListParagraph"/>
        <w:numPr>
          <w:ilvl w:val="0"/>
          <w:numId w:val="2"/>
        </w:numPr>
        <w:spacing w:after="50" w:before="50" w:line="280"/>
      </w:pPr>
      <w:r>
        <w:rPr>
          <w:rFonts w:ascii="Arial" w:cs="Arial" w:eastAsia="Arial" w:hAnsi="Arial"/>
          <w:b/>
          <w:bCs/>
          <w:color w:val="14181D"/>
          <w:sz w:val="20"/>
          <w:szCs w:val="20"/>
        </w:rPr>
        <w:t xml:space="preserve">Integrator</w:t>
      </w:r>
      <w:r>
        <w:rPr>
          <w:rFonts w:ascii="Arial" w:cs="Arial" w:eastAsia="Arial" w:hAnsi="Arial"/>
          <w:color w:val="14181D"/>
          <w:sz w:val="20"/>
          <w:szCs w:val="20"/>
        </w:rPr>
        <w:t xml:space="preserve"> — conceptually close to "Management Integrator" and almost certainly meaning electrical systems integration here. The resemblance is linguistic, not commercial.</w:t>
      </w:r>
    </w:p>
    <w:p>
      <w:pPr>
        <w:pStyle w:val="ListParagraph"/>
        <w:numPr>
          <w:ilvl w:val="0"/>
          <w:numId w:val="2"/>
        </w:numPr>
        <w:spacing w:after="50" w:before="50" w:line="280"/>
      </w:pPr>
      <w:r>
        <w:rPr>
          <w:rFonts w:ascii="Arial" w:cs="Arial" w:eastAsia="Arial" w:hAnsi="Arial"/>
          <w:b/>
          <w:bCs/>
          <w:color w:val="14181D"/>
          <w:sz w:val="20"/>
          <w:szCs w:val="20"/>
        </w:rPr>
        <w:t xml:space="preserve">Real Estate Construction</w:t>
      </w:r>
      <w:r>
        <w:rPr>
          <w:rFonts w:ascii="Arial" w:cs="Arial" w:eastAsia="Arial" w:hAnsi="Arial"/>
          <w:color w:val="14181D"/>
          <w:sz w:val="20"/>
          <w:szCs w:val="20"/>
        </w:rPr>
        <w:t xml:space="preserve"> — Siemens Energy's own premises, not a construction project's temporary village.</w:t>
      </w:r>
    </w:p>
    <w:p>
      <w:pPr>
        <w:pStyle w:val="Heading2"/>
        <w:keepNext/>
        <w:spacing w:after="110" w:before="260"/>
      </w:pPr>
      <w:r>
        <w:rPr>
          <w:rFonts w:ascii="Arial" w:cs="Arial" w:eastAsia="Arial" w:hAnsi="Arial"/>
          <w:b/>
          <w:bCs/>
          <w:color w:val="9C7A3C"/>
          <w:sz w:val="21"/>
          <w:szCs w:val="21"/>
        </w:rPr>
        <w:t xml:space="preserve">UNSPSC</w:t>
      </w:r>
    </w:p>
    <w:p>
      <w:pPr>
        <w:spacing w:after="90" w:before="90" w:line="280"/>
      </w:pPr>
      <w:r>
        <w:rPr>
          <w:rFonts w:ascii="Arial" w:cs="Arial" w:eastAsia="Arial" w:hAnsi="Arial"/>
          <w:color w:val="14181D"/>
          <w:sz w:val="20"/>
          <w:szCs w:val="20"/>
        </w:rPr>
        <w:t xml:space="preserve">The field is optional, and one accurate code is worth more than five uncertain ones. Enter:</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72000000 — Building and Facility Construction and Maintenance Services</w:t>
      </w:r>
    </w:p>
    <w:p>
      <w:pPr>
        <w:spacing w:after="90" w:before="90" w:line="280"/>
      </w:pPr>
      <w:r>
        <w:rPr>
          <w:rFonts w:ascii="Arial" w:cs="Arial" w:eastAsia="Arial" w:hAnsi="Arial"/>
          <w:color w:val="14181D"/>
          <w:sz w:val="20"/>
          <w:szCs w:val="20"/>
        </w:rPr>
        <w:t xml:space="preserve">That segment is the right home for site establishment and site services. If the field accepts more than one, add </w:t>
      </w:r>
      <w:r>
        <w:rPr>
          <w:rFonts w:ascii="Arial" w:cs="Arial" w:eastAsia="Arial" w:hAnsi="Arial"/>
          <w:b/>
          <w:bCs/>
          <w:color w:val="14181D"/>
          <w:sz w:val="20"/>
          <w:szCs w:val="20"/>
        </w:rPr>
        <w:t xml:space="preserve">80101600 — Project management</w:t>
      </w:r>
      <w:r>
        <w:rPr>
          <w:rFonts w:ascii="Arial" w:cs="Arial" w:eastAsia="Arial" w:hAnsi="Arial"/>
          <w:color w:val="14181D"/>
          <w:sz w:val="20"/>
          <w:szCs w:val="20"/>
        </w:rPr>
        <w:t xml:space="preserve"> for the advisory and control work.</w:t>
      </w:r>
    </w:p>
    <w:p>
      <w:pPr>
        <w:spacing w:after="90" w:before="90" w:line="280"/>
      </w:pPr>
      <w:r>
        <w:rPr>
          <w:rFonts w:ascii="Arial" w:cs="Arial" w:eastAsia="Arial" w:hAnsi="Arial"/>
          <w:b/>
          <w:bCs/>
          <w:color w:val="14181D"/>
          <w:sz w:val="20"/>
          <w:szCs w:val="20"/>
        </w:rPr>
        <w:t xml:space="preserve">Confirm the eight digits in the UNSPSC browser before submitting.</w:t>
      </w:r>
      <w:r>
        <w:rPr>
          <w:rFonts w:ascii="Arial" w:cs="Arial" w:eastAsia="Arial" w:hAnsi="Arial"/>
          <w:color w:val="14181D"/>
          <w:sz w:val="20"/>
          <w:szCs w:val="20"/>
        </w:rPr>
        <w:t xml:space="preserve"> The segment is the part to rely on; the lower-level code should be checked rather than taken on trust from this sheet.</w:t>
      </w:r>
    </w:p>
    <w:p>
      <w:pPr>
        <w:pStyle w:val="Heading2"/>
        <w:keepNext/>
        <w:spacing w:after="110" w:before="260"/>
      </w:pPr>
      <w:r>
        <w:rPr>
          <w:rFonts w:ascii="Arial" w:cs="Arial" w:eastAsia="Arial" w:hAnsi="Arial"/>
          <w:b/>
          <w:bCs/>
          <w:color w:val="9C7A3C"/>
          <w:sz w:val="21"/>
          <w:szCs w:val="21"/>
        </w:rPr>
        <w:t xml:space="preserve">Siemens Energy Business Area: **Grid Technologies** and **Wind Power**</w:t>
      </w:r>
    </w:p>
    <w:p>
      <w:pPr>
        <w:spacing w:after="90" w:before="90" w:line="280"/>
      </w:pPr>
      <w:r>
        <w:rPr>
          <w:rFonts w:ascii="Arial" w:cs="Arial" w:eastAsia="Arial" w:hAnsi="Arial"/>
          <w:color w:val="14181D"/>
          <w:sz w:val="20"/>
          <w:szCs w:val="20"/>
        </w:rPr>
        <w:t xml:space="preserve">Both build large sites, often remote, with genuine site-establishment and workforce-accommodation requirements — and Grid Technologies matches the director's transmission background, so the conversation starts on familiar ground.</w:t>
      </w:r>
    </w:p>
    <w:p>
      <w:pPr>
        <w:spacing w:after="90" w:before="90" w:line="280"/>
      </w:pPr>
      <w:r>
        <w:rPr>
          <w:rFonts w:ascii="Arial" w:cs="Arial" w:eastAsia="Arial" w:hAnsi="Arial"/>
          <w:b/>
          <w:bCs/>
          <w:color w:val="14181D"/>
          <w:sz w:val="20"/>
          <w:szCs w:val="20"/>
        </w:rPr>
        <w:t xml:space="preserve">Gas Services</w:t>
      </w:r>
      <w:r>
        <w:rPr>
          <w:rFonts w:ascii="Arial" w:cs="Arial" w:eastAsia="Arial" w:hAnsi="Arial"/>
          <w:color w:val="14181D"/>
          <w:sz w:val="20"/>
          <w:szCs w:val="20"/>
        </w:rPr>
        <w:t xml:space="preserve"> is a defensible third: a major outage is a temporary population needing welfare, catering and sometimes accommodation at scale, on a fixed and unforgiving date. Add it if you want outage work; leave it off if you would rather be known for one thing first.</w:t>
      </w:r>
    </w:p>
    <w:p>
      <w:pPr>
        <w:spacing w:after="90" w:before="90" w:line="280"/>
      </w:pPr>
      <w:r>
        <w:rPr>
          <w:rFonts w:ascii="Arial" w:cs="Arial" w:eastAsia="Arial" w:hAnsi="Arial"/>
          <w:b/>
          <w:bCs/>
          <w:color w:val="14181D"/>
          <w:sz w:val="20"/>
          <w:szCs w:val="20"/>
        </w:rPr>
        <w:t xml:space="preserve">Do not select all five, and do not select "Other".</w:t>
      </w:r>
      <w:r>
        <w:rPr>
          <w:rFonts w:ascii="Arial" w:cs="Arial" w:eastAsia="Arial" w:hAnsi="Arial"/>
          <w:color w:val="14181D"/>
          <w:sz w:val="20"/>
          <w:szCs w:val="20"/>
        </w:rPr>
        <w:t xml:space="preserve"> A single-director company claiming every business area reads as untargeted and routes to nobody in particular. Two named areas reach two real buyers.</w:t>
      </w:r>
    </w:p>
    <w:p>
      <w:pPr>
        <w:pStyle w:val="Heading1"/>
        <w:keepNext/>
        <w:pBdr>
          <w:bottom w:val="single" w:color="9C7A3C" w:sz="8" w:space="6"/>
        </w:pBdr>
        <w:spacing w:after="150" w:before="380"/>
      </w:pPr>
      <w:r>
        <w:rPr>
          <w:rFonts w:ascii="Arial" w:cs="Arial" w:eastAsia="Arial" w:hAnsi="Arial"/>
          <w:b/>
          <w:bCs/>
          <w:color w:val="14181D"/>
          <w:sz w:val="26"/>
          <w:szCs w:val="26"/>
        </w:rPr>
        <w:t xml:space="preserve">Section 6 — Production capacity (required)</w:t>
      </w:r>
    </w:p>
    <w:p>
      <w:pPr>
        <w:spacing w:after="90" w:before="90" w:line="280"/>
      </w:pPr>
      <w:r>
        <w:rPr>
          <w:rFonts w:ascii="Arial" w:cs="Arial" w:eastAsia="Arial" w:hAnsi="Arial"/>
          <w:color w:val="14181D"/>
          <w:sz w:val="20"/>
          <w:szCs w:val="20"/>
        </w:rPr>
        <w:t xml:space="preserve">A required field with no honest numeric answer for a service business. Say so, then give the figure that is actually meaningful — and keep it to one that will be honoured.</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Service provider: no manufacturing or production capacity, and none is claimed. Delivery capacity on any project is the capacity of the specialist supply chain contracted for it, procured and scaled to the requirement rather than held as standing plant or headcount. ETABLIX's own capacity is the management capacity to specify, procure and control that supply chain: currently up to two concurrent engagements, at site establishments scoped for workforce populations in the hundreds and programme durations measured in years. Capacity is extended by contracting, not by recruitment, so lead time to mobilise a further engagement is the lead time of the packages themselves.</w:t>
      </w:r>
    </w:p>
    <w:p>
      <w:pPr>
        <w:spacing w:after="90" w:before="90" w:line="280"/>
      </w:pPr>
      <w:r>
        <w:rPr>
          <w:rFonts w:ascii="Arial" w:cs="Arial" w:eastAsia="Arial" w:hAnsi="Arial"/>
          <w:color w:val="14181D"/>
          <w:sz w:val="20"/>
          <w:szCs w:val="20"/>
        </w:rPr>
        <w:t xml:space="preserve">Set the "two concurrent engagements" figure to what will genuinely be honoured. It is a commitment a buyer may hold you to, not a brochure line, and the sentence after it is what makes a small number read as a model rather than a limitation.</w:t>
      </w:r>
    </w:p>
    <w:p>
      <w:pPr>
        <w:pStyle w:val="Heading1"/>
        <w:keepNext/>
        <w:pBdr>
          <w:bottom w:val="single" w:color="9C7A3C" w:sz="8" w:space="6"/>
        </w:pBdr>
        <w:spacing w:after="150" w:before="380"/>
      </w:pPr>
      <w:r>
        <w:rPr>
          <w:rFonts w:ascii="Arial" w:cs="Arial" w:eastAsia="Arial" w:hAnsi="Arial"/>
          <w:b/>
          <w:bCs/>
          <w:color w:val="14181D"/>
          <w:sz w:val="26"/>
          <w:szCs w:val="26"/>
        </w:rPr>
        <w:t xml:space="preserve">Section 7 — Unique Selling Proposition</w:t>
      </w:r>
    </w:p>
    <w:p>
      <w:pPr>
        <w:spacing w:after="90" w:before="90" w:line="280"/>
      </w:pPr>
      <w:r>
        <w:rPr>
          <w:rFonts w:ascii="Arial" w:cs="Arial" w:eastAsia="Arial" w:hAnsi="Arial"/>
          <w:color w:val="14181D"/>
          <w:sz w:val="20"/>
          <w:szCs w:val="20"/>
        </w:rPr>
        <w:t xml:space="preserve">They ask for bullet points and they ask for it short. This is the only field on the form that sells, and length in it is read as padding. Five bullets, about 150 words. Paste as a bulleted list — the field takes formatting.</w:t>
      </w:r>
    </w:p>
    <w:p>
      <w:pPr>
        <w:pStyle w:val="ListParagraph"/>
        <w:numPr>
          <w:ilvl w:val="0"/>
          <w:numId w:val="2"/>
        </w:numPr>
        <w:spacing w:after="50" w:before="50" w:line="280"/>
      </w:pPr>
      <w:r>
        <w:rPr>
          <w:rFonts w:ascii="Arial" w:cs="Arial" w:eastAsia="Arial" w:hAnsi="Arial"/>
          <w:color w:val="14181D"/>
          <w:sz w:val="20"/>
          <w:szCs w:val="20"/>
        </w:rPr>
        <w:t xml:space="preserve">One accountable interface for the whole temporary site system — compound</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and welfare, temporary power and utilities, security, waste, catering, workforce accommodation, logistics, demobilisation and reinstatement — instead of 10 to 25 separate packages for your project team to manage.</w:t>
      </w:r>
    </w:p>
    <w:p>
      <w:pPr>
        <w:pStyle w:val="ListParagraph"/>
        <w:numPr>
          <w:ilvl w:val="0"/>
          <w:numId w:val="2"/>
        </w:numPr>
        <w:spacing w:after="50" w:before="50" w:line="280"/>
      </w:pPr>
      <w:r>
        <w:rPr>
          <w:rFonts w:ascii="Arial" w:cs="Arial" w:eastAsia="Arial" w:hAnsi="Arial"/>
          <w:color w:val="14181D"/>
          <w:sz w:val="20"/>
          <w:szCs w:val="20"/>
        </w:rPr>
        <w:t xml:space="preserve">We own the interfaces between those suppliers, which is where cost and</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programme actually leak: the generator sized without the welfare load, accommodation opening after the workforce arrives, three suppliers invoicing the same standby labour.</w:t>
      </w:r>
    </w:p>
    <w:p>
      <w:pPr>
        <w:pStyle w:val="ListParagraph"/>
        <w:numPr>
          <w:ilvl w:val="0"/>
          <w:numId w:val="2"/>
        </w:numPr>
        <w:spacing w:after="50" w:before="50" w:line="280"/>
      </w:pPr>
      <w:r>
        <w:rPr>
          <w:rFonts w:ascii="Arial" w:cs="Arial" w:eastAsia="Arial" w:hAnsi="Arial"/>
          <w:color w:val="14181D"/>
          <w:sz w:val="20"/>
          <w:szCs w:val="20"/>
        </w:rPr>
        <w:t xml:space="preserve">Three engagement models, so the risk sits where you want it. Advisory — we</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specify, you contract. Management Integrator — you contract every supplier directly, we control delivery, and we never hold your supply-chain money. Prime Service Contractor — one contract for the whole temporary scope.</w:t>
      </w:r>
    </w:p>
    <w:p>
      <w:pPr>
        <w:pStyle w:val="ListParagraph"/>
        <w:numPr>
          <w:ilvl w:val="0"/>
          <w:numId w:val="2"/>
        </w:numPr>
        <w:spacing w:after="50" w:before="50" w:line="280"/>
      </w:pPr>
      <w:r>
        <w:rPr>
          <w:rFonts w:ascii="Arial" w:cs="Arial" w:eastAsia="Arial" w:hAnsi="Arial"/>
          <w:color w:val="14181D"/>
          <w:sz w:val="20"/>
          <w:szCs w:val="20"/>
        </w:rPr>
        <w:t xml:space="preserve">Priced and programmed before mobilisation rather than during it: a number,</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an owner and an acceptance test against every line of it.</w:t>
      </w:r>
    </w:p>
    <w:p>
      <w:pPr>
        <w:pStyle w:val="ListParagraph"/>
        <w:numPr>
          <w:ilvl w:val="0"/>
          <w:numId w:val="2"/>
        </w:numPr>
        <w:spacing w:after="50" w:before="50" w:line="280"/>
      </w:pPr>
      <w:r>
        <w:rPr>
          <w:rFonts w:ascii="Arial" w:cs="Arial" w:eastAsia="Arial" w:hAnsi="Arial"/>
          <w:color w:val="14181D"/>
          <w:sz w:val="20"/>
          <w:szCs w:val="20"/>
        </w:rPr>
        <w:t xml:space="preserve">Chartered construction leadership (MCIOB) across electricity transmission,</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energy and major infrastructure, including workforce accommodation villages scoped at several hundred beds over multi-year programmes — reported through our own project-control platform.</w:t>
      </w:r>
    </w:p>
    <w:p>
      <w:pPr>
        <w:pStyle w:val="Heading2"/>
        <w:keepNext/>
        <w:spacing w:after="110" w:before="260"/>
      </w:pPr>
      <w:r>
        <w:rPr>
          <w:rFonts w:ascii="Arial" w:cs="Arial" w:eastAsia="Arial" w:hAnsi="Arial"/>
          <w:b/>
          <w:bCs/>
          <w:color w:val="9C7A3C"/>
          <w:sz w:val="21"/>
          <w:szCs w:val="21"/>
        </w:rPr>
        <w:t xml:space="preserve">A shorter three-bullet version, if the field is tight</w:t>
      </w:r>
    </w:p>
    <w:p>
      <w:pPr>
        <w:pStyle w:val="ListParagraph"/>
        <w:numPr>
          <w:ilvl w:val="0"/>
          <w:numId w:val="2"/>
        </w:numPr>
        <w:spacing w:after="50" w:before="50" w:line="280"/>
      </w:pPr>
      <w:r>
        <w:rPr>
          <w:rFonts w:ascii="Arial" w:cs="Arial" w:eastAsia="Arial" w:hAnsi="Arial"/>
          <w:color w:val="14181D"/>
          <w:sz w:val="20"/>
          <w:szCs w:val="20"/>
        </w:rPr>
        <w:t xml:space="preserve">One accountable interface for the whole temporary site system — welfare,</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power, security, waste, catering, workforce accommodation, logistics and reinstatement — instead of 10 to 25 packages your team manages separately.</w:t>
      </w:r>
    </w:p>
    <w:p>
      <w:pPr>
        <w:pStyle w:val="ListParagraph"/>
        <w:numPr>
          <w:ilvl w:val="0"/>
          <w:numId w:val="2"/>
        </w:numPr>
        <w:spacing w:after="50" w:before="50" w:line="280"/>
      </w:pPr>
      <w:r>
        <w:rPr>
          <w:rFonts w:ascii="Arial" w:cs="Arial" w:eastAsia="Arial" w:hAnsi="Arial"/>
          <w:color w:val="14181D"/>
          <w:sz w:val="20"/>
          <w:szCs w:val="20"/>
        </w:rPr>
        <w:t xml:space="preserve">We own the interfaces between them, which is where cost and programme leak.</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Three engagement models, from advisory to a single contract for the whole temporary scope; in the middle model we never hold your supply-chain money.</w:t>
      </w:r>
    </w:p>
    <w:p>
      <w:pPr>
        <w:pStyle w:val="ListParagraph"/>
        <w:numPr>
          <w:ilvl w:val="0"/>
          <w:numId w:val="2"/>
        </w:numPr>
        <w:spacing w:after="50" w:before="50" w:line="280"/>
      </w:pPr>
      <w:r>
        <w:rPr>
          <w:rFonts w:ascii="Arial" w:cs="Arial" w:eastAsia="Arial" w:hAnsi="Arial"/>
          <w:color w:val="14181D"/>
          <w:sz w:val="20"/>
          <w:szCs w:val="20"/>
        </w:rPr>
        <w:t xml:space="preserve">Chartered construction leadership (MCIOB) across transmission, energy and</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major infrastructure, including workforce accommodation villages of several hundred beds, priced and programmed before mobilisation rather than during it.</w:t>
      </w:r>
    </w:p>
    <w:p>
      <w:pPr>
        <w:pStyle w:val="Heading2"/>
        <w:keepNext/>
        <w:spacing w:after="110" w:before="260"/>
      </w:pPr>
      <w:r>
        <w:rPr>
          <w:rFonts w:ascii="Arial" w:cs="Arial" w:eastAsia="Arial" w:hAnsi="Arial"/>
          <w:b/>
          <w:bCs/>
          <w:color w:val="9C7A3C"/>
          <w:sz w:val="21"/>
          <w:szCs w:val="21"/>
        </w:rPr>
        <w:t xml:space="preserve">What these bullets deliberately avoid</w:t>
      </w:r>
    </w:p>
    <w:p>
      <w:pPr>
        <w:spacing w:after="90" w:before="90" w:line="280"/>
      </w:pPr>
      <w:r>
        <w:rPr>
          <w:rFonts w:ascii="Arial" w:cs="Arial" w:eastAsia="Arial" w:hAnsi="Arial"/>
          <w:color w:val="14181D"/>
          <w:sz w:val="20"/>
          <w:szCs w:val="20"/>
        </w:rPr>
        <w:t xml:space="preserve">No certification is claimed, because none is held. No price, and no named client, scheme or former employer. No turnover, headcount or growth figure that the financial fields would contradict. Nothing implies a Principal Contractor or Principal Designer appointment under CDM 2015 — the scope is described as supply and control, not as a statutory duty holder. The accommodation experience is the director's and is written as capability rather than as a company track record, because the business-experience field already says 1 to 3 years and the two answers have to agree.</w:t>
      </w:r>
    </w:p>
    <w:p>
      <w:pPr>
        <w:pStyle w:val="Heading1"/>
        <w:keepNext/>
        <w:pBdr>
          <w:bottom w:val="single" w:color="9C7A3C" w:sz="8" w:space="6"/>
        </w:pBdr>
        <w:spacing w:after="150" w:before="380"/>
      </w:pPr>
      <w:r>
        <w:rPr>
          <w:rFonts w:ascii="Arial" w:cs="Arial" w:eastAsia="Arial" w:hAnsi="Arial"/>
          <w:b/>
          <w:bCs/>
          <w:color w:val="14181D"/>
          <w:sz w:val="26"/>
          <w:szCs w:val="26"/>
        </w:rPr>
        <w:t xml:space="preserve">Section 8 — Additional business related information</w:t>
      </w:r>
    </w:p>
    <w:p>
      <w:pPr>
        <w:spacing w:after="90" w:before="90" w:line="280"/>
      </w:pPr>
      <w:r>
        <w:rPr>
          <w:rFonts w:ascii="Arial" w:cs="Arial" w:eastAsia="Arial" w:hAnsi="Arial"/>
          <w:color w:val="14181D"/>
          <w:sz w:val="20"/>
          <w:szCs w:val="20"/>
        </w:rPr>
        <w:t xml:space="preserve">This box is where every blank above gets explained. A blank with a reason is a professional answer; a blank without one looks like evasion.</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JNN GLOBAL LTD trades as ETABLIX. Registered in England and Wales, company number 15405437; registered office Groupe Nseya House, Kingstanding, Birmingham B44 8DJ, United Kingdom.</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Scale, stated plainly. ETABLIX is an early-stage specialist practice with one working director and no employees, which is why the employee-number field is left blank — the lowest band offered is 11–50 and selecting it would be inaccurate. Delivery is resourced by contracting the specialist supply chain to the requirement of each project rather than by carrying standing headcount, which is the operating model rather than a limitation of it.</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Certifications. ETABLIX holds no ISO certification and no SSIP registration, and claims neither. It operates a documented management system written to the clause structure of ISO 9001:2015; a coverage statement setting out, clause by clause, what is documented, what is partial and what is not in place is attached, and is marked NOT CERTIFIED on its cover. Documented health and safety, occupational health and anti-bribery policies are attached on the same basis.</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References. As a young company ETABLIX does not yet publish a client reference list, and client names are given only with that client's written consent. The director's delivery record, including the scoping and specification of workforce accommodation villages and multi-package site establishments, can be evidenced on request.</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R&amp;D. The entry against R&amp;D locations refers to in-house development of ETABLIX's own project-control software, not to product research.</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We would welcome assessment against a defined requirement rather than in the abstract, and are content to be held on file against a future need.</w:t>
      </w:r>
    </w:p>
    <w:p>
      <w:pPr>
        <w:pStyle w:val="Heading1"/>
        <w:keepNext/>
        <w:pBdr>
          <w:bottom w:val="single" w:color="9C7A3C" w:sz="8" w:space="6"/>
        </w:pBdr>
        <w:spacing w:after="150" w:before="380"/>
      </w:pPr>
      <w:r>
        <w:rPr>
          <w:rFonts w:ascii="Arial" w:cs="Arial" w:eastAsia="Arial" w:hAnsi="Arial"/>
          <w:b/>
          <w:bCs/>
          <w:color w:val="14181D"/>
          <w:sz w:val="26"/>
          <w:szCs w:val="26"/>
        </w:rPr>
        <w:t xml:space="preserve">Section 9 — the fields to leave blank on purpose</w:t>
      </w:r>
    </w:p>
    <w:p>
      <w:pPr>
        <w:spacing w:after="90" w:before="90" w:line="280"/>
      </w:pPr>
      <w:r>
        <w:rPr>
          <w:rFonts w:ascii="Arial" w:cs="Arial" w:eastAsia="Arial" w:hAnsi="Arial"/>
          <w:b/>
          <w:bCs/>
          <w:color w:val="14181D"/>
          <w:sz w:val="20"/>
          <w:szCs w:val="20"/>
        </w:rPr>
        <w:t xml:space="preserve">Reference customers — leave blank.</w:t>
      </w:r>
      <w:r>
        <w:rPr>
          <w:rFonts w:ascii="Arial" w:cs="Arial" w:eastAsia="Arial" w:hAnsi="Arial"/>
          <w:color w:val="14181D"/>
          <w:sz w:val="20"/>
          <w:szCs w:val="20"/>
        </w:rPr>
        <w:t xml:space="preserve"> Nothing may be entered that cannot be given if asked for. No former employer is named here under any circumstances, and no client is named without their written consent. The additional information box already explains the position properly.</w:t>
      </w:r>
    </w:p>
    <w:p>
      <w:pPr>
        <w:spacing w:after="90" w:before="90" w:line="280"/>
      </w:pPr>
      <w:r>
        <w:rPr>
          <w:rFonts w:ascii="Arial" w:cs="Arial" w:eastAsia="Arial" w:hAnsi="Arial"/>
          <w:b/>
          <w:bCs/>
          <w:color w:val="14181D"/>
          <w:sz w:val="20"/>
          <w:szCs w:val="20"/>
        </w:rPr>
        <w:t xml:space="preserve">Existing contact at Siemens Energy — leave blank.</w:t>
      </w:r>
      <w:r>
        <w:rPr>
          <w:rFonts w:ascii="Arial" w:cs="Arial" w:eastAsia="Arial" w:hAnsi="Arial"/>
          <w:color w:val="14181D"/>
          <w:sz w:val="20"/>
          <w:szCs w:val="20"/>
        </w:rPr>
        <w:t xml:space="preserve"> This is the most dangerous field on the form.</w:t>
      </w:r>
    </w:p>
    <w:p>
      <w:pPr>
        <w:spacing w:after="90" w:before="90" w:line="280"/>
      </w:pPr>
      <w:r>
        <w:rPr>
          <w:rFonts w:ascii="Arial" w:cs="Arial" w:eastAsia="Arial" w:hAnsi="Arial"/>
          <w:color w:val="14181D"/>
          <w:sz w:val="20"/>
          <w:szCs w:val="20"/>
        </w:rPr>
        <w:t xml:space="preserve">There is no existing commercial contact at Siemens Energy. A connection on LinkedIn is not one. Naming somebody who has not agreed to sponsor this registration misrepresents the relationship to the buyer, and it puts that person in the position of being asked about a supplier they never put forward — which is how a goodwill contact becomes a closed door. A private message is never a commercial lever.</w:t>
      </w:r>
    </w:p>
    <w:p>
      <w:pPr>
        <w:spacing w:after="90" w:before="90" w:line="280"/>
      </w:pPr>
      <w:r>
        <w:rPr>
          <w:rFonts w:ascii="Arial" w:cs="Arial" w:eastAsia="Arial" w:hAnsi="Arial"/>
          <w:color w:val="14181D"/>
          <w:sz w:val="20"/>
          <w:szCs w:val="20"/>
        </w:rPr>
        <w:t xml:space="preserve">Leave it empty. The registration stands on what it says.</w:t>
      </w:r>
    </w:p>
    <w:p>
      <w:pPr>
        <w:pStyle w:val="Heading1"/>
        <w:keepNext/>
        <w:pBdr>
          <w:bottom w:val="single" w:color="9C7A3C" w:sz="8" w:space="6"/>
        </w:pBdr>
        <w:spacing w:after="150" w:before="380"/>
      </w:pPr>
      <w:r>
        <w:rPr>
          <w:rFonts w:ascii="Arial" w:cs="Arial" w:eastAsia="Arial" w:hAnsi="Arial"/>
          <w:b/>
          <w:bCs/>
          <w:color w:val="14181D"/>
          <w:sz w:val="26"/>
          <w:szCs w:val="26"/>
        </w:rPr>
        <w:t xml:space="preserve">Section 10 — what to attach</w:t>
      </w:r>
    </w:p>
    <w:p>
      <w:pPr>
        <w:spacing w:after="90" w:before="90" w:line="280"/>
      </w:pPr>
      <w:r>
        <w:rPr>
          <w:rFonts w:ascii="Arial" w:cs="Arial" w:eastAsia="Arial" w:hAnsi="Arial"/>
          <w:color w:val="14181D"/>
          <w:sz w:val="20"/>
          <w:szCs w:val="20"/>
        </w:rPr>
        <w:t xml:space="preserve">Under </w:t>
      </w:r>
      <w:r>
        <w:rPr>
          <w:rFonts w:ascii="Arial" w:cs="Arial" w:eastAsia="Arial" w:hAnsi="Arial"/>
          <w:b/>
          <w:bCs/>
          <w:color w:val="14181D"/>
          <w:sz w:val="20"/>
          <w:szCs w:val="20"/>
        </w:rPr>
        <w:t xml:space="preserve">Add documents</w:t>
      </w:r>
      <w:r>
        <w:rPr>
          <w:rFonts w:ascii="Arial" w:cs="Arial" w:eastAsia="Arial" w:hAnsi="Arial"/>
          <w:color w:val="14181D"/>
          <w:sz w:val="20"/>
          <w:szCs w:val="20"/>
        </w:rPr>
        <w:t xml:space="preserve"> and </w:t>
      </w:r>
      <w:r>
        <w:rPr>
          <w:rFonts w:ascii="Arial" w:cs="Arial" w:eastAsia="Arial" w:hAnsi="Arial"/>
          <w:b/>
          <w:bCs/>
          <w:color w:val="14181D"/>
          <w:sz w:val="20"/>
          <w:szCs w:val="20"/>
        </w:rPr>
        <w:t xml:space="preserve">Additional business related certificates</w:t>
      </w:r>
      <w:r>
        <w:rPr>
          <w:rFonts w:ascii="Arial" w:cs="Arial" w:eastAsia="Arial" w:hAnsi="Arial"/>
          <w:color w:val="14181D"/>
          <w:sz w:val="20"/>
          <w:szCs w:val="20"/>
        </w:rPr>
        <w:t xml:space="preserve">:</w:t>
      </w:r>
    </w:p>
    <w:p>
      <w:pPr>
        <w:pStyle w:val="ListParagraph"/>
        <w:numPr>
          <w:ilvl w:val="0"/>
          <w:numId w:val="2"/>
        </w:numPr>
        <w:spacing w:after="50" w:before="50" w:line="280"/>
      </w:pPr>
      <w:r>
        <w:rPr>
          <w:rFonts w:ascii="Arial" w:cs="Arial" w:eastAsia="Arial" w:hAnsi="Arial"/>
          <w:b/>
          <w:bCs/>
          <w:color w:val="14181D"/>
          <w:sz w:val="20"/>
          <w:szCs w:val="20"/>
        </w:rPr>
        <w:t xml:space="preserve">1. </w:t>
      </w:r>
      <w:r>
        <w:rPr>
          <w:rFonts w:ascii="Arial" w:cs="Arial" w:eastAsia="Arial" w:hAnsi="Arial"/>
          <w:color w:val="14181D"/>
          <w:sz w:val="20"/>
          <w:szCs w:val="20"/>
        </w:rPr>
        <w:t xml:space="preserve">The company information letter — on letterhead, with the company number, registered office and the note on the common seal.</w:t>
      </w:r>
    </w:p>
    <w:p>
      <w:pPr>
        <w:pStyle w:val="ListParagraph"/>
        <w:numPr>
          <w:ilvl w:val="0"/>
          <w:numId w:val="2"/>
        </w:numPr>
        <w:spacing w:after="50" w:before="50" w:line="280"/>
      </w:pPr>
      <w:r>
        <w:rPr>
          <w:rFonts w:ascii="Arial" w:cs="Arial" w:eastAsia="Arial" w:hAnsi="Arial"/>
          <w:b/>
          <w:bCs/>
          <w:color w:val="14181D"/>
          <w:sz w:val="20"/>
          <w:szCs w:val="20"/>
        </w:rPr>
        <w:t xml:space="preserve">2. </w:t>
      </w:r>
      <w:r>
        <w:rPr>
          <w:rFonts w:ascii="Arial" w:cs="Arial" w:eastAsia="Arial" w:hAnsi="Arial"/>
          <w:color w:val="14181D"/>
          <w:sz w:val="20"/>
          <w:szCs w:val="20"/>
        </w:rPr>
        <w:t xml:space="preserve">The ISO 9001 coverage statement — the clause-by-clause map, marked NOT CERTIFIED on its cover. Attaching this is a deliberate strength: it answers the certification question before it is asked, and it demonstrates a system rather than asserting a badge.</w:t>
      </w:r>
    </w:p>
    <w:p>
      <w:pPr>
        <w:pStyle w:val="ListParagraph"/>
        <w:numPr>
          <w:ilvl w:val="0"/>
          <w:numId w:val="2"/>
        </w:numPr>
        <w:spacing w:after="50" w:before="50" w:line="280"/>
      </w:pPr>
      <w:r>
        <w:rPr>
          <w:rFonts w:ascii="Arial" w:cs="Arial" w:eastAsia="Arial" w:hAnsi="Arial"/>
          <w:b/>
          <w:bCs/>
          <w:color w:val="14181D"/>
          <w:sz w:val="20"/>
          <w:szCs w:val="20"/>
        </w:rPr>
        <w:t xml:space="preserve">3. </w:t>
      </w:r>
      <w:r>
        <w:rPr>
          <w:rFonts w:ascii="Arial" w:cs="Arial" w:eastAsia="Arial" w:hAnsi="Arial"/>
          <w:color w:val="14181D"/>
          <w:sz w:val="20"/>
          <w:szCs w:val="20"/>
        </w:rPr>
        <w:t xml:space="preserve">The health and safety policy, the occupational health policy and the anti-bribery policy.</w:t>
      </w:r>
    </w:p>
    <w:p>
      <w:pPr>
        <w:pStyle w:val="ListParagraph"/>
        <w:numPr>
          <w:ilvl w:val="0"/>
          <w:numId w:val="2"/>
        </w:numPr>
        <w:spacing w:after="50" w:before="50" w:line="280"/>
      </w:pPr>
      <w:r>
        <w:rPr>
          <w:rFonts w:ascii="Arial" w:cs="Arial" w:eastAsia="Arial" w:hAnsi="Arial"/>
          <w:b/>
          <w:bCs/>
          <w:color w:val="14181D"/>
          <w:sz w:val="20"/>
          <w:szCs w:val="20"/>
        </w:rPr>
        <w:t xml:space="preserve">4. </w:t>
      </w:r>
      <w:r>
        <w:rPr>
          <w:rFonts w:ascii="Arial" w:cs="Arial" w:eastAsia="Arial" w:hAnsi="Arial"/>
          <w:color w:val="14181D"/>
          <w:sz w:val="20"/>
          <w:szCs w:val="20"/>
        </w:rPr>
        <w:t xml:space="preserve">A short capability profile covering the scope and the three engagement models.</w:t>
      </w:r>
    </w:p>
    <w:p>
      <w:pPr>
        <w:spacing w:after="90" w:before="90" w:line="280"/>
      </w:pPr>
      <w:r>
        <w:rPr>
          <w:rFonts w:ascii="Arial" w:cs="Arial" w:eastAsia="Arial" w:hAnsi="Arial"/>
          <w:b/>
          <w:bCs/>
          <w:color w:val="14181D"/>
          <w:sz w:val="20"/>
          <w:szCs w:val="20"/>
        </w:rPr>
        <w:t xml:space="preserve">Attach nothing that claims a certification, an insurance or an accreditation that is not currently held.</w:t>
      </w:r>
      <w:r>
        <w:rPr>
          <w:rFonts w:ascii="Arial" w:cs="Arial" w:eastAsia="Arial" w:hAnsi="Arial"/>
          <w:color w:val="14181D"/>
          <w:sz w:val="20"/>
          <w:szCs w:val="20"/>
        </w:rPr>
        <w:t xml:space="preserve"> Every document in that list is true as it stands, which is the only reason to send any of them.</w:t>
      </w:r>
    </w:p>
    <w:p>
      <w:pPr>
        <w:pStyle w:val="Heading1"/>
        <w:keepNext/>
        <w:pBdr>
          <w:bottom w:val="single" w:color="9C7A3C" w:sz="8" w:space="6"/>
        </w:pBdr>
        <w:spacing w:after="150" w:before="380"/>
      </w:pPr>
      <w:r>
        <w:rPr>
          <w:rFonts w:ascii="Arial" w:cs="Arial" w:eastAsia="Arial" w:hAnsi="Arial"/>
          <w:b/>
          <w:bCs/>
          <w:color w:val="14181D"/>
          <w:sz w:val="26"/>
          <w:szCs w:val="26"/>
        </w:rPr>
        <w:t xml:space="preserve">What you still have to supply</w:t>
      </w:r>
    </w:p>
    <w:p>
      <w:pPr>
        <w:spacing w:after="90" w:before="90" w:line="280"/>
      </w:pPr>
      <w:r>
        <w:rPr>
          <w:rFonts w:ascii="Arial" w:cs="Arial" w:eastAsia="Arial" w:hAnsi="Arial"/>
          <w:color w:val="14181D"/>
          <w:sz w:val="20"/>
          <w:szCs w:val="20"/>
        </w:rPr>
        <w:t xml:space="preserve">Four things I cannot answer for you, and none should be guessed:</w:t>
      </w:r>
    </w:p>
    <w:p>
      <w:pPr>
        <w:pStyle w:val="ListParagraph"/>
        <w:numPr>
          <w:ilvl w:val="0"/>
          <w:numId w:val="2"/>
        </w:numPr>
        <w:spacing w:after="50" w:before="50" w:line="280"/>
      </w:pPr>
      <w:r>
        <w:rPr>
          <w:rFonts w:ascii="Arial" w:cs="Arial" w:eastAsia="Arial" w:hAnsi="Arial"/>
          <w:b/>
          <w:bCs/>
          <w:color w:val="14181D"/>
          <w:sz w:val="20"/>
          <w:szCs w:val="20"/>
        </w:rPr>
        <w:t xml:space="preserve">1. </w:t>
      </w:r>
      <w:r>
        <w:rPr>
          <w:rFonts w:ascii="Arial" w:cs="Arial" w:eastAsia="Arial" w:hAnsi="Arial"/>
          <w:b/>
          <w:bCs/>
          <w:color w:val="14181D"/>
          <w:sz w:val="20"/>
          <w:szCs w:val="20"/>
        </w:rPr>
        <w:t xml:space="preserve">Telephone number</w:t>
      </w:r>
      <w:r>
        <w:rPr>
          <w:rFonts w:ascii="Arial" w:cs="Arial" w:eastAsia="Arial" w:hAnsi="Arial"/>
          <w:color w:val="14181D"/>
          <w:sz w:val="20"/>
          <w:szCs w:val="20"/>
        </w:rPr>
        <w:t xml:space="preserve">, in international format.</w:t>
      </w:r>
    </w:p>
    <w:p>
      <w:pPr>
        <w:pStyle w:val="ListParagraph"/>
        <w:numPr>
          <w:ilvl w:val="0"/>
          <w:numId w:val="2"/>
        </w:numPr>
        <w:spacing w:after="50" w:before="50" w:line="280"/>
      </w:pPr>
      <w:r>
        <w:rPr>
          <w:rFonts w:ascii="Arial" w:cs="Arial" w:eastAsia="Arial" w:hAnsi="Arial"/>
          <w:b/>
          <w:bCs/>
          <w:color w:val="14181D"/>
          <w:sz w:val="20"/>
          <w:szCs w:val="20"/>
        </w:rPr>
        <w:t xml:space="preserve">2. </w:t>
      </w:r>
      <w:r>
        <w:rPr>
          <w:rFonts w:ascii="Arial" w:cs="Arial" w:eastAsia="Arial" w:hAnsi="Arial"/>
          <w:b/>
          <w:bCs/>
          <w:color w:val="14181D"/>
          <w:sz w:val="20"/>
          <w:szCs w:val="20"/>
        </w:rPr>
        <w:t xml:space="preserve">VAT registration number</w:t>
      </w:r>
      <w:r>
        <w:rPr>
          <w:rFonts w:ascii="Arial" w:cs="Arial" w:eastAsia="Arial" w:hAnsi="Arial"/>
          <w:color w:val="14181D"/>
          <w:sz w:val="20"/>
          <w:szCs w:val="20"/>
        </w:rPr>
        <w:t xml:space="preserve">, or the decision to enter 15405437 and declare that the company is not VAT registered.</w:t>
      </w:r>
    </w:p>
    <w:p>
      <w:pPr>
        <w:pStyle w:val="ListParagraph"/>
        <w:numPr>
          <w:ilvl w:val="0"/>
          <w:numId w:val="2"/>
        </w:numPr>
        <w:spacing w:after="50" w:before="50" w:line="280"/>
      </w:pPr>
      <w:r>
        <w:rPr>
          <w:rFonts w:ascii="Arial" w:cs="Arial" w:eastAsia="Arial" w:hAnsi="Arial"/>
          <w:b/>
          <w:bCs/>
          <w:color w:val="14181D"/>
          <w:sz w:val="20"/>
          <w:szCs w:val="20"/>
        </w:rPr>
        <w:t xml:space="preserve">3. </w:t>
      </w:r>
      <w:r>
        <w:rPr>
          <w:rFonts w:ascii="Arial" w:cs="Arial" w:eastAsia="Arial" w:hAnsi="Arial"/>
          <w:b/>
          <w:bCs/>
          <w:color w:val="14181D"/>
          <w:sz w:val="20"/>
          <w:szCs w:val="20"/>
        </w:rPr>
        <w:t xml:space="preserve">Revenue and EBIT</w:t>
      </w:r>
      <w:r>
        <w:rPr>
          <w:rFonts w:ascii="Arial" w:cs="Arial" w:eastAsia="Arial" w:hAnsi="Arial"/>
          <w:color w:val="14181D"/>
          <w:sz w:val="20"/>
          <w:szCs w:val="20"/>
        </w:rPr>
        <w:t xml:space="preserve"> for the last filed year, or the decision to leave them blank because the first period is not yet filed.</w:t>
      </w:r>
    </w:p>
    <w:p>
      <w:pPr>
        <w:pStyle w:val="ListParagraph"/>
        <w:numPr>
          <w:ilvl w:val="0"/>
          <w:numId w:val="2"/>
        </w:numPr>
        <w:spacing w:after="50" w:before="50" w:line="280"/>
      </w:pPr>
      <w:r>
        <w:rPr>
          <w:rFonts w:ascii="Arial" w:cs="Arial" w:eastAsia="Arial" w:hAnsi="Arial"/>
          <w:b/>
          <w:bCs/>
          <w:color w:val="14181D"/>
          <w:sz w:val="20"/>
          <w:szCs w:val="20"/>
        </w:rPr>
        <w:t xml:space="preserve">4. </w:t>
      </w:r>
      <w:r>
        <w:rPr>
          <w:rFonts w:ascii="Arial" w:cs="Arial" w:eastAsia="Arial" w:hAnsi="Arial"/>
          <w:b/>
          <w:bCs/>
          <w:color w:val="14181D"/>
          <w:sz w:val="20"/>
          <w:szCs w:val="20"/>
        </w:rPr>
        <w:t xml:space="preserve">The concurrent-engagement figure</w:t>
      </w:r>
      <w:r>
        <w:rPr>
          <w:rFonts w:ascii="Arial" w:cs="Arial" w:eastAsia="Arial" w:hAnsi="Arial"/>
          <w:color w:val="14181D"/>
          <w:sz w:val="20"/>
          <w:szCs w:val="20"/>
        </w:rPr>
        <w:t xml:space="preserve"> in the production capacity answer.</w:t>
      </w:r>
    </w:p>
    <w:p>
      <w:pPr>
        <w:spacing w:after="90" w:before="90" w:line="280"/>
      </w:pPr>
      <w:r>
        <w:rPr>
          <w:rFonts w:ascii="Arial" w:cs="Arial" w:eastAsia="Arial" w:hAnsi="Arial"/>
          <w:color w:val="14181D"/>
          <w:sz w:val="20"/>
          <w:szCs w:val="20"/>
        </w:rPr>
        <w:t xml:space="preserve">Check the director's first and last name against Companies House before submitting. The entity check compares them, and "Ngolu Nseya" as a surname against a register that records it differently is a bounced registration for a reason that has nothing to do with the business.</w:t>
      </w:r>
    </w:p>
    <w:sectPr>
      <w:headerReference w:type="default" r:id="rId6"/>
      <w:footerReference w:type="default" r:id="rId7"/>
      <w:pgSz w:w="11906" w:h="16838" w:orient="portrait"/>
      <w:pgMar w:top="1100" w:right="1100" w:bottom="11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6672"/>
        <w:sz w:val="14"/>
        <w:szCs w:val="14"/>
      </w:rPr>
      <w:t xml:space="preserve">JNN GLOBAL LTD · 15405437          </w:t>
    </w:r>
    <w:r>
      <w:rPr>
        <w:rFonts w:ascii="Arial" w:cs="Arial" w:eastAsia="Arial" w:hAnsi="Arial"/>
        <w:color w:val="5B6672"/>
        <w:sz w:val="14"/>
        <w:szCs w:val="14"/>
      </w:rPr>
      <w:fldChar w:fldCharType="begin"/>
      <w:instrText xml:space="preserve">PAGE</w:instrText>
      <w:fldChar w:fldCharType="separate"/>
      <w:fldChar w:fldCharType="end"/>
    </w:r>
    <w:r>
      <w:rPr>
        <w:rFonts w:ascii="Arial" w:cs="Arial" w:eastAsia="Arial" w:hAnsi="Arial"/>
        <w:color w:val="5B6672"/>
        <w:sz w:val="14"/>
        <w:szCs w:val="14"/>
      </w:rPr>
      <w:t xml:space="preserve"> of </w:t>
    </w:r>
    <w:r>
      <w:rPr>
        <w:rFonts w:ascii="Arial" w:cs="Arial" w:eastAsia="Arial" w:hAnsi="Arial"/>
        <w:color w:val="5B6672"/>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FE6D2" w:sz="4" w:space="4"/>
      </w:pBdr>
      <w:jc w:val="right"/>
    </w:pPr>
    <w:r>
      <w:rPr>
        <w:rFonts w:ascii="Arial" w:cs="Arial" w:eastAsia="Arial" w:hAnsi="Arial"/>
        <w:color w:val="5B6672"/>
        <w:sz w:val="14"/>
        <w:szCs w:val="14"/>
      </w:rPr>
      <w:t xml:space="preserve">ETABLIX · Siemens Energy supplier collaboration form — answers, field by field · Rev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00"/>
      </w:pPr>
      <w:rPr>
        <w:rFonts w:ascii="Arial" w:cs="Arial" w:eastAsia="Arial" w:hAnsi="Arial"/>
        <w:b/>
        <w:bCs/>
        <w:color w:val="9C7A3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181D"/>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SIEMENS ENERGY SUPPLIER COLLABORATION FORM — ANSWERS, FIELD BY FIELD</dc:title>
  <dc:creator>ETABLIX — Integrated Site Services</dc:creator>
  <dc:description>ETABLIX SIEMENS ENERGY SUPPLIER COLLABORATION FORM — ANSWERS, FIELD BY FIELD</dc:description>
  <cp:lastModifiedBy>Un-named</cp:lastModifiedBy>
  <cp:revision>1</cp:revision>
  <dcterms:created xsi:type="dcterms:W3CDTF">2026-10-15T16:52:42.599Z</dcterms:created>
  <dcterms:modified xsi:type="dcterms:W3CDTF">2026-10-15T16:52:42.599Z</dcterms:modified>
</cp:coreProperties>
</file>

<file path=docProps/custom.xml><?xml version="1.0" encoding="utf-8"?>
<Properties xmlns="http://schemas.openxmlformats.org/officeDocument/2006/custom-properties" xmlns:vt="http://schemas.openxmlformats.org/officeDocument/2006/docPropsVTypes"/>
</file>