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GE VERNOVA HAS INVITED US TO REGISTER AS A SUPPLIER</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 Vernova has invited us to register as a supplier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business/marketing/ge-vernova-supplier-invitation.md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Marc Townsend, Renewable Energy → GRID Solutions → United Kingdom. An invitation to register on Supplier Connect (SCx), with a personal, pre-defined link.</w:t>
      </w:r>
    </w:p>
    <w:p>
      <w:pPr>
        <w:spacing w:after="90" w:before="90" w:line="280"/>
      </w:pPr>
      <w:r>
        <w:rPr>
          <w:rFonts w:ascii="Arial" w:cs="Arial" w:eastAsia="Arial" w:hAnsi="Arial"/>
          <w:b/>
          <w:bCs/>
          <w:color w:val="14181D"/>
          <w:sz w:val="20"/>
          <w:szCs w:val="20"/>
        </w:rPr>
        <w:t xml:space="preserve">This is inbound.</w:t>
      </w:r>
      <w:r>
        <w:rPr>
          <w:rFonts w:ascii="Arial" w:cs="Arial" w:eastAsia="Arial" w:hAnsi="Arial"/>
          <w:color w:val="14181D"/>
          <w:sz w:val="20"/>
          <w:szCs w:val="20"/>
        </w:rPr>
        <w:t xml:space="preserve"> The 2027 stand-down was a decision not to pitch GE Vernova. It was never a decision to refuse them. Responding to an invitation is not pitching, and the stand-down held long enough for them to come to us — which is exactly what it was for.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Why it matters more than anything else in the pipeline</w:t>
      </w:r>
    </w:p>
    <w:p>
      <w:pPr>
        <w:spacing w:after="90" w:before="90" w:line="280"/>
      </w:pPr>
      <w:r>
        <w:rPr>
          <w:rFonts w:ascii="Arial" w:cs="Arial" w:eastAsia="Arial" w:hAnsi="Arial"/>
          <w:color w:val="14181D"/>
          <w:sz w:val="20"/>
          <w:szCs w:val="20"/>
        </w:rPr>
        <w:t xml:space="preserve">It answers three separate problems with one process.</w:t>
      </w:r>
    </w:p>
    <w:p>
      <w:pPr>
        <w:spacing w:after="90" w:before="90" w:line="280"/>
      </w:pPr>
      <w:r>
        <w:rPr>
          <w:rFonts w:ascii="Arial" w:cs="Arial" w:eastAsia="Arial" w:hAnsi="Arial"/>
          <w:b/>
          <w:bCs/>
          <w:color w:val="14181D"/>
          <w:sz w:val="20"/>
          <w:szCs w:val="20"/>
        </w:rPr>
        <w:t xml:space="preserve">Income.</w:t>
      </w:r>
      <w:r>
        <w:rPr>
          <w:rFonts w:ascii="Arial" w:cs="Arial" w:eastAsia="Arial" w:hAnsi="Arial"/>
          <w:color w:val="14181D"/>
          <w:sz w:val="20"/>
          <w:szCs w:val="20"/>
        </w:rPr>
        <w:t xml:space="preserve"> GE Vernova issues a purchase order before work is performed and pays electronically. That is a clean, PO-backed revenue route with a customer who has already decided it wants the supplier on its books.</w:t>
      </w:r>
    </w:p>
    <w:p>
      <w:pPr>
        <w:spacing w:after="90" w:before="90" w:line="280"/>
      </w:pPr>
      <w:r>
        <w:rPr>
          <w:rFonts w:ascii="Arial" w:cs="Arial" w:eastAsia="Arial" w:hAnsi="Arial"/>
          <w:b/>
          <w:bCs/>
          <w:color w:val="14181D"/>
          <w:sz w:val="20"/>
          <w:szCs w:val="20"/>
        </w:rPr>
        <w:t xml:space="preserve">The contract example.</w:t>
      </w:r>
      <w:r>
        <w:rPr>
          <w:rFonts w:ascii="Arial" w:cs="Arial" w:eastAsia="Arial" w:hAnsi="Arial"/>
          <w:color w:val="14181D"/>
          <w:sz w:val="20"/>
          <w:szCs w:val="20"/>
        </w:rPr>
        <w:t xml:space="preserve"> A purchase order to JNN GLOBAL LTD is a contract performed by </w:t>
      </w:r>
      <w:r>
        <w:rPr>
          <w:rFonts w:ascii="Arial" w:cs="Arial" w:eastAsia="Arial" w:hAnsi="Arial"/>
          <w:b/>
          <w:bCs/>
          <w:color w:val="14181D"/>
          <w:sz w:val="20"/>
          <w:szCs w:val="20"/>
        </w:rPr>
        <w:t xml:space="preserve">the bidding entity</w:t>
      </w:r>
      <w:r>
        <w:rPr>
          <w:rFonts w:ascii="Arial" w:cs="Arial" w:eastAsia="Arial" w:hAnsi="Arial"/>
          <w:color w:val="14181D"/>
          <w:sz w:val="20"/>
          <w:szCs w:val="20"/>
        </w:rPr>
        <w:t xml:space="preserve"> — the exact thing the GCA confirmed is required at DPSQ Question 53 and that no document could substitute for. No minimum value. A completed phase is enough.</w:t>
      </w:r>
    </w:p>
    <w:p>
      <w:pPr>
        <w:spacing w:after="90" w:before="90" w:line="280"/>
      </w:pPr>
      <w:r>
        <w:rPr>
          <w:rFonts w:ascii="Arial" w:cs="Arial" w:eastAsia="Arial" w:hAnsi="Arial"/>
          <w:b/>
          <w:bCs/>
          <w:color w:val="14181D"/>
          <w:sz w:val="20"/>
          <w:szCs w:val="20"/>
        </w:rPr>
        <w:t xml:space="preserve">The referee.</w:t>
      </w:r>
      <w:r>
        <w:rPr>
          <w:rFonts w:ascii="Arial" w:cs="Arial" w:eastAsia="Arial" w:hAnsi="Arial"/>
          <w:color w:val="14181D"/>
          <w:sz w:val="20"/>
          <w:szCs w:val="20"/>
        </w:rPr>
        <w:t xml:space="preserve"> They employed the director for three years on this precise scope. A GE Vernova sourcing manager confirming delivery is worth more than any reference this company could otherwise obtain.</w:t>
      </w:r>
    </w:p>
    <w:p>
      <w:pPr>
        <w:spacing w:after="90" w:before="90" w:line="280"/>
      </w:pPr>
      <w:r>
        <w:rPr>
          <w:rFonts w:ascii="Arial" w:cs="Arial" w:eastAsia="Arial" w:hAnsi="Arial"/>
          <w:color w:val="14181D"/>
          <w:sz w:val="20"/>
          <w:szCs w:val="20"/>
        </w:rPr>
        <w:t xml:space="preserve">Nothing else available does all three. The twelve stalled procurement threads are all waiting on the thing this one route produces.</w:t>
      </w:r>
    </w:p>
    <w:p>
      <w:pPr>
        <w:pStyle w:val="Heading1"/>
        <w:keepNext/>
        <w:pBdr>
          <w:bottom w:val="single" w:color="9C7A3C" w:sz="8" w:space="6"/>
        </w:pBdr>
        <w:spacing w:after="150" w:before="380"/>
      </w:pPr>
      <w:r>
        <w:rPr>
          <w:rFonts w:ascii="Arial" w:cs="Arial" w:eastAsia="Arial" w:hAnsi="Arial"/>
          <w:b/>
          <w:bCs/>
          <w:color w:val="14181D"/>
          <w:sz w:val="26"/>
          <w:szCs w:val="26"/>
        </w:rPr>
        <w:t xml:space="preserve">It is still not instant, and the agency track must continue</w:t>
      </w:r>
    </w:p>
    <w:p>
      <w:pPr>
        <w:spacing w:after="90" w:before="90" w:line="280"/>
      </w:pPr>
      <w:r>
        <w:rPr>
          <w:rFonts w:ascii="Arial" w:cs="Arial" w:eastAsia="Arial" w:hAnsi="Arial"/>
          <w:color w:val="14181D"/>
          <w:sz w:val="20"/>
          <w:szCs w:val="20"/>
        </w:rPr>
        <w:t xml:space="preserve">Registration, background screening and supplier approval take weeks. After approval, a purchase order needs a requisitioner with a live need and a budget line. Realistically that is four to ten weeks to a first PO, and that is only if a need already exists — which the invitation suggests but does not prove.</w:t>
      </w:r>
    </w:p>
    <w:p>
      <w:pPr>
        <w:spacing w:after="90" w:before="90" w:line="280"/>
      </w:pPr>
      <w:r>
        <w:rPr>
          <w:rFonts w:ascii="Arial" w:cs="Arial" w:eastAsia="Arial" w:hAnsi="Arial"/>
          <w:color w:val="14181D"/>
          <w:sz w:val="20"/>
          <w:szCs w:val="20"/>
        </w:rPr>
        <w:t xml:space="preserve">Four to ten weeks sits inside a three-month window, but not comfortably. </w:t>
      </w:r>
      <w:r>
        <w:rPr>
          <w:rFonts w:ascii="Arial" w:cs="Arial" w:eastAsia="Arial" w:hAnsi="Arial"/>
          <w:b/>
          <w:bCs/>
          <w:color w:val="14181D"/>
          <w:sz w:val="20"/>
          <w:szCs w:val="20"/>
        </w:rPr>
        <w:t xml:space="preserve">Run the transmission contract-agency approaches in parallel.</w:t>
      </w:r>
      <w:r>
        <w:rPr>
          <w:rFonts w:ascii="Arial" w:cs="Arial" w:eastAsia="Arial" w:hAnsi="Arial"/>
          <w:color w:val="14181D"/>
          <w:sz w:val="20"/>
          <w:szCs w:val="20"/>
        </w:rPr>
        <w:t xml:space="preserve"> If GE Vernova lands first, the agency conversations cost nothing. If it slips, they are the only thing between here and arrears.</w:t>
      </w:r>
    </w:p>
    <w:p>
      <w:pPr>
        <w:pStyle w:val="Heading1"/>
        <w:keepNext/>
        <w:pBdr>
          <w:bottom w:val="single" w:color="9C7A3C" w:sz="8" w:space="6"/>
        </w:pBdr>
        <w:spacing w:after="150" w:before="380"/>
      </w:pPr>
      <w:r>
        <w:rPr>
          <w:rFonts w:ascii="Arial" w:cs="Arial" w:eastAsia="Arial" w:hAnsi="Arial"/>
          <w:b/>
          <w:bCs/>
          <w:color w:val="14181D"/>
          <w:sz w:val="26"/>
          <w:szCs w:val="26"/>
        </w:rPr>
        <w:t xml:space="preserve">Five things to get right in the application</w:t>
      </w:r>
    </w:p>
    <w:p>
      <w:pPr>
        <w:spacing w:after="90" w:before="90" w:line="280"/>
      </w:pPr>
      <w:r>
        <w:rPr>
          <w:rFonts w:ascii="Arial" w:cs="Arial" w:eastAsia="Arial" w:hAnsi="Arial"/>
          <w:b/>
          <w:bCs/>
          <w:color w:val="14181D"/>
          <w:sz w:val="20"/>
          <w:szCs w:val="20"/>
        </w:rPr>
        <w:t xml:space="preserve">1. The personal link, in Chrome, by the director.</w:t>
      </w:r>
      <w:r>
        <w:rPr>
          <w:rFonts w:ascii="Arial" w:cs="Arial" w:eastAsia="Arial" w:hAnsi="Arial"/>
          <w:color w:val="14181D"/>
          <w:sz w:val="20"/>
          <w:szCs w:val="20"/>
        </w:rPr>
        <w:t xml:space="preserve"> The email states the invitation is pre-defined for the recipient and must not be forwarded. Use that link, in Google Chrome, and do not send it to anybody.</w:t>
      </w:r>
    </w:p>
    <w:p>
      <w:pPr>
        <w:spacing w:after="90" w:before="90" w:line="280"/>
      </w:pPr>
      <w:r>
        <w:rPr>
          <w:rFonts w:ascii="Arial" w:cs="Arial" w:eastAsia="Arial" w:hAnsi="Arial"/>
          <w:b/>
          <w:bCs/>
          <w:color w:val="14181D"/>
          <w:sz w:val="20"/>
          <w:szCs w:val="20"/>
        </w:rPr>
        <w:t xml:space="preserve">2. Bank details go straight into the portal and nowhere else.</w:t>
      </w:r>
      <w:r>
        <w:rPr>
          <w:rFonts w:ascii="Arial" w:cs="Arial" w:eastAsia="Arial" w:hAnsi="Arial"/>
          <w:color w:val="14181D"/>
          <w:sz w:val="20"/>
          <w:szCs w:val="20"/>
        </w:rPr>
        <w:t xml:space="preserve"> They are needed for electronic payment. They go from the director's hands into SCx directly — never into an email, a document, a chat window, a note, or any file in this repository. The same applies to the UTR and any tax document. Nobody needs a copy, including anybody helping.</w:t>
      </w:r>
    </w:p>
    <w:p>
      <w:pPr>
        <w:spacing w:after="90" w:before="90" w:line="280"/>
      </w:pPr>
      <w:r>
        <w:rPr>
          <w:rFonts w:ascii="Arial" w:cs="Arial" w:eastAsia="Arial" w:hAnsi="Arial"/>
          <w:b/>
          <w:bCs/>
          <w:color w:val="14181D"/>
          <w:sz w:val="20"/>
          <w:szCs w:val="20"/>
        </w:rPr>
        <w:t xml:space="preserve">3. Certifications: say none, plainly.</w:t>
      </w:r>
      <w:r>
        <w:rPr>
          <w:rFonts w:ascii="Arial" w:cs="Arial" w:eastAsia="Arial" w:hAnsi="Arial"/>
          <w:color w:val="14181D"/>
          <w:sz w:val="20"/>
          <w:szCs w:val="20"/>
        </w:rPr>
        <w:t xml:space="preserve"> The form asks about CTPAT, diversity and ISO. ETABLIX holds no ISO certification and no SSIP registration. Answer that honestly and leave it. A nil answer is normal for a new supplier and is not a pass/fail gate at registration. A claimed certification found to be absent is the one thing that ends a supplier relationship before it starts, and this is a company whose invitation letter opens with </w:t>
      </w:r>
      <w:r>
        <w:rPr>
          <w:rFonts w:ascii="Arial" w:cs="Arial" w:eastAsia="Arial" w:hAnsi="Arial"/>
          <w:i/>
          <w:iCs/>
          <w:color w:val="14181D"/>
          <w:sz w:val="20"/>
          <w:szCs w:val="20"/>
        </w:rPr>
        <w:t xml:space="preserve">unyielding integrity</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4. Declare the former employment before anyone has to find it.</w:t>
      </w:r>
      <w:r>
        <w:rPr>
          <w:rFonts w:ascii="Arial" w:cs="Arial" w:eastAsia="Arial" w:hAnsi="Arial"/>
          <w:color w:val="14181D"/>
          <w:sz w:val="20"/>
          <w:szCs w:val="20"/>
        </w:rPr>
        <w:t xml:space="preserve"> The director was a GE Vernova employee until December 2025 and is now applying to be a supplier to the same business unit. Many organisations have conflict-of-interest rules or cooling-off expectations about exactly this. If the application has a conflicts field, state it there. If it does not, state it in writing to Marc Townsend anyway.</w:t>
      </w:r>
    </w:p>
    <w:p>
      <w:pPr>
        <w:spacing w:after="90" w:before="90" w:line="280"/>
      </w:pPr>
      <w:r>
        <w:rPr>
          <w:rFonts w:ascii="Arial" w:cs="Arial" w:eastAsia="Arial" w:hAnsi="Arial"/>
          <w:color w:val="14181D"/>
          <w:sz w:val="20"/>
          <w:szCs w:val="20"/>
        </w:rPr>
        <w:t xml:space="preserve">It is not a problem if declared and it is a serious problem if discovered. And it is the cheapest possible demonstration of the integrity the Supplier Integrity Guide asks for.</w:t>
      </w:r>
    </w:p>
    <w:p>
      <w:pPr>
        <w:spacing w:after="90" w:before="90" w:line="280"/>
      </w:pPr>
      <w:r>
        <w:rPr>
          <w:rFonts w:ascii="Arial" w:cs="Arial" w:eastAsia="Arial" w:hAnsi="Arial"/>
          <w:b/>
          <w:bCs/>
          <w:color w:val="14181D"/>
          <w:sz w:val="20"/>
          <w:szCs w:val="20"/>
        </w:rPr>
        <w:t xml:space="preserve">5. Read the attached NDA before acknowledging it — specifically for the reference clause.</w:t>
      </w:r>
      <w:r>
        <w:rPr>
          <w:rFonts w:ascii="Arial" w:cs="Arial" w:eastAsia="Arial" w:hAnsi="Arial"/>
          <w:color w:val="14181D"/>
          <w:sz w:val="20"/>
          <w:szCs w:val="20"/>
        </w:rPr>
        <w:t xml:space="preserve"> The whole procurement value of this engagement depends on being able to say GE Vernova was a customer and to have them countersign an Attachment 1a.</w:t>
      </w:r>
    </w:p>
    <w:p>
      <w:pPr>
        <w:spacing w:after="90" w:before="90" w:line="280"/>
      </w:pPr>
      <w:r>
        <w:rPr>
          <w:rFonts w:ascii="Arial" w:cs="Arial" w:eastAsia="Arial" w:hAnsi="Arial"/>
          <w:color w:val="14181D"/>
          <w:sz w:val="20"/>
          <w:szCs w:val="20"/>
        </w:rPr>
        <w:t xml:space="preserve">If the NDA prevents naming them or describing the work, that value disappears while the income remains. So read it, and if it is restrictive, ask Marc Townsend in writing for permission to name GE Vernova as a reference customer and to have a confirmation of services countersigned on completion. Ask at registration, not after the first PO. A request made while they are onboarding you is routine; the same request made later is a negotiation.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reverses the advice on insurance</w:t>
      </w:r>
    </w:p>
    <w:p>
      <w:pPr>
        <w:spacing w:after="90" w:before="90" w:line="280"/>
      </w:pPr>
      <w:r>
        <w:rPr>
          <w:rFonts w:ascii="Arial" w:cs="Arial" w:eastAsia="Arial" w:hAnsi="Arial"/>
          <w:color w:val="14181D"/>
          <w:sz w:val="20"/>
          <w:szCs w:val="20"/>
        </w:rPr>
        <w:t xml:space="preserve">The earlier plan said to spend nothing on Cyber Essentials or insurance until there was income, because they are prerequisites for framework </w:t>
      </w:r>
      <w:r>
        <w:rPr>
          <w:rFonts w:ascii="Arial" w:cs="Arial" w:eastAsia="Arial" w:hAnsi="Arial"/>
          <w:b/>
          <w:bCs/>
          <w:color w:val="14181D"/>
          <w:sz w:val="20"/>
          <w:szCs w:val="20"/>
        </w:rPr>
        <w:t xml:space="preserve">appointment</w:t>
      </w:r>
      <w:r>
        <w:rPr>
          <w:rFonts w:ascii="Arial" w:cs="Arial" w:eastAsia="Arial" w:hAnsi="Arial"/>
          <w:color w:val="14181D"/>
          <w:sz w:val="20"/>
          <w:szCs w:val="20"/>
        </w:rPr>
        <w:t xml:space="preserve"> rather than registration, and the frameworks are open for four years.</w:t>
      </w:r>
    </w:p>
    <w:p>
      <w:pPr>
        <w:spacing w:after="90" w:before="90" w:line="280"/>
      </w:pPr>
      <w:r>
        <w:rPr>
          <w:rFonts w:ascii="Arial" w:cs="Arial" w:eastAsia="Arial" w:hAnsi="Arial"/>
          <w:b/>
          <w:bCs/>
          <w:color w:val="14181D"/>
          <w:sz w:val="20"/>
          <w:szCs w:val="20"/>
        </w:rPr>
        <w:t xml:space="preserve">Insurance now moves to the front.</w:t>
      </w:r>
      <w:r>
        <w:rPr>
          <w:rFonts w:ascii="Arial" w:cs="Arial" w:eastAsia="Arial" w:hAnsi="Arial"/>
          <w:color w:val="14181D"/>
          <w:sz w:val="20"/>
          <w:szCs w:val="20"/>
        </w:rPr>
        <w:t xml:space="preserve"> A tier-one contractor onboarding a supplier will require evidence of professional indemnity and public liability, and employers' liability where applicable, and will require it before a purchase order rather than after. That is no longer speculative spend against a maybe; it is a condition of the one live revenue route. Get quotes this week.</w:t>
      </w:r>
    </w:p>
    <w:p>
      <w:pPr>
        <w:spacing w:after="90" w:before="90" w:line="280"/>
      </w:pPr>
      <w:r>
        <w:rPr>
          <w:rFonts w:ascii="Arial" w:cs="Arial" w:eastAsia="Arial" w:hAnsi="Arial"/>
          <w:b/>
          <w:bCs/>
          <w:color w:val="14181D"/>
          <w:sz w:val="20"/>
          <w:szCs w:val="20"/>
        </w:rPr>
        <w:t xml:space="preserve">Cyber Essentials stays where it was</w:t>
      </w:r>
      <w:r>
        <w:rPr>
          <w:rFonts w:ascii="Arial" w:cs="Arial" w:eastAsia="Arial" w:hAnsi="Arial"/>
          <w:color w:val="14181D"/>
          <w:sz w:val="20"/>
          <w:szCs w:val="20"/>
        </w:rPr>
        <w:t xml:space="preserve"> — useful, mandatory for DPS appointment, not required to receive a purchase order. It can wait until there is money.</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question the reply has to ask</w:t>
      </w:r>
    </w:p>
    <w:p>
      <w:pPr>
        <w:spacing w:after="90" w:before="90" w:line="280"/>
      </w:pPr>
      <w:r>
        <w:rPr>
          <w:rFonts w:ascii="Arial" w:cs="Arial" w:eastAsia="Arial" w:hAnsi="Arial"/>
          <w:color w:val="14181D"/>
          <w:sz w:val="20"/>
          <w:szCs w:val="20"/>
        </w:rPr>
        <w:t xml:space="preserve">Register first, then write. The question that matters is </w:t>
      </w:r>
      <w:r>
        <w:rPr>
          <w:rFonts w:ascii="Arial" w:cs="Arial" w:eastAsia="Arial" w:hAnsi="Arial"/>
          <w:b/>
          <w:bCs/>
          <w:color w:val="14181D"/>
          <w:sz w:val="20"/>
          <w:szCs w:val="20"/>
        </w:rPr>
        <w:t xml:space="preserve">what service category and commodity codes to register under</w:t>
      </w:r>
      <w:r>
        <w:rPr>
          <w:rFonts w:ascii="Arial" w:cs="Arial" w:eastAsia="Arial" w:hAnsi="Arial"/>
          <w:color w:val="14181D"/>
          <w:sz w:val="20"/>
          <w:szCs w:val="20"/>
        </w:rPr>
        <w:t xml:space="preserve">, because that determines what a requisitioner can raise a purchase order against.</w:t>
      </w:r>
    </w:p>
    <w:p>
      <w:pPr>
        <w:spacing w:after="90" w:before="90" w:line="280"/>
      </w:pPr>
      <w:r>
        <w:rPr>
          <w:rFonts w:ascii="Arial" w:cs="Arial" w:eastAsia="Arial" w:hAnsi="Arial"/>
          <w:color w:val="14181D"/>
          <w:sz w:val="20"/>
          <w:szCs w:val="20"/>
        </w:rPr>
        <w:t xml:space="preserve">Registered under the wrong category, the account approves and no PO can be raised through it without a change request. The scope to name is the one the director already performed there: site establishment and workforce accommodation — specification, procurement, integration, mobilisation, daily operation, demobilisation and reinstatement — and construction subcontract management.</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GE Vernova has invited us to register as a supplier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 VERNOVA HAS INVITED US TO REGISTER AS A SUPPLIER</dc:title>
  <dc:creator>ETABLIX — Integrated Site Services</dc:creator>
  <dc:description>ETABLIX GE VERNOVA HAS INVITED US TO REGISTER AS A SUPPLIER</dc:description>
  <cp:lastModifiedBy>Un-named</cp:lastModifiedBy>
  <cp:revision>1</cp:revision>
  <dcterms:created xsi:type="dcterms:W3CDTF">2026-10-05T09:09:33.296Z</dcterms:created>
  <dcterms:modified xsi:type="dcterms:W3CDTF">2026-10-05T09:09:33.296Z</dcterms:modified>
</cp:coreProperties>
</file>

<file path=docProps/custom.xml><?xml version="1.0" encoding="utf-8"?>
<Properties xmlns="http://schemas.openxmlformats.org/officeDocument/2006/custom-properties" xmlns:vt="http://schemas.openxmlformats.org/officeDocument/2006/docPropsVTypes"/>
</file>