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THREE MONTHS OF RUNWAY: WHAT ACTUALLY PAYS THE MORTGAGE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months of runway: what actually pays the mortgage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business/strategy/three-months.md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arithmetic, said once and plainly</w:t>
      </w:r>
    </w:p>
    <w:p>
      <w:pPr>
        <w:spacing w:after="90" w:before="90" w:line="280"/>
      </w:pPr>
      <w:r>
        <w:rPr>
          <w:rFonts w:ascii="Arial" w:cs="Arial" w:eastAsia="Arial" w:hAnsi="Arial"/>
          <w:b/>
          <w:bCs/>
          <w:color w:val="14181D"/>
          <w:sz w:val="20"/>
          <w:szCs w:val="20"/>
        </w:rPr>
        <w:t xml:space="preserve">ETABLIX will not pay a mortgage within three months.</w:t>
      </w:r>
      <w:r>
        <w:rPr>
          <w:rFonts w:ascii="Arial" w:cs="Arial" w:eastAsia="Arial" w:hAnsi="Arial"/>
          <w:color w:val="14181D"/>
          <w:sz w:val="20"/>
          <w:szCs w:val="20"/>
        </w:rPr>
        <w:t xml:space="preserve"> Not because the proposition is wrong — the GCA just confirmed in writing that the diagnostic is a qualifying contract example, which is real validation — but because of the cycle. A new company with no completed contract, no insurance in place and no certification sells its first advisory engagement in two to six months from first contact, and a single small diagnostic does not cover three months of a household.</w:t>
      </w:r>
    </w:p>
    <w:p>
      <w:pPr>
        <w:spacing w:after="90" w:before="90" w:line="280"/>
      </w:pPr>
      <w:r>
        <w:rPr>
          <w:rFonts w:ascii="Arial" w:cs="Arial" w:eastAsia="Arial" w:hAnsi="Arial"/>
          <w:color w:val="14181D"/>
          <w:sz w:val="20"/>
          <w:szCs w:val="20"/>
        </w:rPr>
        <w:t xml:space="preserve">Pretending otherwise would be the most expensive thing in this document. So the plan below has two tracks, and </w:t>
      </w:r>
      <w:r>
        <w:rPr>
          <w:rFonts w:ascii="Arial" w:cs="Arial" w:eastAsia="Arial" w:hAnsi="Arial"/>
          <w:b/>
          <w:bCs/>
          <w:color w:val="14181D"/>
          <w:sz w:val="20"/>
          <w:szCs w:val="20"/>
        </w:rPr>
        <w:t xml:space="preserve">the first one is not ETABLIX.</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A has changed. GE Vernova came to us.</w:t>
      </w:r>
    </w:p>
    <w:p>
      <w:pPr>
        <w:spacing w:after="90" w:before="90" w:line="280"/>
      </w:pPr>
      <w:r>
        <w:rPr>
          <w:rFonts w:ascii="Arial" w:cs="Arial" w:eastAsia="Arial" w:hAnsi="Arial"/>
          <w:color w:val="14181D"/>
          <w:sz w:val="20"/>
          <w:szCs w:val="20"/>
        </w:rPr>
        <w:t xml:space="preserve">On 5 October 2026 Marc Townsend, GRID Solutions UK, invited ETABLIX to register as a supplier on GE Vernova Supplier Connect. That invitation is now the best route in this plan and it supersedes the ordering below, because a purchase order to JNN GLOBAL LTD is income, the contract example the GCA requires, and a referee who has watched the director deliver — all from one process.</w:t>
      </w:r>
    </w:p>
    <w:p>
      <w:pPr>
        <w:spacing w:after="90" w:before="90" w:line="280"/>
      </w:pPr>
      <w:r>
        <w:rPr>
          <w:rFonts w:ascii="Arial" w:cs="Arial" w:eastAsia="Arial" w:hAnsi="Arial"/>
          <w:b/>
          <w:bCs/>
          <w:color w:val="14181D"/>
          <w:sz w:val="20"/>
          <w:szCs w:val="20"/>
        </w:rPr>
        <w:t xml:space="preserve">It does not replace the agency track, it leads it.</w:t>
      </w:r>
      <w:r>
        <w:rPr>
          <w:rFonts w:ascii="Arial" w:cs="Arial" w:eastAsia="Arial" w:hAnsi="Arial"/>
          <w:color w:val="14181D"/>
          <w:sz w:val="20"/>
          <w:szCs w:val="20"/>
        </w:rPr>
        <w:t xml:space="preserve"> Registration, screening and approval take weeks, and a purchase order then needs a requisitioner with a live need. Four to ten weeks is realistic, which fits inside three months but not comfortably. The agency approaches below cost nothing if GE Vernova lands first and are the only thing standing between here and arrears if it slips.</w:t>
      </w:r>
    </w:p>
    <w:p>
      <w:pPr>
        <w:spacing w:after="90" w:before="90" w:line="280"/>
      </w:pPr>
      <w:r>
        <w:rPr>
          <w:rFonts w:ascii="Arial" w:cs="Arial" w:eastAsia="Arial" w:hAnsi="Arial"/>
          <w:color w:val="14181D"/>
          <w:sz w:val="20"/>
          <w:szCs w:val="20"/>
        </w:rPr>
        <w:t xml:space="preserve">Full detail, including the five things to get right in the application and the NDA clause that has to be read before it is acknowledged, is in </w:t>
      </w:r>
      <w:r>
        <w:rPr>
          <w:rFonts w:ascii="Arial" w:cs="Arial" w:eastAsia="Arial" w:hAnsi="Arial"/>
          <w:i/>
          <w:iCs/>
          <w:color w:val="14181D"/>
          <w:sz w:val="20"/>
          <w:szCs w:val="20"/>
        </w:rPr>
        <w:t xml:space="preserve">business/marketing/ge-vernova-supplier-invitation.md</w:t>
      </w:r>
      <w:r>
        <w:rPr>
          <w:rFonts w:ascii="Arial" w:cs="Arial" w:eastAsia="Arial" w:hAnsi="Arial"/>
          <w:color w:val="14181D"/>
          <w:sz w:val="20"/>
          <w:szCs w:val="20"/>
        </w:rPr>
        <w:t xml:space="preserv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A (the general case) — contract back into the market you know</w:t>
      </w:r>
    </w:p>
    <w:p>
      <w:pPr>
        <w:spacing w:after="90" w:before="90" w:line="280"/>
      </w:pPr>
      <w:r>
        <w:rPr>
          <w:rFonts w:ascii="Arial" w:cs="Arial" w:eastAsia="Arial" w:hAnsi="Arial"/>
          <w:b/>
          <w:bCs/>
          <w:color w:val="14181D"/>
          <w:sz w:val="20"/>
          <w:szCs w:val="20"/>
        </w:rPr>
        <w:t xml:space="preserve">Contract back into the transmission market, through JNN GLOBAL LTD.</w:t>
      </w:r>
    </w:p>
    <w:p>
      <w:pPr>
        <w:spacing w:after="90" w:before="90" w:line="280"/>
      </w:pPr>
      <w:r>
        <w:rPr>
          <w:rFonts w:ascii="Arial" w:cs="Arial" w:eastAsia="Arial" w:hAnsi="Arial"/>
          <w:color w:val="14181D"/>
          <w:sz w:val="20"/>
          <w:szCs w:val="20"/>
        </w:rPr>
        <w:t xml:space="preserve">The market is live and it is named. In April 2026 National Grid appointed thirteen contractors to a dynamic framework for a substation works surge. SSEN Transmission is letting 400 kV substation work under the £10 billion Accelerated Strategic Transmission Investment framework — BAM and Siemens Energy took Greens in Aberdeenshire. The top tier for EPC substation construction is BAM Nuttall, Costain, Laing O'Rourke, Siemens Energy and Skanska, all competing for turnkey schemes on live 400 kV sites.</w:t>
      </w:r>
    </w:p>
    <w:p>
      <w:pPr>
        <w:spacing w:after="90" w:before="90" w:line="280"/>
      </w:pPr>
      <w:r>
        <w:rPr>
          <w:rFonts w:ascii="Arial" w:cs="Arial" w:eastAsia="Arial" w:hAnsi="Arial"/>
          <w:color w:val="14181D"/>
          <w:sz w:val="20"/>
          <w:szCs w:val="20"/>
        </w:rPr>
        <w:t xml:space="preserve">Every one of those firms is staffing up right now for work they have just won. And the profile they cannot find enough of is </w:t>
      </w:r>
      <w:r>
        <w:rPr>
          <w:rFonts w:ascii="Arial" w:cs="Arial" w:eastAsia="Arial" w:hAnsi="Arial"/>
          <w:b/>
          <w:bCs/>
          <w:color w:val="14181D"/>
          <w:sz w:val="20"/>
          <w:szCs w:val="20"/>
        </w:rPr>
        <w:t xml:space="preserve">exactly</w:t>
      </w:r>
      <w:r>
        <w:rPr>
          <w:rFonts w:ascii="Arial" w:cs="Arial" w:eastAsia="Arial" w:hAnsi="Arial"/>
          <w:color w:val="14181D"/>
          <w:sz w:val="20"/>
          <w:szCs w:val="20"/>
        </w:rPr>
        <w:t xml:space="preserve"> the one on the CV: chartered construction manager, HV substation and overhead line delivery, subcontract management, Primavera P6, NEC, CEMAR, three years inside GE Vernova Grid Solutions on precisely this type of scheme, across the UK and Ireland.</w:t>
      </w:r>
    </w:p>
    <w:p>
      <w:pPr>
        <w:spacing w:after="90" w:before="90" w:line="280"/>
      </w:pPr>
      <w:r>
        <w:rPr>
          <w:rFonts w:ascii="Arial" w:cs="Arial" w:eastAsia="Arial" w:hAnsi="Arial"/>
          <w:color w:val="14181D"/>
          <w:sz w:val="20"/>
          <w:szCs w:val="20"/>
        </w:rPr>
        <w:t xml:space="preserve">That is a day-rate market and it moves in weeks, not months. Two or three agency conversations will establish the current rate far better than any guess here.</w:t>
      </w:r>
    </w:p>
    <w:p>
      <w:pPr>
        <w:pStyle w:val="Heading2"/>
        <w:keepNext/>
        <w:spacing w:after="110" w:before="260"/>
      </w:pPr>
      <w:r>
        <w:rPr>
          <w:rFonts w:ascii="Arial" w:cs="Arial" w:eastAsia="Arial" w:hAnsi="Arial"/>
          <w:b/>
          <w:bCs/>
          <w:color w:val="9C7A3C"/>
          <w:sz w:val="21"/>
          <w:szCs w:val="21"/>
        </w:rPr>
        <w:t xml:space="preserve">And here is the part that matters most</w:t>
      </w:r>
    </w:p>
    <w:p>
      <w:pPr>
        <w:spacing w:after="90" w:before="90" w:line="280"/>
      </w:pPr>
      <w:r>
        <w:rPr>
          <w:rFonts w:ascii="Arial" w:cs="Arial" w:eastAsia="Arial" w:hAnsi="Arial"/>
          <w:b/>
          <w:bCs/>
          <w:color w:val="14181D"/>
          <w:sz w:val="20"/>
          <w:szCs w:val="20"/>
        </w:rPr>
        <w:t xml:space="preserve">If the engagement is contracted to JNN GLOBAL LTD rather than to you personally, it is a contract performed by the bidding entity.</w:t>
      </w:r>
    </w:p>
    <w:p>
      <w:pPr>
        <w:spacing w:after="90" w:before="90" w:line="280"/>
      </w:pPr>
      <w:r>
        <w:rPr>
          <w:rFonts w:ascii="Arial" w:cs="Arial" w:eastAsia="Arial" w:hAnsi="Arial"/>
          <w:color w:val="14181D"/>
          <w:sz w:val="20"/>
          <w:szCs w:val="20"/>
        </w:rPr>
        <w:t xml:space="preserve">Re-read what the GCA confirmed: a contract example is valid where the organisation acted as </w:t>
      </w:r>
      <w:r>
        <w:rPr>
          <w:rFonts w:ascii="Arial" w:cs="Arial" w:eastAsia="Arial" w:hAnsi="Arial"/>
          <w:b/>
          <w:bCs/>
          <w:color w:val="14181D"/>
          <w:sz w:val="20"/>
          <w:szCs w:val="20"/>
        </w:rPr>
        <w:t xml:space="preserve">prime contractor, sub-contractor, or a member of a Group of Economic Operators.</w:t>
      </w:r>
      <w:r>
        <w:rPr>
          <w:rFonts w:ascii="Arial" w:cs="Arial" w:eastAsia="Arial" w:hAnsi="Arial"/>
          <w:color w:val="14181D"/>
          <w:sz w:val="20"/>
          <w:szCs w:val="20"/>
        </w:rPr>
        <w:t xml:space="preserve"> There is no minimum value. A completed project phase counts, where all deliverables for that phase are finished. It must fall within the technical service filters selected, and construction project management and subcontract management sit squarely inside Construction Professional Services.</w:t>
      </w:r>
    </w:p>
    <w:p>
      <w:pPr>
        <w:spacing w:after="90" w:before="90" w:line="280"/>
      </w:pPr>
      <w:r>
        <w:rPr>
          <w:rFonts w:ascii="Arial" w:cs="Arial" w:eastAsia="Arial" w:hAnsi="Arial"/>
          <w:color w:val="14181D"/>
          <w:sz w:val="20"/>
          <w:szCs w:val="20"/>
        </w:rPr>
        <w:t xml:space="preserve">So a contract role, structured correctly, produces:</w:t>
      </w:r>
    </w:p>
    <w:p>
      <w:pPr>
        <w:pStyle w:val="ListParagraph"/>
        <w:numPr>
          <w:ilvl w:val="0"/>
          <w:numId w:val="2"/>
        </w:numPr>
        <w:spacing w:after="50" w:before="50" w:line="280"/>
      </w:pPr>
      <w:r>
        <w:rPr>
          <w:rFonts w:ascii="Arial" w:cs="Arial" w:eastAsia="Arial" w:hAnsi="Arial"/>
          <w:b/>
          <w:bCs/>
          <w:color w:val="14181D"/>
          <w:sz w:val="20"/>
          <w:szCs w:val="20"/>
        </w:rPr>
        <w:t xml:space="preserve">Income inside weeks</w:t>
      </w:r>
      <w:r>
        <w:rPr>
          <w:rFonts w:ascii="Arial" w:cs="Arial" w:eastAsia="Arial" w:hAnsi="Arial"/>
          <w:color w:val="14181D"/>
          <w:sz w:val="20"/>
          <w:szCs w:val="20"/>
        </w:rPr>
        <w:t xml:space="preserve">, which is the actual problem.</w:t>
      </w:r>
    </w:p>
    <w:p>
      <w:pPr>
        <w:pStyle w:val="ListParagraph"/>
        <w:numPr>
          <w:ilvl w:val="0"/>
          <w:numId w:val="2"/>
        </w:numPr>
        <w:spacing w:after="50" w:before="50" w:line="280"/>
      </w:pPr>
      <w:r>
        <w:rPr>
          <w:rFonts w:ascii="Arial" w:cs="Arial" w:eastAsia="Arial" w:hAnsi="Arial"/>
          <w:b/>
          <w:bCs/>
          <w:color w:val="14181D"/>
          <w:sz w:val="20"/>
          <w:szCs w:val="20"/>
        </w:rPr>
        <w:t xml:space="preserve">The completed contract example</w:t>
      </w:r>
      <w:r>
        <w:rPr>
          <w:rFonts w:ascii="Arial" w:cs="Arial" w:eastAsia="Arial" w:hAnsi="Arial"/>
          <w:color w:val="14181D"/>
          <w:sz w:val="20"/>
          <w:szCs w:val="20"/>
        </w:rPr>
        <w:t xml:space="preserve"> that every single one of the twelve stalled procurement threads is waiting for.</w:t>
      </w:r>
    </w:p>
    <w:p>
      <w:pPr>
        <w:pStyle w:val="ListParagraph"/>
        <w:numPr>
          <w:ilvl w:val="0"/>
          <w:numId w:val="2"/>
        </w:numPr>
        <w:spacing w:after="50" w:before="50" w:line="280"/>
      </w:pPr>
      <w:r>
        <w:rPr>
          <w:rFonts w:ascii="Arial" w:cs="Arial" w:eastAsia="Arial" w:hAnsi="Arial"/>
          <w:b/>
          <w:bCs/>
          <w:color w:val="14181D"/>
          <w:sz w:val="20"/>
          <w:szCs w:val="20"/>
        </w:rPr>
        <w:t xml:space="preserve">A customer who can sign Attachment 1a</w:t>
      </w:r>
      <w:r>
        <w:rPr>
          <w:rFonts w:ascii="Arial" w:cs="Arial" w:eastAsia="Arial" w:hAnsi="Arial"/>
          <w:color w:val="14181D"/>
          <w:sz w:val="20"/>
          <w:szCs w:val="20"/>
        </w:rPr>
        <w:t xml:space="preserve">, and who has just watched you deliver.</w:t>
      </w:r>
    </w:p>
    <w:p>
      <w:pPr>
        <w:spacing w:after="90" w:before="90" w:line="280"/>
      </w:pPr>
      <w:r>
        <w:rPr>
          <w:rFonts w:ascii="Arial" w:cs="Arial" w:eastAsia="Arial" w:hAnsi="Arial"/>
          <w:color w:val="14181D"/>
          <w:sz w:val="20"/>
          <w:szCs w:val="20"/>
        </w:rPr>
        <w:t xml:space="preserve">One decision closes the cash gap and unlocks the framework. Nothing else available does both.</w:t>
      </w:r>
    </w:p>
    <w:p>
      <w:pPr>
        <w:pStyle w:val="Heading2"/>
        <w:keepNext/>
        <w:spacing w:after="110" w:before="260"/>
      </w:pPr>
      <w:r>
        <w:rPr>
          <w:rFonts w:ascii="Arial" w:cs="Arial" w:eastAsia="Arial" w:hAnsi="Arial"/>
          <w:b/>
          <w:bCs/>
          <w:color w:val="9C7A3C"/>
          <w:sz w:val="21"/>
          <w:szCs w:val="21"/>
        </w:rPr>
        <w:t xml:space="preserve">The three conditions, and they are not optional</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It must be a business-to-business contract with JNN GLOBAL LTD as the supplier.</w:t>
      </w:r>
      <w:r>
        <w:rPr>
          <w:rFonts w:ascii="Arial" w:cs="Arial" w:eastAsia="Arial" w:hAnsi="Arial"/>
          <w:color w:val="14181D"/>
          <w:sz w:val="20"/>
          <w:szCs w:val="20"/>
        </w:rPr>
        <w:t xml:space="preserve"> An umbrella arrangement or agency PAYE is employment. It pays the mortgage and it produces nothing for the DPS. Push for outside-IR35 or direct-to-client engagements for this reason, and say so to the agencies — it is a normal thing for a limited company contractor to insist on.</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Ask about the confirmation of works at the start, not the end.</w:t>
      </w:r>
      <w:r>
        <w:rPr>
          <w:rFonts w:ascii="Arial" w:cs="Arial" w:eastAsia="Arial" w:hAnsi="Arial"/>
          <w:color w:val="14181D"/>
          <w:sz w:val="20"/>
          <w:szCs w:val="20"/>
        </w:rPr>
        <w:t xml:space="preserve"> Put it in the engagement letter: on completion of each defined phase, the client will be asked to countersign a short confirmation of the services delivered. Asked at scoping it is a formality. Asked six weeks after the final invoice it is a favour.</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Check with the GCA who may sign</w:t>
      </w:r>
      <w:r>
        <w:rPr>
          <w:rFonts w:ascii="Arial" w:cs="Arial" w:eastAsia="Arial" w:hAnsi="Arial"/>
          <w:color w:val="14181D"/>
          <w:sz w:val="20"/>
          <w:szCs w:val="20"/>
        </w:rPr>
        <w:t xml:space="preserve"> where the contract is through an agency — the agency is your customer, but confirm whether Attachment 1a may be signed by the agency or must be signed by the end client. One email, asked before the engagement rather than after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B — the fastest realistic ETABLIX money</w:t>
      </w:r>
    </w:p>
    <w:p>
      <w:pPr>
        <w:spacing w:after="90" w:before="90" w:line="280"/>
      </w:pPr>
      <w:r>
        <w:rPr>
          <w:rFonts w:ascii="Arial" w:cs="Arial" w:eastAsia="Arial" w:hAnsi="Arial"/>
          <w:color w:val="14181D"/>
          <w:sz w:val="20"/>
          <w:szCs w:val="20"/>
        </w:rPr>
        <w:t xml:space="preserve">Run this alongside, in the evenings. Three rules:</w:t>
      </w:r>
    </w:p>
    <w:p>
      <w:pPr>
        <w:spacing w:after="90" w:before="90" w:line="280"/>
      </w:pPr>
      <w:r>
        <w:rPr>
          <w:rFonts w:ascii="Arial" w:cs="Arial" w:eastAsia="Arial" w:hAnsi="Arial"/>
          <w:b/>
          <w:bCs/>
          <w:color w:val="14181D"/>
          <w:sz w:val="20"/>
          <w:szCs w:val="20"/>
        </w:rPr>
        <w:t xml:space="preserve">Warm only.</w:t>
      </w:r>
      <w:r>
        <w:rPr>
          <w:rFonts w:ascii="Arial" w:cs="Arial" w:eastAsia="Arial" w:hAnsi="Arial"/>
          <w:color w:val="14181D"/>
          <w:sz w:val="20"/>
          <w:szCs w:val="20"/>
        </w:rPr>
        <w:t xml:space="preserve"> Twelve procurement threads produced no revenue. Three live referral routes exist and former colleagues at Mott MacDonald, Turner &amp; Townsend, the West Midlands Combined Authority and GE Vernova are the warmest market available. Cold outreach has a six-week lead time to a decision and cannot land inside the window.</w:t>
      </w:r>
    </w:p>
    <w:p>
      <w:pPr>
        <w:spacing w:after="90" w:before="90" w:line="280"/>
      </w:pPr>
      <w:r>
        <w:rPr>
          <w:rFonts w:ascii="Arial" w:cs="Arial" w:eastAsia="Arial" w:hAnsi="Arial"/>
          <w:b/>
          <w:bCs/>
          <w:color w:val="14181D"/>
          <w:sz w:val="20"/>
          <w:szCs w:val="20"/>
        </w:rPr>
        <w:t xml:space="preserve">Small enough to avoid procurement.</w:t>
      </w:r>
      <w:r>
        <w:rPr>
          <w:rFonts w:ascii="Arial" w:cs="Arial" w:eastAsia="Arial" w:hAnsi="Arial"/>
          <w:color w:val="14181D"/>
          <w:sz w:val="20"/>
          <w:szCs w:val="20"/>
        </w:rPr>
        <w:t xml:space="preserve"> The reason a first sale stalls is not price, it is the approval route. Most organisations let a manager approve low-value professional services on a purchase order without a tender. Price the first engagement to sit under that threshold deliberately. A small invoice paid this quarter is worth more than a large proposal in a procurement queue, and the Attachment 1a is identical either way.</w:t>
      </w:r>
    </w:p>
    <w:p>
      <w:pPr>
        <w:spacing w:after="90" w:before="90" w:line="280"/>
      </w:pPr>
      <w:r>
        <w:rPr>
          <w:rFonts w:ascii="Arial" w:cs="Arial" w:eastAsia="Arial" w:hAnsi="Arial"/>
          <w:b/>
          <w:bCs/>
          <w:color w:val="14181D"/>
          <w:sz w:val="20"/>
          <w:szCs w:val="20"/>
        </w:rPr>
        <w:t xml:space="preserve">Approach as a supplier, never as a candidate.</w:t>
      </w:r>
      <w:r>
        <w:rPr>
          <w:rFonts w:ascii="Arial" w:cs="Arial" w:eastAsia="Arial" w:hAnsi="Arial"/>
          <w:color w:val="14181D"/>
          <w:sz w:val="20"/>
          <w:szCs w:val="20"/>
        </w:rPr>
        <w:t xml:space="preserve"> The AtkinsRéalis notice is the lesson: a capability email carrying a curriculum vitae reads as an agency touting a person, and the answer is a supplier-code notice against the whole company. Describe what the company does. Never attach the CV.</w:t>
      </w:r>
    </w:p>
    <w:p>
      <w:pPr>
        <w:pStyle w:val="Heading1"/>
        <w:keepNext/>
        <w:pBdr>
          <w:bottom w:val="single" w:color="9C7A3C" w:sz="8" w:space="6"/>
        </w:pBdr>
        <w:spacing w:after="150" w:before="380"/>
      </w:pPr>
      <w:r>
        <w:rPr>
          <w:rFonts w:ascii="Arial" w:cs="Arial" w:eastAsia="Arial" w:hAnsi="Arial"/>
          <w:b/>
          <w:bCs/>
          <w:color w:val="14181D"/>
          <w:sz w:val="26"/>
          <w:szCs w:val="26"/>
        </w:rPr>
        <w:t xml:space="preserve">AZES: real work, no money. Three consequences.</w:t>
      </w:r>
    </w:p>
    <w:p>
      <w:pPr>
        <w:spacing w:after="90" w:before="90" w:line="280"/>
      </w:pPr>
      <w:r>
        <w:rPr>
          <w:rFonts w:ascii="Arial" w:cs="Arial" w:eastAsia="Arial" w:hAnsi="Arial"/>
          <w:color w:val="14181D"/>
          <w:sz w:val="20"/>
          <w:szCs w:val="20"/>
        </w:rPr>
        <w:t xml:space="preserve">The appointment has mobilised and the role is being performed. What has not started is </w:t>
      </w:r>
      <w:r>
        <w:rPr>
          <w:rFonts w:ascii="Arial" w:cs="Arial" w:eastAsia="Arial" w:hAnsi="Arial"/>
          <w:b/>
          <w:bCs/>
          <w:color w:val="14181D"/>
          <w:sz w:val="20"/>
          <w:szCs w:val="20"/>
        </w:rPr>
        <w:t xml:space="preserve">payment</w:t>
      </w:r>
      <w:r>
        <w:rPr>
          <w:rFonts w:ascii="Arial" w:cs="Arial" w:eastAsia="Arial" w:hAnsi="Arial"/>
          <w:color w:val="14181D"/>
          <w:sz w:val="20"/>
          <w:szCs w:val="20"/>
        </w:rPr>
        <w:t xml:space="preserve">, which is subject to senior Congolese ministerial approval and may take a long time or may never come.</w:t>
      </w:r>
    </w:p>
    <w:p>
      <w:pPr>
        <w:spacing w:after="90" w:before="90" w:line="280"/>
      </w:pPr>
      <w:r>
        <w:rPr>
          <w:rFonts w:ascii="Arial" w:cs="Arial" w:eastAsia="Arial" w:hAnsi="Arial"/>
          <w:color w:val="14181D"/>
          <w:sz w:val="20"/>
          <w:szCs w:val="20"/>
        </w:rPr>
        <w:t xml:space="preserve">So it is not a title to be discounted — it is a genuine current senior delivery role — and that changes three things.</w:t>
      </w:r>
    </w:p>
    <w:p>
      <w:pPr>
        <w:pStyle w:val="Heading2"/>
        <w:keepNext/>
        <w:spacing w:after="110" w:before="260"/>
      </w:pPr>
      <w:r>
        <w:rPr>
          <w:rFonts w:ascii="Arial" w:cs="Arial" w:eastAsia="Arial" w:hAnsi="Arial"/>
          <w:b/>
          <w:bCs/>
          <w:color w:val="9C7A3C"/>
          <w:sz w:val="21"/>
          <w:szCs w:val="21"/>
        </w:rPr>
        <w:t xml:space="preserve">1. It stays in the record, in full</w:t>
      </w:r>
    </w:p>
    <w:p>
      <w:pPr>
        <w:spacing w:after="90" w:before="90" w:line="280"/>
      </w:pPr>
      <w:r>
        <w:rPr>
          <w:rFonts w:ascii="Arial" w:cs="Arial" w:eastAsia="Arial" w:hAnsi="Arial"/>
          <w:i/>
          <w:iCs/>
          <w:color w:val="14181D"/>
          <w:sz w:val="20"/>
          <w:szCs w:val="20"/>
        </w:rPr>
        <w:t xml:space="preserve">Director's Relevant Experience</w:t>
      </w:r>
      <w:r>
        <w:rPr>
          <w:rFonts w:ascii="Arial" w:cs="Arial" w:eastAsia="Arial" w:hAnsi="Arial"/>
          <w:color w:val="14181D"/>
          <w:sz w:val="20"/>
          <w:szCs w:val="20"/>
        </w:rPr>
        <w:t xml:space="preserve"> describes the responsibilities held, as a current role should. </w:t>
      </w:r>
      <w:r>
        <w:rPr>
          <w:rFonts w:ascii="Arial" w:cs="Arial" w:eastAsia="Arial" w:hAnsi="Arial"/>
          <w:b/>
          <w:bCs/>
          <w:color w:val="14181D"/>
          <w:sz w:val="20"/>
          <w:szCs w:val="20"/>
        </w:rPr>
        <w:t xml:space="preserve">The pay position is deliberately not in it.</w:t>
      </w:r>
      <w:r>
        <w:rPr>
          <w:rFonts w:ascii="Arial" w:cs="Arial" w:eastAsia="Arial" w:hAnsi="Arial"/>
          <w:color w:val="14181D"/>
          <w:sz w:val="20"/>
          <w:szCs w:val="20"/>
        </w:rPr>
        <w:t xml:space="preserve"> It is a private commercial matter, it says nothing about technical and professional ability, and volunteering it would invite a question about financial standing that the accounts have already answered on their own terms.</w:t>
      </w:r>
    </w:p>
    <w:p>
      <w:pPr>
        <w:pStyle w:val="Heading2"/>
        <w:keepNext/>
        <w:spacing w:after="110" w:before="260"/>
      </w:pPr>
      <w:r>
        <w:rPr>
          <w:rFonts w:ascii="Arial" w:cs="Arial" w:eastAsia="Arial" w:hAnsi="Arial"/>
          <w:b/>
          <w:bCs/>
          <w:color w:val="9C7A3C"/>
          <w:sz w:val="21"/>
          <w:szCs w:val="21"/>
        </w:rPr>
        <w:t xml:space="preserve">2. But the CV still needs fixing today, for a different reason</w:t>
      </w:r>
    </w:p>
    <w:p>
      <w:pPr>
        <w:spacing w:after="90" w:before="90" w:line="280"/>
      </w:pPr>
      <w:r>
        <w:rPr>
          <w:rFonts w:ascii="Arial" w:cs="Arial" w:eastAsia="Arial" w:hAnsi="Arial"/>
          <w:color w:val="14181D"/>
          <w:sz w:val="20"/>
          <w:szCs w:val="20"/>
        </w:rPr>
        <w:t xml:space="preserve">The CV opens: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AGENCE DES ZONES ÉCONOMIQUES SPÉCIALES (AZES RDC) Technical Director of Operations (Contract) | Jan 2026 – Present</w:t>
      </w:r>
    </w:p>
    <w:p>
      <w:pPr>
        <w:spacing w:after="90" w:before="90" w:line="280"/>
      </w:pPr>
      <w:r>
        <w:rPr>
          <w:rFonts w:ascii="Arial" w:cs="Arial" w:eastAsia="Arial" w:hAnsi="Arial"/>
          <w:color w:val="14181D"/>
          <w:sz w:val="20"/>
          <w:szCs w:val="20"/>
        </w:rPr>
        <w:t xml:space="preserve">A resourcing manager at a tier-one contractor reads the top third and nothing else, and what that says is </w:t>
      </w:r>
      <w:r>
        <w:rPr>
          <w:rFonts w:ascii="Arial" w:cs="Arial" w:eastAsia="Arial" w:hAnsi="Arial"/>
          <w:i/>
          <w:iCs/>
          <w:color w:val="14181D"/>
          <w:sz w:val="20"/>
          <w:szCs w:val="20"/>
        </w:rPr>
        <w:t xml:space="preserve">currently a sitting executive in the DRC</w:t>
      </w:r>
      <w:r>
        <w:rPr>
          <w:rFonts w:ascii="Arial" w:cs="Arial" w:eastAsia="Arial" w:hAnsi="Arial"/>
          <w:color w:val="14181D"/>
          <w:sz w:val="20"/>
          <w:szCs w:val="20"/>
        </w:rPr>
        <w:t xml:space="preserve">. Not available, probably expensive, certainly not taking a site-based contract in Aberdeenshire. </w:t>
      </w:r>
      <w:r>
        <w:rPr>
          <w:rFonts w:ascii="Arial" w:cs="Arial" w:eastAsia="Arial" w:hAnsi="Arial"/>
          <w:b/>
          <w:bCs/>
          <w:color w:val="14181D"/>
          <w:sz w:val="20"/>
          <w:szCs w:val="20"/>
        </w:rPr>
        <w:t xml:space="preserve">It is a stop sign on the first thing they read.</w:t>
      </w:r>
    </w:p>
    <w:p>
      <w:pPr>
        <w:spacing w:after="90" w:before="90" w:line="280"/>
      </w:pPr>
      <w:r>
        <w:rPr>
          <w:rFonts w:ascii="Arial" w:cs="Arial" w:eastAsia="Arial" w:hAnsi="Arial"/>
          <w:color w:val="14181D"/>
          <w:sz w:val="20"/>
          <w:szCs w:val="20"/>
        </w:rPr>
        <w:t xml:space="preserve">The fix is not to diminish the role — it is real and it is senior. It is to remove the ambiguity about availability:</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One line directly under the name</w:t>
      </w:r>
      <w:r>
        <w:rPr>
          <w:rFonts w:ascii="Arial" w:cs="Arial" w:eastAsia="Arial" w:hAnsi="Arial"/>
          <w:color w:val="14181D"/>
          <w:sz w:val="20"/>
          <w:szCs w:val="20"/>
        </w:rPr>
        <w:t xml:space="preserve">, before anything else: </w:t>
      </w:r>
      <w:r>
        <w:rPr>
          <w:rFonts w:ascii="Arial" w:cs="Arial" w:eastAsia="Arial" w:hAnsi="Arial"/>
          <w:i/>
          <w:iCs/>
          <w:color w:val="14181D"/>
          <w:sz w:val="20"/>
          <w:szCs w:val="20"/>
        </w:rPr>
        <w:t xml:space="preserve">Available immediately for UK contract · Limited company (JNN GLOBAL LTD) · Outside IR35 preferred · UK-wide and Ireland.</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Make GE Vernova the first employer on the page.</w:t>
      </w:r>
      <w:r>
        <w:rPr>
          <w:rFonts w:ascii="Arial" w:cs="Arial" w:eastAsia="Arial" w:hAnsi="Arial"/>
          <w:color w:val="14181D"/>
          <w:sz w:val="20"/>
          <w:szCs w:val="20"/>
        </w:rPr>
        <w:t xml:space="preserve"> Most recent UK delivery, the market being applied to, and three years of exactly what those thirteen newly appointed framework contractors are staffing for. AZES sits below it.</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Qualify the AZES line on time, not on substance</w:t>
      </w:r>
      <w:r>
        <w:rPr>
          <w:rFonts w:ascii="Arial" w:cs="Arial" w:eastAsia="Arial" w:hAnsi="Arial"/>
          <w:color w:val="14181D"/>
          <w:sz w:val="20"/>
          <w:szCs w:val="20"/>
        </w:rPr>
        <w:t xml:space="preserve"> — if the role is part-time, remote or advisory in practice, say so in the title, because that single word is what turns "unavailable" into "available". If it is genuinely full-time, see the next point.</w:t>
      </w:r>
    </w:p>
    <w:p>
      <w:pPr>
        <w:pStyle w:val="Heading2"/>
        <w:keepNext/>
        <w:spacing w:after="110" w:before="260"/>
      </w:pPr>
      <w:r>
        <w:rPr>
          <w:rFonts w:ascii="Arial" w:cs="Arial" w:eastAsia="Arial" w:hAnsi="Arial"/>
          <w:b/>
          <w:bCs/>
          <w:color w:val="9C7A3C"/>
          <w:sz w:val="21"/>
          <w:szCs w:val="21"/>
        </w:rPr>
        <w:t xml:space="preserve">3. The hard one: unpaid full-time work cannot continue through this window</w:t>
      </w:r>
    </w:p>
    <w:p>
      <w:pPr>
        <w:spacing w:after="90" w:before="90" w:line="280"/>
      </w:pPr>
      <w:r>
        <w:rPr>
          <w:rFonts w:ascii="Arial" w:cs="Arial" w:eastAsia="Arial" w:hAnsi="Arial"/>
          <w:color w:val="14181D"/>
          <w:sz w:val="20"/>
          <w:szCs w:val="20"/>
        </w:rPr>
        <w:t xml:space="preserve">If AZES is taking most of a working week with no income against it, that is the single largest claim on the only resource there is. Facing mortgage trouble in three months while working an unpaid week is not sustainable, and no amount of goodwill towards the programme changes the arithmetic.</w:t>
      </w:r>
    </w:p>
    <w:p>
      <w:pPr>
        <w:spacing w:after="90" w:before="90" w:line="280"/>
      </w:pPr>
      <w:r>
        <w:rPr>
          <w:rFonts w:ascii="Arial" w:cs="Arial" w:eastAsia="Arial" w:hAnsi="Arial"/>
          <w:color w:val="14181D"/>
          <w:sz w:val="20"/>
          <w:szCs w:val="20"/>
        </w:rPr>
        <w:t xml:space="preserve">This is not a recommendation to abandon it. It is a recommendation to </w:t>
      </w:r>
      <w:r>
        <w:rPr>
          <w:rFonts w:ascii="Arial" w:cs="Arial" w:eastAsia="Arial" w:hAnsi="Arial"/>
          <w:b/>
          <w:bCs/>
          <w:color w:val="14181D"/>
          <w:sz w:val="20"/>
          <w:szCs w:val="20"/>
        </w:rPr>
        <w:t xml:space="preserve">put it on a footing that leaves time to earn</w:t>
      </w:r>
      <w:r>
        <w:rPr>
          <w:rFonts w:ascii="Arial" w:cs="Arial" w:eastAsia="Arial" w:hAnsi="Arial"/>
          <w:color w:val="14181D"/>
          <w:sz w:val="20"/>
          <w:szCs w:val="20"/>
        </w:rPr>
        <w:t xml:space="preserve">: reduce to an agreed number of days, agree a written date by which remuneration begins, and be straightforward with them about why. An agency that values the appointment will accommodate it. One that will not has told you what the appointment is worth.</w:t>
      </w:r>
    </w:p>
    <w:p>
      <w:pPr>
        <w:pStyle w:val="Heading2"/>
        <w:keepNext/>
        <w:spacing w:after="110" w:before="260"/>
      </w:pPr>
      <w:r>
        <w:rPr>
          <w:rFonts w:ascii="Arial" w:cs="Arial" w:eastAsia="Arial" w:hAnsi="Arial"/>
          <w:b/>
          <w:bCs/>
          <w:color w:val="9C7A3C"/>
          <w:sz w:val="21"/>
          <w:szCs w:val="21"/>
        </w:rPr>
        <w:t xml:space="preserve">And one thing worth asking them this week</w:t>
      </w:r>
    </w:p>
    <w:p>
      <w:pPr>
        <w:spacing w:after="90" w:before="90" w:line="280"/>
      </w:pPr>
      <w:r>
        <w:rPr>
          <w:rFonts w:ascii="Arial" w:cs="Arial" w:eastAsia="Arial" w:hAnsi="Arial"/>
          <w:color w:val="14181D"/>
          <w:sz w:val="20"/>
          <w:szCs w:val="20"/>
        </w:rPr>
        <w:t xml:space="preserve">If JNN GLOBAL LTD is the contracting party for the AZES appointment — not the director personally — and any defined phase of work is complete, </w:t>
      </w:r>
      <w:r>
        <w:rPr>
          <w:rFonts w:ascii="Arial" w:cs="Arial" w:eastAsia="Arial" w:hAnsi="Arial"/>
          <w:b/>
          <w:bCs/>
          <w:color w:val="14181D"/>
          <w:sz w:val="20"/>
          <w:szCs w:val="20"/>
        </w:rPr>
        <w:t xml:space="preserve">AZES could countersign an Attachment 1a.</w:t>
      </w:r>
      <w:r>
        <w:rPr>
          <w:rFonts w:ascii="Arial" w:cs="Arial" w:eastAsia="Arial" w:hAnsi="Arial"/>
          <w:color w:val="14181D"/>
          <w:sz w:val="20"/>
          <w:szCs w:val="20"/>
        </w:rPr>
        <w:t xml:space="preserve"> That would be a completed contract example delivered by the bidding entity, which is the single thing holding up every procurement thread.</w:t>
      </w:r>
    </w:p>
    <w:p>
      <w:pPr>
        <w:spacing w:after="90" w:before="90" w:line="280"/>
      </w:pPr>
      <w:r>
        <w:rPr>
          <w:rFonts w:ascii="Arial" w:cs="Arial" w:eastAsia="Arial" w:hAnsi="Arial"/>
          <w:color w:val="14181D"/>
          <w:sz w:val="20"/>
          <w:szCs w:val="20"/>
        </w:rPr>
        <w:t xml:space="preserve">Two conditions to check before relying on it: who the contract is actually with, and whether an agency awaiting its own funding approval will put a signature on a confirmation of services. It costs one email to find out, and the upside is the whole procurement pipeline.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conversation to have this week, before anything else</w:t>
      </w:r>
    </w:p>
    <w:p>
      <w:pPr>
        <w:spacing w:after="90" w:before="90" w:line="280"/>
      </w:pPr>
      <w:r>
        <w:rPr>
          <w:rFonts w:ascii="Arial" w:cs="Arial" w:eastAsia="Arial" w:hAnsi="Arial"/>
          <w:b/>
          <w:bCs/>
          <w:color w:val="14181D"/>
          <w:sz w:val="20"/>
          <w:szCs w:val="20"/>
        </w:rPr>
        <w:t xml:space="preserve">Telephone the mortgage lender now, while the account is up to date.</w:t>
      </w:r>
      <w:r>
        <w:rPr>
          <w:rFonts w:ascii="Arial" w:cs="Arial" w:eastAsia="Arial" w:hAnsi="Arial"/>
          <w:color w:val="14181D"/>
          <w:sz w:val="20"/>
          <w:szCs w:val="20"/>
        </w:rPr>
        <w:t xml:space="preserve"> This is the single highest-value hour in the whole plan and it costs nothing.</w:t>
      </w:r>
    </w:p>
    <w:p>
      <w:pPr>
        <w:spacing w:after="90" w:before="90" w:line="280"/>
      </w:pPr>
      <w:r>
        <w:rPr>
          <w:rFonts w:ascii="Arial" w:cs="Arial" w:eastAsia="Arial" w:hAnsi="Arial"/>
          <w:color w:val="14181D"/>
          <w:sz w:val="20"/>
          <w:szCs w:val="20"/>
        </w:rPr>
        <w:t xml:space="preserve">A lender dealing with a customer who is in good standing and says "my income stopped, here is my plan, I need breathing space" has real options available, and is regulated to treat customers in financial difficulty fairly. The usual ones are a payment deferral, a temporary switch to interest only, or extending the term to reduce the monthly payment. All of them are easier to arrange </w:t>
      </w:r>
      <w:r>
        <w:rPr>
          <w:rFonts w:ascii="Arial" w:cs="Arial" w:eastAsia="Arial" w:hAnsi="Arial"/>
          <w:b/>
          <w:bCs/>
          <w:color w:val="14181D"/>
          <w:sz w:val="20"/>
          <w:szCs w:val="20"/>
        </w:rPr>
        <w:t xml:space="preserve">before</w:t>
      </w:r>
      <w:r>
        <w:rPr>
          <w:rFonts w:ascii="Arial" w:cs="Arial" w:eastAsia="Arial" w:hAnsi="Arial"/>
          <w:color w:val="14181D"/>
          <w:sz w:val="20"/>
          <w:szCs w:val="20"/>
        </w:rPr>
        <w:t xml:space="preserve"> a payment is missed. After arrears begin, the same conversation is harder and the credit consequences are already running.</w:t>
      </w:r>
    </w:p>
    <w:p>
      <w:pPr>
        <w:spacing w:after="90" w:before="90" w:line="280"/>
      </w:pPr>
      <w:r>
        <w:rPr>
          <w:rFonts w:ascii="Arial" w:cs="Arial" w:eastAsia="Arial" w:hAnsi="Arial"/>
          <w:b/>
          <w:bCs/>
          <w:color w:val="14181D"/>
          <w:sz w:val="20"/>
          <w:szCs w:val="20"/>
        </w:rPr>
        <w:t xml:space="preserve">Get free regulated advice rather than taking any of this as financial advice.</w:t>
      </w:r>
      <w:r>
        <w:rPr>
          <w:rFonts w:ascii="Arial" w:cs="Arial" w:eastAsia="Arial" w:hAnsi="Arial"/>
          <w:color w:val="14181D"/>
          <w:sz w:val="20"/>
          <w:szCs w:val="20"/>
        </w:rPr>
        <w:t xml:space="preserve"> StepChange, National Debtline and Citizens Advice are free, confidential, and deal with exactly this situation every day. They will also check whether there is any entitlement being left unclaimed, which after ten months may be material.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to stop doing</w:t>
      </w:r>
    </w:p>
    <w:p>
      <w:pPr>
        <w:spacing w:after="90" w:before="90" w:line="280"/>
      </w:pPr>
      <w:r>
        <w:rPr>
          <w:rFonts w:ascii="Arial" w:cs="Arial" w:eastAsia="Arial" w:hAnsi="Arial"/>
          <w:b/>
          <w:bCs/>
          <w:color w:val="14181D"/>
          <w:sz w:val="20"/>
          <w:szCs w:val="20"/>
        </w:rPr>
        <w:t xml:space="preserve">Stop applying to frameworks.</w:t>
      </w:r>
      <w:r>
        <w:rPr>
          <w:rFonts w:ascii="Arial" w:cs="Arial" w:eastAsia="Arial" w:hAnsi="Arial"/>
          <w:color w:val="14181D"/>
          <w:sz w:val="20"/>
          <w:szCs w:val="20"/>
        </w:rPr>
        <w:t xml:space="preserve"> Every one of them is blocked on the same thing, and no further submission changes that. The documents are built. They will be waiting when there is an Attachment 1a to attach.</w:t>
      </w:r>
    </w:p>
    <w:p>
      <w:pPr>
        <w:spacing w:after="90" w:before="90" w:line="280"/>
      </w:pPr>
      <w:r>
        <w:rPr>
          <w:rFonts w:ascii="Arial" w:cs="Arial" w:eastAsia="Arial" w:hAnsi="Arial"/>
          <w:b/>
          <w:bCs/>
          <w:color w:val="14181D"/>
          <w:sz w:val="20"/>
          <w:szCs w:val="20"/>
        </w:rPr>
        <w:t xml:space="preserve">Cyber Essentials can wait. Insurance cannot, and that is a change.</w:t>
      </w:r>
      <w:r>
        <w:rPr>
          <w:rFonts w:ascii="Arial" w:cs="Arial" w:eastAsia="Arial" w:hAnsi="Arial"/>
          <w:color w:val="14181D"/>
          <w:sz w:val="20"/>
          <w:szCs w:val="20"/>
        </w:rPr>
        <w:t xml:space="preserve"> This plan originally said to spend on neither until there was income, because both are prerequisites for framework </w:t>
      </w:r>
      <w:r>
        <w:rPr>
          <w:rFonts w:ascii="Arial" w:cs="Arial" w:eastAsia="Arial" w:hAnsi="Arial"/>
          <w:i/>
          <w:iCs/>
          <w:color w:val="14181D"/>
          <w:sz w:val="20"/>
          <w:szCs w:val="20"/>
        </w:rPr>
        <w:t xml:space="preserve">appointment</w:t>
      </w:r>
      <w:r>
        <w:rPr>
          <w:rFonts w:ascii="Arial" w:cs="Arial" w:eastAsia="Arial" w:hAnsi="Arial"/>
          <w:color w:val="14181D"/>
          <w:sz w:val="20"/>
          <w:szCs w:val="20"/>
        </w:rPr>
        <w:t xml:space="preserve"> rather than registration. The GE Vernova supplier invitation reverses it for insurance: a tier-one contractor onboarding a supplier requires evidence of professional indemnity and public liability before a purchase order, not after. That is no longer speculative spend against a maybe — it is a condition of the one live revenue route. Get quotes this week. Cyber Essentials stays where it was.</w:t>
      </w:r>
    </w:p>
    <w:p>
      <w:pPr>
        <w:spacing w:after="90" w:before="90" w:line="280"/>
      </w:pPr>
      <w:r>
        <w:rPr>
          <w:rFonts w:ascii="Arial" w:cs="Arial" w:eastAsia="Arial" w:hAnsi="Arial"/>
          <w:b/>
          <w:bCs/>
          <w:color w:val="14181D"/>
          <w:sz w:val="20"/>
          <w:szCs w:val="20"/>
        </w:rPr>
        <w:t xml:space="preserve">Do not build anything else.</w:t>
      </w:r>
      <w:r>
        <w:rPr>
          <w:rFonts w:ascii="Arial" w:cs="Arial" w:eastAsia="Arial" w:hAnsi="Arial"/>
          <w:color w:val="14181D"/>
          <w:sz w:val="20"/>
          <w:szCs w:val="20"/>
        </w:rPr>
        <w:t xml:space="preserve"> The platform, the sixteen agents, the policy set, the specimen and the bid documents are all finished to a standard well beyond what the current stage requires. More building is the most comfortable way to avoid selling, and it is the thing that has filled ten months.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Day</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Action</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Register on GE Vernova Supplier Connect, in Chrome, using the personal link. Bank details and tax references go straight into the portal and nowhere else.</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Telephone the mortgage lender. Then book a free advice appointment.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Read the attached GE Vernova NDA, specifically for anything restricting naming them as a reference customer.</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Update the LinkedIn headline to the contract market: chartered construction manager, HV substation and OHL delivery, available for contract.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Three agencies specialising in transmission and energy contract staffing. Say: limited company, outside IR35 preferred, available immediately.</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Direct approaches to the thirteen named National Grid framework contractors and the ASTI tier — supply chain and resourcing, not recruitment inboxes.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warm former colleagues. Not a pitch. "I have set up on my own doing site establishment specification — is there a single site you would let me look at?"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email to the GCA asking who may countersign Attachment 1a on an agency-routed contract.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The honest summary</w:t>
      </w:r>
    </w:p>
    <w:p>
      <w:pPr>
        <w:spacing w:after="90" w:before="90" w:line="280"/>
      </w:pPr>
      <w:r>
        <w:rPr>
          <w:rFonts w:ascii="Arial" w:cs="Arial" w:eastAsia="Arial" w:hAnsi="Arial"/>
          <w:color w:val="14181D"/>
          <w:sz w:val="20"/>
          <w:szCs w:val="20"/>
        </w:rPr>
        <w:t xml:space="preserve">The business is not the problem. The sequence was. Ten months went into building something genuinely good and into twelve applications that all terminate at the same locked door, and none of it could ever have produced cash in the window available.</w:t>
      </w:r>
    </w:p>
    <w:p>
      <w:pPr>
        <w:spacing w:after="90" w:before="90" w:line="280"/>
      </w:pPr>
      <w:r>
        <w:rPr>
          <w:rFonts w:ascii="Arial" w:cs="Arial" w:eastAsia="Arial" w:hAnsi="Arial"/>
          <w:b/>
          <w:bCs/>
          <w:color w:val="14181D"/>
          <w:sz w:val="20"/>
          <w:szCs w:val="20"/>
        </w:rPr>
        <w:t xml:space="preserve">The way out is to go back into the market you know, through your own company, and let that engagement be both the income and the contract example.</w:t>
      </w:r>
      <w:r>
        <w:rPr>
          <w:rFonts w:ascii="Arial" w:cs="Arial" w:eastAsia="Arial" w:hAnsi="Arial"/>
          <w:color w:val="14181D"/>
          <w:sz w:val="20"/>
          <w:szCs w:val="20"/>
        </w:rPr>
        <w:t xml:space="preserve"> Then ETABLIX has a signed Attachment 1a, a referee who has just watched you work, and a founder who is not three months from the wall.</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Three months of runway: what actually pays the mortgage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MONTHS OF RUNWAY: WHAT ACTUALLY PAYS THE MORTGAGE</dc:title>
  <dc:creator>ETABLIX — Integrated Site Services</dc:creator>
  <dc:description>ETABLIX THREE MONTHS OF RUNWAY: WHAT ACTUALLY PAYS THE MORTGAGE</dc:description>
  <cp:lastModifiedBy>Un-named</cp:lastModifiedBy>
  <cp:revision>1</cp:revision>
  <dcterms:created xsi:type="dcterms:W3CDTF">2026-10-05T09:10:04.297Z</dcterms:created>
  <dcterms:modified xsi:type="dcterms:W3CDTF">2026-10-05T09:10:04.298Z</dcterms:modified>
</cp:coreProperties>
</file>

<file path=docProps/custom.xml><?xml version="1.0" encoding="utf-8"?>
<Properties xmlns="http://schemas.openxmlformats.org/officeDocument/2006/custom-properties" xmlns:vt="http://schemas.openxmlformats.org/officeDocument/2006/docPropsVTypes"/>
</file>