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GE VERNOVA HAS INVITED US TO REGISTER AS A SUPPLIER</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 Vernova has invited us to register as a supplier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business/marketing/ge-vernova-supplier-invitation.md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color w:val="14181D"/>
          <w:sz w:val="20"/>
          <w:szCs w:val="20"/>
        </w:rPr>
        <w:t xml:space="preserve">Marc Townsend, Renewable Energy → GRID Solutions → United Kingdom. An invitation to register on Supplier Connect (SCx), with a personal, pre-defined link.</w:t>
      </w:r>
    </w:p>
    <w:p>
      <w:pPr>
        <w:spacing w:after="90" w:before="90" w:line="280"/>
      </w:pPr>
      <w:r>
        <w:rPr>
          <w:rFonts w:ascii="Arial" w:cs="Arial" w:eastAsia="Arial" w:hAnsi="Arial"/>
          <w:b/>
          <w:bCs/>
          <w:color w:val="14181D"/>
          <w:sz w:val="20"/>
          <w:szCs w:val="20"/>
        </w:rPr>
        <w:t xml:space="preserve">This is inbound.</w:t>
      </w:r>
      <w:r>
        <w:rPr>
          <w:rFonts w:ascii="Arial" w:cs="Arial" w:eastAsia="Arial" w:hAnsi="Arial"/>
          <w:color w:val="14181D"/>
          <w:sz w:val="20"/>
          <w:szCs w:val="20"/>
        </w:rPr>
        <w:t xml:space="preserve"> The 2027 stand-down was a decision not to pitch GE Vernova. It was never a decision to refuse them. Responding to an invitation is not pitching, and the stand-down held long enough for them to come to us — which is exactly what it was for.</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Why it matters more than anything else in the pipeline</w:t>
      </w:r>
    </w:p>
    <w:p>
      <w:pPr>
        <w:spacing w:after="90" w:before="90" w:line="280"/>
      </w:pPr>
      <w:r>
        <w:rPr>
          <w:rFonts w:ascii="Arial" w:cs="Arial" w:eastAsia="Arial" w:hAnsi="Arial"/>
          <w:color w:val="14181D"/>
          <w:sz w:val="20"/>
          <w:szCs w:val="20"/>
        </w:rPr>
        <w:t xml:space="preserve">It answers three separate problems with one process.</w:t>
      </w:r>
    </w:p>
    <w:p>
      <w:pPr>
        <w:spacing w:after="90" w:before="90" w:line="280"/>
      </w:pPr>
      <w:r>
        <w:rPr>
          <w:rFonts w:ascii="Arial" w:cs="Arial" w:eastAsia="Arial" w:hAnsi="Arial"/>
          <w:b/>
          <w:bCs/>
          <w:color w:val="14181D"/>
          <w:sz w:val="20"/>
          <w:szCs w:val="20"/>
        </w:rPr>
        <w:t xml:space="preserve">Income.</w:t>
      </w:r>
      <w:r>
        <w:rPr>
          <w:rFonts w:ascii="Arial" w:cs="Arial" w:eastAsia="Arial" w:hAnsi="Arial"/>
          <w:color w:val="14181D"/>
          <w:sz w:val="20"/>
          <w:szCs w:val="20"/>
        </w:rPr>
        <w:t xml:space="preserve"> GE Vernova issues a purchase order before work is performed and pays electronically. That is a clean, PO-backed revenue route with a customer who has already decided it wants the supplier on its books.</w:t>
      </w:r>
    </w:p>
    <w:p>
      <w:pPr>
        <w:spacing w:after="90" w:before="90" w:line="280"/>
      </w:pPr>
      <w:r>
        <w:rPr>
          <w:rFonts w:ascii="Arial" w:cs="Arial" w:eastAsia="Arial" w:hAnsi="Arial"/>
          <w:b/>
          <w:bCs/>
          <w:color w:val="14181D"/>
          <w:sz w:val="20"/>
          <w:szCs w:val="20"/>
        </w:rPr>
        <w:t xml:space="preserve">The contract example.</w:t>
      </w:r>
      <w:r>
        <w:rPr>
          <w:rFonts w:ascii="Arial" w:cs="Arial" w:eastAsia="Arial" w:hAnsi="Arial"/>
          <w:color w:val="14181D"/>
          <w:sz w:val="20"/>
          <w:szCs w:val="20"/>
        </w:rPr>
        <w:t xml:space="preserve"> A purchase order to JNN GLOBAL LTD is a contract performed by </w:t>
      </w:r>
      <w:r>
        <w:rPr>
          <w:rFonts w:ascii="Arial" w:cs="Arial" w:eastAsia="Arial" w:hAnsi="Arial"/>
          <w:b/>
          <w:bCs/>
          <w:color w:val="14181D"/>
          <w:sz w:val="20"/>
          <w:szCs w:val="20"/>
        </w:rPr>
        <w:t xml:space="preserve">the bidding entity</w:t>
      </w:r>
      <w:r>
        <w:rPr>
          <w:rFonts w:ascii="Arial" w:cs="Arial" w:eastAsia="Arial" w:hAnsi="Arial"/>
          <w:color w:val="14181D"/>
          <w:sz w:val="20"/>
          <w:szCs w:val="20"/>
        </w:rPr>
        <w:t xml:space="preserve"> — the exact thing the GCA confirmed is required at DPSQ Question 53 and that no document could substitute for. No minimum value. A completed phase is enough.</w:t>
      </w:r>
    </w:p>
    <w:p>
      <w:pPr>
        <w:spacing w:after="90" w:before="90" w:line="280"/>
      </w:pPr>
      <w:r>
        <w:rPr>
          <w:rFonts w:ascii="Arial" w:cs="Arial" w:eastAsia="Arial" w:hAnsi="Arial"/>
          <w:b/>
          <w:bCs/>
          <w:color w:val="14181D"/>
          <w:sz w:val="20"/>
          <w:szCs w:val="20"/>
        </w:rPr>
        <w:t xml:space="preserve">The referee.</w:t>
      </w:r>
      <w:r>
        <w:rPr>
          <w:rFonts w:ascii="Arial" w:cs="Arial" w:eastAsia="Arial" w:hAnsi="Arial"/>
          <w:color w:val="14181D"/>
          <w:sz w:val="20"/>
          <w:szCs w:val="20"/>
        </w:rPr>
        <w:t xml:space="preserve"> They employed the director for three years on this precise scope. A GE Vernova sourcing manager confirming delivery is worth more than any reference this company could otherwise obtain.</w:t>
      </w:r>
    </w:p>
    <w:p>
      <w:pPr>
        <w:spacing w:after="90" w:before="90" w:line="280"/>
      </w:pPr>
      <w:r>
        <w:rPr>
          <w:rFonts w:ascii="Arial" w:cs="Arial" w:eastAsia="Arial" w:hAnsi="Arial"/>
          <w:color w:val="14181D"/>
          <w:sz w:val="20"/>
          <w:szCs w:val="20"/>
        </w:rPr>
        <w:t xml:space="preserve">Nothing else available does all three. The twelve stalled procurement threads are all waiting on the thing this one route produces.</w:t>
      </w:r>
    </w:p>
    <w:p>
      <w:pPr>
        <w:pStyle w:val="Heading1"/>
        <w:keepNext/>
        <w:pBdr>
          <w:bottom w:val="single" w:color="9C7A3C" w:sz="8" w:space="6"/>
        </w:pBdr>
        <w:spacing w:after="150" w:before="380"/>
      </w:pPr>
      <w:r>
        <w:rPr>
          <w:rFonts w:ascii="Arial" w:cs="Arial" w:eastAsia="Arial" w:hAnsi="Arial"/>
          <w:b/>
          <w:bCs/>
          <w:color w:val="14181D"/>
          <w:sz w:val="26"/>
          <w:szCs w:val="26"/>
        </w:rPr>
        <w:t xml:space="preserve">It is still not instant, and the agency track must continue</w:t>
      </w:r>
    </w:p>
    <w:p>
      <w:pPr>
        <w:spacing w:after="90" w:before="90" w:line="280"/>
      </w:pPr>
      <w:r>
        <w:rPr>
          <w:rFonts w:ascii="Arial" w:cs="Arial" w:eastAsia="Arial" w:hAnsi="Arial"/>
          <w:color w:val="14181D"/>
          <w:sz w:val="20"/>
          <w:szCs w:val="20"/>
        </w:rPr>
        <w:t xml:space="preserve">Registration, background screening and supplier approval take weeks. After approval, a purchase order needs a requisitioner with a live need and a budget line. Realistically that is four to ten weeks to a first PO, and that is only if a need already exists — which the invitation suggests but does not prove.</w:t>
      </w:r>
    </w:p>
    <w:p>
      <w:pPr>
        <w:spacing w:after="90" w:before="90" w:line="280"/>
      </w:pPr>
      <w:r>
        <w:rPr>
          <w:rFonts w:ascii="Arial" w:cs="Arial" w:eastAsia="Arial" w:hAnsi="Arial"/>
          <w:color w:val="14181D"/>
          <w:sz w:val="20"/>
          <w:szCs w:val="20"/>
        </w:rPr>
        <w:t xml:space="preserve">Four to ten weeks sits inside a three-month window, but not comfortably. </w:t>
      </w:r>
      <w:r>
        <w:rPr>
          <w:rFonts w:ascii="Arial" w:cs="Arial" w:eastAsia="Arial" w:hAnsi="Arial"/>
          <w:b/>
          <w:bCs/>
          <w:color w:val="14181D"/>
          <w:sz w:val="20"/>
          <w:szCs w:val="20"/>
        </w:rPr>
        <w:t xml:space="preserve">Run the transmission contract-agency approaches in parallel.</w:t>
      </w:r>
      <w:r>
        <w:rPr>
          <w:rFonts w:ascii="Arial" w:cs="Arial" w:eastAsia="Arial" w:hAnsi="Arial"/>
          <w:color w:val="14181D"/>
          <w:sz w:val="20"/>
          <w:szCs w:val="20"/>
        </w:rPr>
        <w:t xml:space="preserve"> If GE Vernova lands first, the agency conversations cost nothing. If it slips, they are the only thing between here and arrears.</w:t>
      </w:r>
    </w:p>
    <w:p>
      <w:pPr>
        <w:pStyle w:val="Heading1"/>
        <w:keepNext/>
        <w:pBdr>
          <w:bottom w:val="single" w:color="9C7A3C" w:sz="8" w:space="6"/>
        </w:pBdr>
        <w:spacing w:after="150" w:before="380"/>
      </w:pPr>
      <w:r>
        <w:rPr>
          <w:rFonts w:ascii="Arial" w:cs="Arial" w:eastAsia="Arial" w:hAnsi="Arial"/>
          <w:b/>
          <w:bCs/>
          <w:color w:val="14181D"/>
          <w:sz w:val="26"/>
          <w:szCs w:val="26"/>
        </w:rPr>
        <w:t xml:space="preserve">Five things to get right in the application</w:t>
      </w:r>
    </w:p>
    <w:p>
      <w:pPr>
        <w:spacing w:after="90" w:before="90" w:line="280"/>
      </w:pPr>
      <w:r>
        <w:rPr>
          <w:rFonts w:ascii="Arial" w:cs="Arial" w:eastAsia="Arial" w:hAnsi="Arial"/>
          <w:b/>
          <w:bCs/>
          <w:color w:val="14181D"/>
          <w:sz w:val="20"/>
          <w:szCs w:val="20"/>
        </w:rPr>
        <w:t xml:space="preserve">1. The personal link, in Chrome, by the director.</w:t>
      </w:r>
      <w:r>
        <w:rPr>
          <w:rFonts w:ascii="Arial" w:cs="Arial" w:eastAsia="Arial" w:hAnsi="Arial"/>
          <w:color w:val="14181D"/>
          <w:sz w:val="20"/>
          <w:szCs w:val="20"/>
        </w:rPr>
        <w:t xml:space="preserve"> The email states the invitation is pre-defined for the recipient and must not be forwarded. Use that link, in Google Chrome, and do not send it to anybody.</w:t>
      </w:r>
    </w:p>
    <w:p>
      <w:pPr>
        <w:spacing w:after="90" w:before="90" w:line="280"/>
      </w:pPr>
      <w:r>
        <w:rPr>
          <w:rFonts w:ascii="Arial" w:cs="Arial" w:eastAsia="Arial" w:hAnsi="Arial"/>
          <w:b/>
          <w:bCs/>
          <w:color w:val="14181D"/>
          <w:sz w:val="20"/>
          <w:szCs w:val="20"/>
        </w:rPr>
        <w:t xml:space="preserve">2. Bank details go straight into the portal and nowhere else.</w:t>
      </w:r>
      <w:r>
        <w:rPr>
          <w:rFonts w:ascii="Arial" w:cs="Arial" w:eastAsia="Arial" w:hAnsi="Arial"/>
          <w:color w:val="14181D"/>
          <w:sz w:val="20"/>
          <w:szCs w:val="20"/>
        </w:rPr>
        <w:t xml:space="preserve"> They are needed for electronic payment. They go from the director's hands into SCx directly — never into an email, a document, a chat window, a note, or any file in this repository. The same applies to the UTR and any tax document. Nobody needs a copy, including anybody helping.</w:t>
      </w:r>
    </w:p>
    <w:p>
      <w:pPr>
        <w:spacing w:after="90" w:before="90" w:line="280"/>
      </w:pPr>
      <w:r>
        <w:rPr>
          <w:rFonts w:ascii="Arial" w:cs="Arial" w:eastAsia="Arial" w:hAnsi="Arial"/>
          <w:b/>
          <w:bCs/>
          <w:color w:val="14181D"/>
          <w:sz w:val="20"/>
          <w:szCs w:val="20"/>
        </w:rPr>
        <w:t xml:space="preserve">3. Certifications: say none, plainly.</w:t>
      </w:r>
      <w:r>
        <w:rPr>
          <w:rFonts w:ascii="Arial" w:cs="Arial" w:eastAsia="Arial" w:hAnsi="Arial"/>
          <w:color w:val="14181D"/>
          <w:sz w:val="20"/>
          <w:szCs w:val="20"/>
        </w:rPr>
        <w:t xml:space="preserve"> The form asks about CTPAT, diversity and ISO. ETABLIX holds no ISO certification and no SSIP registration. Answer that honestly and leave it. A nil answer is normal for a new supplier and is not a pass/fail gate at registration. A claimed certification found to be absent is the one thing that ends a supplier relationship before it starts, and this is a company whose invitation letter opens with </w:t>
      </w:r>
      <w:r>
        <w:rPr>
          <w:rFonts w:ascii="Arial" w:cs="Arial" w:eastAsia="Arial" w:hAnsi="Arial"/>
          <w:i/>
          <w:iCs/>
          <w:color w:val="14181D"/>
          <w:sz w:val="20"/>
          <w:szCs w:val="20"/>
        </w:rPr>
        <w:t xml:space="preserve">unyielding integrity</w:t>
      </w:r>
      <w:r>
        <w:rPr>
          <w:rFonts w:ascii="Arial" w:cs="Arial" w:eastAsia="Arial" w:hAnsi="Arial"/>
          <w:color w:val="14181D"/>
          <w:sz w:val="20"/>
          <w:szCs w:val="20"/>
        </w:rPr>
        <w:t xml:space="preserve">.</w:t>
      </w:r>
    </w:p>
    <w:p>
      <w:pPr>
        <w:pStyle w:val="Heading2"/>
        <w:keepNext/>
        <w:spacing w:after="110" w:before="260"/>
      </w:pPr>
      <w:r>
        <w:rPr>
          <w:rFonts w:ascii="Arial" w:cs="Arial" w:eastAsia="Arial" w:hAnsi="Arial"/>
          <w:b/>
          <w:bCs/>
          <w:color w:val="9C7A3C"/>
          <w:sz w:val="21"/>
          <w:szCs w:val="21"/>
        </w:rPr>
        <w:t xml:space="preserve">Section 5, Certifications — the answers, and why six of them are not what they look like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02"/>
        <w:gridCol w:w="922"/>
        <w:gridCol w:w="5376"/>
      </w:tblGrid>
      <w:tr>
        <w:trPr>
          <w:tblHeader/>
        </w:trPr>
        <w:tc>
          <w:tcPr>
            <w:tcW w:type="dxa" w:w="200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Question</w:t>
            </w:r>
          </w:p>
        </w:tc>
        <w:tc>
          <w:tcPr>
            <w:tcW w:type="dxa" w:w="92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Answer</w:t>
            </w:r>
          </w:p>
        </w:tc>
        <w:tc>
          <w:tcPr>
            <w:tcW w:type="dxa" w:w="537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Why</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Government supply chain security programme (CTPAT / PIP / AEO)</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Customs and import-security schemes for businesses moving goods across borders. ETABLIX supplies services and ships nothing.</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ISO certifications</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None held.</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QMS certifications</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 certified quality management system is not held. Documented quality management arrangements exist and are signed, but documented is not certified and the two must never be conflated.</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SQRM — Supplier Quality Requirement Manual</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Vernova's own document, issued to the supplier to accept.</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GT&amp;C — GE Vernova Terms &amp; Conditions</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Vernova's own terms, issued to the supplier to accept.</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SEQ — Supplier Eligibility Questionnaire</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Vernova's own questionnaire, issued during onboarding.</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EHS Prescreen checklist</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Vernova's own checklist. The signed health and safety policy and arrangements already answer most of what it asks.</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MNDA — Mutual Non-Disclosure Agreement</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for now</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is the NDA attached to the invitation. It becomes Yes once signed — but read it for the reference clause first. Do not convert a No into a Yes just to tidy the form.</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Integrity Letter</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Signed after reading the Supplier Integrity Guide and watching the training video. Do both, then it becomes Yes.</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Any other certifications</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Yes</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director's personal professional qualifications. Label them exactly as that.</w:t>
            </w:r>
          </w:p>
        </w:tc>
      </w:tr>
    </w:tbl>
    <w:p>
      <w:pPr>
        <w:spacing w:after="90" w:before="90" w:line="280"/>
      </w:pPr>
      <w:r>
        <w:rPr>
          <w:rFonts w:ascii="Arial" w:cs="Arial" w:eastAsia="Arial" w:hAnsi="Arial"/>
          <w:b/>
          <w:bCs/>
          <w:color w:val="14181D"/>
          <w:sz w:val="20"/>
          <w:szCs w:val="20"/>
        </w:rPr>
        <w:t xml:space="preserve">Six of those ten are GE Vernova's own paperwork, not market credentials.</w:t>
      </w:r>
      <w:r>
        <w:rPr>
          <w:rFonts w:ascii="Arial" w:cs="Arial" w:eastAsia="Arial" w:hAnsi="Arial"/>
          <w:color w:val="14181D"/>
          <w:sz w:val="20"/>
          <w:szCs w:val="20"/>
        </w:rPr>
        <w:t xml:space="preserve"> They are not things a supplier either has or lacks in the world — they are documents GE issues for the supplier to sign during onboarding. A row of honest "No" answers is the normal starting state of a new supplier and is what prompts them to be sent. It does not look weak. It looks like someone who read the question.</w:t>
      </w:r>
    </w:p>
    <w:p>
      <w:pPr>
        <w:spacing w:after="90" w:before="90" w:line="280"/>
      </w:pPr>
      <w:r>
        <w:rPr>
          <w:rFonts w:ascii="Arial" w:cs="Arial" w:eastAsia="Arial" w:hAnsi="Arial"/>
          <w:b/>
          <w:bCs/>
          <w:color w:val="14181D"/>
          <w:sz w:val="20"/>
          <w:szCs w:val="20"/>
        </w:rPr>
        <w:t xml:space="preserve">And the asymmetry is total.</w:t>
      </w:r>
      <w:r>
        <w:rPr>
          <w:rFonts w:ascii="Arial" w:cs="Arial" w:eastAsia="Arial" w:hAnsi="Arial"/>
          <w:color w:val="14181D"/>
          <w:sz w:val="20"/>
          <w:szCs w:val="20"/>
        </w:rPr>
        <w:t xml:space="preserve"> A true No costs nothing here; every Yes will be asked for a certificate number, a scope and an expiry date, with an upload. A Yes that cannot be evidenced ends the relationship at the screening stage, in a process whose invitation letter opens with </w:t>
      </w:r>
      <w:r>
        <w:rPr>
          <w:rFonts w:ascii="Arial" w:cs="Arial" w:eastAsia="Arial" w:hAnsi="Arial"/>
          <w:i/>
          <w:iCs/>
          <w:color w:val="14181D"/>
          <w:sz w:val="20"/>
          <w:szCs w:val="20"/>
        </w:rPr>
        <w:t xml:space="preserve">unyielding integrity</w:t>
      </w:r>
      <w:r>
        <w:rPr>
          <w:rFonts w:ascii="Arial" w:cs="Arial" w:eastAsia="Arial" w:hAnsi="Arial"/>
          <w:color w:val="14181D"/>
          <w:sz w:val="20"/>
          <w:szCs w:val="20"/>
        </w:rPr>
        <w:t xml:space="preserve">.</w:t>
      </w:r>
    </w:p>
    <w:p>
      <w:pPr>
        <w:spacing w:after="90" w:before="90" w:line="280"/>
      </w:pPr>
      <w:r>
        <w:rPr>
          <w:rFonts w:ascii="Arial" w:cs="Arial" w:eastAsia="Arial" w:hAnsi="Arial"/>
          <w:b/>
          <w:bCs/>
          <w:color w:val="14181D"/>
          <w:sz w:val="20"/>
          <w:szCs w:val="20"/>
        </w:rPr>
        <w:t xml:space="preserve">On the last row.</w:t>
      </w:r>
      <w:r>
        <w:rPr>
          <w:rFonts w:ascii="Arial" w:cs="Arial" w:eastAsia="Arial" w:hAnsi="Arial"/>
          <w:color w:val="14181D"/>
          <w:sz w:val="20"/>
          <w:szCs w:val="20"/>
        </w:rPr>
        <w:t xml:space="preserve"> Enter the director's qualifications and label them as personal rather than corporate: MCIOB Chartered Construction Manager, CSCS card, APMP, PRINCE2 Foundation, and </w:t>
      </w:r>
      <w:r>
        <w:rPr>
          <w:rFonts w:ascii="Arial" w:cs="Arial" w:eastAsia="Arial" w:hAnsi="Arial"/>
          <w:b/>
          <w:bCs/>
          <w:color w:val="14181D"/>
          <w:sz w:val="20"/>
          <w:szCs w:val="20"/>
        </w:rPr>
        <w:t xml:space="preserve">CDM 2015 Principal Designer training — written as training, never as an appointment.</w:t>
      </w:r>
      <w:r>
        <w:rPr>
          <w:rFonts w:ascii="Arial" w:cs="Arial" w:eastAsia="Arial" w:hAnsi="Arial"/>
          <w:color w:val="14181D"/>
          <w:sz w:val="20"/>
          <w:szCs w:val="20"/>
        </w:rPr>
        <w:t xml:space="preserve"> They are genuinely relevant, because what GE Vernova is buying from a services supplier is competence held by a named person. They are not ETABLIX certifications and must not be entered as though they were.</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OCTOBER: THE DOCUMENTED ROUTE WAS WITHDRAWN. Read this before anything below it.</w:t>
      </w:r>
    </w:p>
    <w:p>
      <w:pPr>
        <w:spacing w:after="90" w:before="90" w:line="280"/>
      </w:pPr>
      <w:r>
        <w:rPr>
          <w:rFonts w:ascii="Arial" w:cs="Arial" w:eastAsia="Arial" w:hAnsi="Arial"/>
          <w:color w:val="14181D"/>
          <w:sz w:val="20"/>
          <w:szCs w:val="20"/>
        </w:rPr>
        <w:t xml:space="preserve">Marc Townsend, two days after authorising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 would recommend that you seek third party Quality accreditation to enable you to quote for work for GE or any other businesses. This is certainly a blocker for us to place any PO's."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"With regards to your request about references, this is strictly forbidden, so please do not name GE Vernova as a reference."</w:t>
      </w:r>
    </w:p>
    <w:p>
      <w:pPr>
        <w:spacing w:after="90" w:before="90" w:line="280"/>
      </w:pPr>
      <w:r>
        <w:rPr>
          <w:rFonts w:ascii="Arial" w:cs="Arial" w:eastAsia="Arial" w:hAnsi="Arial"/>
          <w:b/>
          <w:bCs/>
          <w:color w:val="14181D"/>
          <w:sz w:val="20"/>
          <w:szCs w:val="20"/>
        </w:rPr>
        <w:t xml:space="preserve">Two things died and one survived.</w:t>
      </w:r>
    </w:p>
    <w:p>
      <w:pPr>
        <w:spacing w:after="90" w:before="90" w:line="280"/>
      </w:pPr>
      <w:r>
        <w:rPr>
          <w:rFonts w:ascii="Arial" w:cs="Arial" w:eastAsia="Arial" w:hAnsi="Arial"/>
          <w:b/>
          <w:bCs/>
          <w:color w:val="14181D"/>
          <w:sz w:val="20"/>
          <w:szCs w:val="20"/>
        </w:rPr>
        <w:t xml:space="preserve">Dead: GE Vernova as the RM6242 contract example.</w:t>
      </w:r>
      <w:r>
        <w:rPr>
          <w:rFonts w:ascii="Arial" w:cs="Arial" w:eastAsia="Arial" w:hAnsi="Arial"/>
          <w:color w:val="14181D"/>
          <w:sz w:val="20"/>
          <w:szCs w:val="20"/>
        </w:rPr>
        <w:t xml:space="preserve"> This is the loss that matters, and it is worth being precise about why. A purchase order to JNN GLOBAL LTD would still be a contract performed by the bidding entity — that part is unaffected. But Attachment 1a requires the </w:t>
      </w:r>
      <w:r>
        <w:rPr>
          <w:rFonts w:ascii="Arial" w:cs="Arial" w:eastAsia="Arial" w:hAnsi="Arial"/>
          <w:b/>
          <w:bCs/>
          <w:color w:val="14181D"/>
          <w:sz w:val="20"/>
          <w:szCs w:val="20"/>
        </w:rPr>
        <w:t xml:space="preserve">customer</w:t>
      </w:r>
      <w:r>
        <w:rPr>
          <w:rFonts w:ascii="Arial" w:cs="Arial" w:eastAsia="Arial" w:hAnsi="Arial"/>
          <w:color w:val="14181D"/>
          <w:sz w:val="20"/>
          <w:szCs w:val="20"/>
        </w:rPr>
        <w:t xml:space="preserve"> to countersign a confirmation of the services delivered. A company that forbids being named as a reference will not sign one. So even a successful GE Vernova engagement cannot unlock RM6242, and the strategy that had this route answering three problems at once now answers at most two.</w:t>
      </w:r>
    </w:p>
    <w:p>
      <w:pPr>
        <w:spacing w:after="90" w:before="90" w:line="280"/>
      </w:pPr>
      <w:r>
        <w:rPr>
          <w:rFonts w:ascii="Arial" w:cs="Arial" w:eastAsia="Arial" w:hAnsi="Arial"/>
          <w:b/>
          <w:bCs/>
          <w:color w:val="14181D"/>
          <w:sz w:val="20"/>
          <w:szCs w:val="20"/>
        </w:rPr>
        <w:t xml:space="preserve">Dead for now: any purchase order at all.</w:t>
      </w:r>
      <w:r>
        <w:rPr>
          <w:rFonts w:ascii="Arial" w:cs="Arial" w:eastAsia="Arial" w:hAnsi="Arial"/>
          <w:color w:val="14181D"/>
          <w:sz w:val="20"/>
          <w:szCs w:val="20"/>
        </w:rPr>
        <w:t xml:space="preserve"> Third-party quality accreditation is named as a blocker to placing POs. ISO 9001 for a one-director consultancy is weeks and real money, neither of which exists in a three-month window. </w:t>
      </w:r>
      <w:r>
        <w:rPr>
          <w:rFonts w:ascii="Arial" w:cs="Arial" w:eastAsia="Arial" w:hAnsi="Arial"/>
          <w:b/>
          <w:bCs/>
          <w:color w:val="14181D"/>
          <w:sz w:val="20"/>
          <w:szCs w:val="20"/>
        </w:rPr>
        <w:t xml:space="preserve">GE Vernova is a 2027 route, not a now route.</w:t>
      </w:r>
    </w:p>
    <w:p>
      <w:pPr>
        <w:spacing w:after="90" w:before="90" w:line="280"/>
      </w:pPr>
      <w:r>
        <w:rPr>
          <w:rFonts w:ascii="Arial" w:cs="Arial" w:eastAsia="Arial" w:hAnsi="Arial"/>
          <w:b/>
          <w:bCs/>
          <w:color w:val="14181D"/>
          <w:sz w:val="20"/>
          <w:szCs w:val="20"/>
        </w:rPr>
        <w:t xml:space="preserve">Survived, and it changes which track is primary: the agency route clears both blockers.</w:t>
      </w:r>
      <w:r>
        <w:rPr>
          <w:rFonts w:ascii="Arial" w:cs="Arial" w:eastAsia="Arial" w:hAnsi="Arial"/>
          <w:color w:val="14181D"/>
          <w:sz w:val="20"/>
          <w:szCs w:val="20"/>
        </w:rPr>
        <w:t xml:space="preserve"> A staffing or technical-recruitment agency placing JNN GLOBAL LTD on a contract does not ask for ISO 9001 — and the agency is then the customer, so the </w:t>
      </w:r>
      <w:r>
        <w:rPr>
          <w:rFonts w:ascii="Arial" w:cs="Arial" w:eastAsia="Arial" w:hAnsi="Arial"/>
          <w:b/>
          <w:bCs/>
          <w:color w:val="14181D"/>
          <w:sz w:val="20"/>
          <w:szCs w:val="20"/>
        </w:rPr>
        <w:t xml:space="preserve">agency</w:t>
      </w:r>
      <w:r>
        <w:rPr>
          <w:rFonts w:ascii="Arial" w:cs="Arial" w:eastAsia="Arial" w:hAnsi="Arial"/>
          <w:color w:val="14181D"/>
          <w:sz w:val="20"/>
          <w:szCs w:val="20"/>
        </w:rPr>
        <w:t xml:space="preserve"> can sign Attachment 1a. The GCA confirmed that acting as a sub-contractor is a valid position for a contract example. One route, both problems, no accreditation.</w:t>
      </w:r>
    </w:p>
    <w:p>
      <w:pPr>
        <w:spacing w:after="90" w:before="90" w:line="280"/>
      </w:pPr>
      <w:r>
        <w:rPr>
          <w:rFonts w:ascii="Arial" w:cs="Arial" w:eastAsia="Arial" w:hAnsi="Arial"/>
          <w:b/>
          <w:bCs/>
          <w:color w:val="14181D"/>
          <w:sz w:val="20"/>
          <w:szCs w:val="20"/>
        </w:rPr>
        <w:t xml:space="preserve">So contract agencies move from the backup to the plan.</w:t>
      </w:r>
      <w:r>
        <w:rPr>
          <w:rFonts w:ascii="Arial" w:cs="Arial" w:eastAsia="Arial" w:hAnsi="Arial"/>
          <w:color w:val="14181D"/>
          <w:sz w:val="20"/>
          <w:szCs w:val="20"/>
        </w:rPr>
        <w:t xml:space="preserve"> See </w:t>
      </w:r>
      <w:r>
        <w:rPr>
          <w:rFonts w:ascii="Arial" w:cs="Arial" w:eastAsia="Arial" w:hAnsi="Arial"/>
          <w:i/>
          <w:iCs/>
          <w:color w:val="14181D"/>
          <w:sz w:val="20"/>
          <w:szCs w:val="20"/>
        </w:rPr>
        <w:t xml:space="preserve">business/strategy/three-months.md</w:t>
      </w:r>
      <w:r>
        <w:rPr>
          <w:rFonts w:ascii="Arial" w:cs="Arial" w:eastAsia="Arial" w:hAnsi="Arial"/>
          <w:color w:val="14181D"/>
          <w:sz w:val="20"/>
          <w:szCs w:val="20"/>
        </w:rPr>
        <w:t xml:space="preserve">.</w:t>
      </w:r>
    </w:p>
    <w:p>
      <w:pPr>
        <w:pStyle w:val="Heading2"/>
        <w:keepNext/>
        <w:spacing w:after="110" w:before="260"/>
      </w:pPr>
      <w:r>
        <w:rPr>
          <w:rFonts w:ascii="Arial" w:cs="Arial" w:eastAsia="Arial" w:hAnsi="Arial"/>
          <w:b/>
          <w:bCs/>
          <w:color w:val="9C7A3C"/>
          <w:sz w:val="21"/>
          <w:szCs w:val="21"/>
        </w:rPr>
        <w:t xml:space="preserve">What is still worth doing with GE Vernova this week</w:t>
      </w:r>
    </w:p>
    <w:p>
      <w:pPr>
        <w:spacing w:after="90" w:before="90" w:line="280"/>
      </w:pPr>
      <w:r>
        <w:rPr>
          <w:rFonts w:ascii="Arial" w:cs="Arial" w:eastAsia="Arial" w:hAnsi="Arial"/>
          <w:color w:val="14181D"/>
          <w:sz w:val="20"/>
          <w:szCs w:val="20"/>
        </w:rPr>
        <w:t xml:space="preserve">Three things, all cheap, because the registration should be kept warm rather than abandoned — the blocker is a certificate, and certificates arrive.</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The company information letter.</w:t>
      </w:r>
      <w:r>
        <w:rPr>
          <w:rFonts w:ascii="Arial" w:cs="Arial" w:eastAsia="Arial" w:hAnsi="Arial"/>
          <w:color w:val="14181D"/>
          <w:sz w:val="20"/>
          <w:szCs w:val="20"/>
        </w:rPr>
        <w:t xml:space="preserve"> Requested on official letterhead with the legal name, complete address, tax information and an authorised signature. Built at </w:t>
      </w:r>
      <w:r>
        <w:rPr>
          <w:rFonts w:ascii="Arial" w:cs="Arial" w:eastAsia="Arial" w:hAnsi="Arial"/>
          <w:i/>
          <w:iCs/>
          <w:color w:val="14181D"/>
          <w:sz w:val="20"/>
          <w:szCs w:val="20"/>
        </w:rPr>
        <w:t xml:space="preserve">business/policies/build-company-information-letter.cjs</w:t>
      </w:r>
      <w:r>
        <w:rPr>
          <w:rFonts w:ascii="Arial" w:cs="Arial" w:eastAsia="Arial" w:hAnsi="Arial"/>
          <w:color w:val="14181D"/>
          <w:sz w:val="20"/>
          <w:szCs w:val="20"/>
        </w:rPr>
        <w:t xml:space="preserve">. Nine fields to complete, none of them sensitive. Note that it states plainly that the company has no common seal and executes under section 44 of the Companies Act 2006 — a request for a seal from a UK company that has none is usually met with silence, and silence reads as non-compliance.</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The NDA.</w:t>
      </w:r>
      <w:r>
        <w:rPr>
          <w:rFonts w:ascii="Arial" w:cs="Arial" w:eastAsia="Arial" w:hAnsi="Arial"/>
          <w:color w:val="14181D"/>
          <w:sz w:val="20"/>
          <w:szCs w:val="20"/>
        </w:rPr>
        <w:t xml:space="preserve"> The reference question it was being read for is now answered, so read it instead for anything restricting work for other clients or the use of general know-how. Then sign and return.</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Nothing is named as a reference. Ever.</w:t>
      </w:r>
      <w:r>
        <w:rPr>
          <w:rFonts w:ascii="Arial" w:cs="Arial" w:eastAsia="Arial" w:hAnsi="Arial"/>
          <w:color w:val="14181D"/>
          <w:sz w:val="20"/>
          <w:szCs w:val="20"/>
        </w:rPr>
        <w:t xml:space="preserve"> Not on a CV, not in a bid, not in a LinkedIn comment, not in conversation. This is now a standing rule and it is the reason the Skye scheme and the employer stay unnamed in every public comment.</w:t>
      </w:r>
    </w:p>
    <w:p>
      <w:pPr>
        <w:pStyle w:val="Heading2"/>
        <w:keepNext/>
        <w:spacing w:after="110" w:before="260"/>
      </w:pPr>
      <w:r>
        <w:rPr>
          <w:rFonts w:ascii="Arial" w:cs="Arial" w:eastAsia="Arial" w:hAnsi="Arial"/>
          <w:b/>
          <w:bCs/>
          <w:color w:val="9C7A3C"/>
          <w:sz w:val="21"/>
          <w:szCs w:val="21"/>
        </w:rPr>
        <w:t xml:space="preserve">RESOLVED, 5 October — superseded two days later. Kept for the record.</w:t>
      </w:r>
    </w:p>
    <w:p>
      <w:pPr>
        <w:pStyle w:val="Heading2"/>
        <w:keepNext/>
        <w:spacing w:after="110" w:before="260"/>
      </w:pPr>
      <w:r>
        <w:rPr>
          <w:rFonts w:ascii="Arial" w:cs="Arial" w:eastAsia="Arial" w:hAnsi="Arial"/>
          <w:b/>
          <w:bCs/>
          <w:color w:val="9C7A3C"/>
          <w:sz w:val="21"/>
          <w:szCs w:val="21"/>
        </w:rPr>
        <w:t xml:space="preserve">Marc Townsend authorised the documented route in writing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"We would expect all vendors (service and goods suppliers) to hold at least ISO 9001 to show that the business processes are documented and auditable from a quality perspective. If you have documented systems, but this is just missing third party verification, then I would state this is the application and upload any associated documentation."</w:t>
      </w:r>
    </w:p>
    <w:p>
      <w:pPr>
        <w:spacing w:after="90" w:before="90" w:line="280"/>
      </w:pPr>
      <w:r>
        <w:rPr>
          <w:rFonts w:ascii="Arial" w:cs="Arial" w:eastAsia="Arial" w:hAnsi="Arial"/>
          <w:color w:val="14181D"/>
          <w:sz w:val="20"/>
          <w:szCs w:val="20"/>
        </w:rPr>
        <w:t xml:space="preserve">That is route one below, confirmed by the buyer. </w:t>
      </w:r>
      <w:r>
        <w:rPr>
          <w:rFonts w:ascii="Arial" w:cs="Arial" w:eastAsia="Arial" w:hAnsi="Arial"/>
          <w:b/>
          <w:bCs/>
          <w:color w:val="14181D"/>
          <w:sz w:val="20"/>
          <w:szCs w:val="20"/>
        </w:rPr>
        <w:t xml:space="preserve">Answer Yes to QMS, state in the field that the system is documented but not third-party verified, and upload.</w:t>
      </w:r>
      <w:r>
        <w:rPr>
          <w:rFonts w:ascii="Arial" w:cs="Arial" w:eastAsia="Arial" w:hAnsi="Arial"/>
          <w:color w:val="14181D"/>
          <w:sz w:val="20"/>
          <w:szCs w:val="20"/>
        </w:rPr>
        <w:t xml:space="preserve"> Two documents go up, and the pairing matters: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6917"/>
      </w:tblGrid>
      <w:tr>
        <w:trPr>
          <w:tblHeader/>
        </w:trPr>
        <w:tc>
          <w:tcPr>
            <w:tcW w:type="dxa" w:w="138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Upload</w:t>
            </w:r>
          </w:p>
        </w:tc>
        <w:tc>
          <w:tcPr>
            <w:tcW w:type="dxa" w:w="691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it is</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Quality Management Arrangements</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system itself. Section 1 already states that no ISO 9001 is held and none is claimed; section 6 names every gap.</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ISO 9001:2015 Coverage Statement</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New. Twenty-one clauses mapped to what exists: thirteen documented, six partial, one not applicable, one not in place. Built because Marc's test was documented and auditable, and auditable means an assessor can see coverage at a glance.</w:t>
            </w:r>
          </w:p>
        </w:tc>
      </w:tr>
    </w:tbl>
    <w:p>
      <w:pPr>
        <w:spacing w:after="90" w:before="90" w:line="280"/>
      </w:pPr>
      <w:r>
        <w:rPr>
          <w:rFonts w:ascii="Arial" w:cs="Arial" w:eastAsia="Arial" w:hAnsi="Arial"/>
          <w:b/>
          <w:bCs/>
          <w:color w:val="14181D"/>
          <w:sz w:val="20"/>
          <w:szCs w:val="20"/>
        </w:rPr>
        <w:t xml:space="preserve">Why a separate document rather than restructuring the Arrangements.</w:t>
      </w:r>
      <w:r>
        <w:rPr>
          <w:rFonts w:ascii="Arial" w:cs="Arial" w:eastAsia="Arial" w:hAnsi="Arial"/>
          <w:color w:val="14181D"/>
          <w:sz w:val="20"/>
          <w:szCs w:val="20"/>
        </w:rPr>
        <w:t xml:space="preserve"> That document carries a deliberate instruction not to mirror the standard's clause numbering, on the reasoning that a document laid out as a quality manual with no certificate behind it reads as a company pretending. That reasoning still holds, so the Arrangements are untouched. The coverage statement does the opposite of pretending: it is titled as a map, it opens by saying no certificate is held, and a third of its rows record a requirement that is not met. </w:t>
      </w:r>
      <w:r>
        <w:rPr>
          <w:rFonts w:ascii="Arial" w:cs="Arial" w:eastAsia="Arial" w:hAnsi="Arial"/>
          <w:b/>
          <w:bCs/>
          <w:color w:val="14181D"/>
          <w:sz w:val="20"/>
          <w:szCs w:val="20"/>
        </w:rPr>
        <w:t xml:space="preserve">A map that shows its own holes cannot be mistaken for a certificate.</w:t>
      </w:r>
    </w:p>
    <w:p>
      <w:pPr>
        <w:spacing w:after="90" w:before="90" w:line="280"/>
      </w:pPr>
      <w:r>
        <w:rPr>
          <w:rFonts w:ascii="Arial" w:cs="Arial" w:eastAsia="Arial" w:hAnsi="Arial"/>
          <w:b/>
          <w:bCs/>
          <w:color w:val="14181D"/>
          <w:sz w:val="20"/>
          <w:szCs w:val="20"/>
        </w:rPr>
        <w:t xml:space="preserve">What to type in the certification name field</w:t>
      </w:r>
      <w:r>
        <w:rPr>
          <w:rFonts w:ascii="Arial" w:cs="Arial" w:eastAsia="Arial" w:hAnsi="Arial"/>
          <w:color w:val="14181D"/>
          <w:sz w:val="20"/>
          <w:szCs w:val="20"/>
        </w:rPr>
        <w:t xml:space="preserve">, so that nobody downstream can read it as a certificate: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Documented Quality Management System — not third-party certified. ISO 9001:2015 coverage statement attached.</w:t>
      </w:r>
    </w:p>
    <w:p>
      <w:pPr>
        <w:spacing w:after="90" w:before="90" w:line="280"/>
      </w:pPr>
      <w:r>
        <w:rPr>
          <w:rFonts w:ascii="Arial" w:cs="Arial" w:eastAsia="Arial" w:hAnsi="Arial"/>
          <w:color w:val="14181D"/>
          <w:sz w:val="20"/>
          <w:szCs w:val="20"/>
        </w:rPr>
        <w:t xml:space="preserve">Leave the certificate number and expiry fields empty. If the form demands a number, put </w:t>
      </w:r>
      <w:r>
        <w:rPr>
          <w:rFonts w:ascii="Arial" w:cs="Arial" w:eastAsia="Arial" w:hAnsi="Arial"/>
          <w:b/>
          <w:bCs/>
          <w:color w:val="14181D"/>
          <w:sz w:val="20"/>
          <w:szCs w:val="20"/>
        </w:rPr>
        <w:t xml:space="preserve">N/A — no certificate issued</w:t>
      </w:r>
      <w:r>
        <w:rPr>
          <w:rFonts w:ascii="Arial" w:cs="Arial" w:eastAsia="Arial" w:hAnsi="Arial"/>
          <w:color w:val="14181D"/>
          <w:sz w:val="20"/>
          <w:szCs w:val="20"/>
        </w:rPr>
        <w:t xml:space="preserve">, never an invented reference.</w:t>
      </w:r>
    </w:p>
    <w:p>
      <w:pPr>
        <w:pStyle w:val="Heading2"/>
        <w:keepNext/>
        <w:spacing w:after="110" w:before="260"/>
      </w:pPr>
      <w:r>
        <w:rPr>
          <w:rFonts w:ascii="Arial" w:cs="Arial" w:eastAsia="Arial" w:hAnsi="Arial"/>
          <w:b/>
          <w:bCs/>
          <w:color w:val="9C7A3C"/>
          <w:sz w:val="21"/>
          <w:szCs w:val="21"/>
        </w:rPr>
        <w:t xml:space="preserve">The original problem, and the three routes, kept for the next portal</w:t>
      </w:r>
    </w:p>
    <w:p>
      <w:pPr>
        <w:pStyle w:val="Heading2"/>
        <w:keepNext/>
        <w:spacing w:after="110" w:before="260"/>
      </w:pPr>
      <w:r>
        <w:rPr>
          <w:rFonts w:ascii="Arial" w:cs="Arial" w:eastAsia="Arial" w:hAnsi="Arial"/>
          <w:b/>
          <w:bCs/>
          <w:color w:val="9C7A3C"/>
          <w:sz w:val="21"/>
          <w:szCs w:val="21"/>
        </w:rPr>
        <w:t xml:space="preserve">The portal hard-blocks on ISO or QMS. Do not solve that by answering Yes.</w:t>
      </w:r>
    </w:p>
    <w:p>
      <w:pPr>
        <w:spacing w:after="90" w:before="90" w:line="280"/>
      </w:pPr>
      <w:r>
        <w:rPr>
          <w:rFonts w:ascii="Arial" w:cs="Arial" w:eastAsia="Arial" w:hAnsi="Arial"/>
          <w:color w:val="14181D"/>
          <w:sz w:val="20"/>
          <w:szCs w:val="20"/>
        </w:rPr>
        <w:t xml:space="preserve">SCx refuses to progress: </w:t>
      </w:r>
      <w:r>
        <w:rPr>
          <w:rFonts w:ascii="Arial" w:cs="Arial" w:eastAsia="Arial" w:hAnsi="Arial"/>
          <w:i/>
          <w:iCs/>
          <w:color w:val="14181D"/>
          <w:sz w:val="20"/>
          <w:szCs w:val="20"/>
        </w:rPr>
        <w:t xml:space="preserve">"SQE Certifications — Please select at least one of ISO or QMS certificate."</w:t>
      </w:r>
      <w:r>
        <w:rPr>
          <w:rFonts w:ascii="Arial" w:cs="Arial" w:eastAsia="Arial" w:hAnsi="Arial"/>
          <w:color w:val="14181D"/>
          <w:sz w:val="20"/>
          <w:szCs w:val="20"/>
        </w:rPr>
        <w:t xml:space="preserve"> Neither is held. There are four ways through and only three of them are available.</w:t>
      </w:r>
    </w:p>
    <w:p>
      <w:pPr>
        <w:spacing w:after="90" w:before="90" w:line="280"/>
      </w:pPr>
      <w:r>
        <w:rPr>
          <w:rFonts w:ascii="Arial" w:cs="Arial" w:eastAsia="Arial" w:hAnsi="Arial"/>
          <w:b/>
          <w:bCs/>
          <w:color w:val="14181D"/>
          <w:sz w:val="20"/>
          <w:szCs w:val="20"/>
        </w:rPr>
        <w:t xml:space="preserve">The one that is not available is claiming one.</w:t>
      </w:r>
      <w:r>
        <w:rPr>
          <w:rFonts w:ascii="Arial" w:cs="Arial" w:eastAsia="Arial" w:hAnsi="Arial"/>
          <w:color w:val="14181D"/>
          <w:sz w:val="20"/>
          <w:szCs w:val="20"/>
        </w:rPr>
        <w:t xml:space="preserve"> A fabricated ISO 9001 entry in a portal that performs background screening, in a process whose invitation opens with </w:t>
      </w:r>
      <w:r>
        <w:rPr>
          <w:rFonts w:ascii="Arial" w:cs="Arial" w:eastAsia="Arial" w:hAnsi="Arial"/>
          <w:i/>
          <w:iCs/>
          <w:color w:val="14181D"/>
          <w:sz w:val="20"/>
          <w:szCs w:val="20"/>
        </w:rPr>
        <w:t xml:space="preserve">unyielding integrity</w:t>
      </w:r>
      <w:r>
        <w:rPr>
          <w:rFonts w:ascii="Arial" w:cs="Arial" w:eastAsia="Arial" w:hAnsi="Arial"/>
          <w:color w:val="14181D"/>
          <w:sz w:val="20"/>
          <w:szCs w:val="20"/>
        </w:rPr>
        <w:t xml:space="preserve">, is not a shortcut. It ends the supplier relationship, it ends the reference, and it would be a false statement made to obtain a commercial advantage. The form being inconvenient does not change that. If nothing below works, the registration waits.</w:t>
      </w:r>
    </w:p>
    <w:p>
      <w:pPr>
        <w:spacing w:after="90" w:before="90" w:line="280"/>
      </w:pPr>
      <w:r>
        <w:rPr>
          <w:rFonts w:ascii="Arial" w:cs="Arial" w:eastAsia="Arial" w:hAnsi="Arial"/>
          <w:b/>
          <w:bCs/>
          <w:color w:val="14181D"/>
          <w:sz w:val="20"/>
          <w:szCs w:val="20"/>
        </w:rPr>
        <w:t xml:space="preserve">Route one: the question may not mean what the error says.</w:t>
      </w:r>
      <w:r>
        <w:rPr>
          <w:rFonts w:ascii="Arial" w:cs="Arial" w:eastAsia="Arial" w:hAnsi="Arial"/>
          <w:color w:val="14181D"/>
          <w:sz w:val="20"/>
          <w:szCs w:val="20"/>
        </w:rPr>
        <w:t xml:space="preserve"> The field asks </w:t>
      </w:r>
      <w:r>
        <w:rPr>
          <w:rFonts w:ascii="Arial" w:cs="Arial" w:eastAsia="Arial" w:hAnsi="Arial"/>
          <w:i/>
          <w:iCs/>
          <w:color w:val="14181D"/>
          <w:sz w:val="20"/>
          <w:szCs w:val="20"/>
        </w:rPr>
        <w:t xml:space="preserve">"Do you have any QMS Certifications?"</w:t>
      </w:r>
      <w:r>
        <w:rPr>
          <w:rFonts w:ascii="Arial" w:cs="Arial" w:eastAsia="Arial" w:hAnsi="Arial"/>
          <w:color w:val="14181D"/>
          <w:sz w:val="20"/>
          <w:szCs w:val="20"/>
        </w:rPr>
        <w:t xml:space="preserve"> and the error says </w:t>
      </w:r>
      <w:r>
        <w:rPr>
          <w:rFonts w:ascii="Arial" w:cs="Arial" w:eastAsia="Arial" w:hAnsi="Arial"/>
          <w:i/>
          <w:iCs/>
          <w:color w:val="14181D"/>
          <w:sz w:val="20"/>
          <w:szCs w:val="20"/>
        </w:rPr>
        <w:t xml:space="preserve">"certificate"</w:t>
      </w:r>
      <w:r>
        <w:rPr>
          <w:rFonts w:ascii="Arial" w:cs="Arial" w:eastAsia="Arial" w:hAnsi="Arial"/>
          <w:color w:val="14181D"/>
          <w:sz w:val="20"/>
          <w:szCs w:val="20"/>
        </w:rPr>
        <w:t xml:space="preserve">, but many supplier portals use the QMS row for a documented quality management system rather than third-party certification. ETABLIX has signed, documented quality management arrangements. </w:t>
      </w:r>
      <w:r>
        <w:rPr>
          <w:rFonts w:ascii="Arial" w:cs="Arial" w:eastAsia="Arial" w:hAnsi="Arial"/>
          <w:b/>
          <w:bCs/>
          <w:color w:val="14181D"/>
          <w:sz w:val="20"/>
          <w:szCs w:val="20"/>
        </w:rPr>
        <w:t xml:space="preserve">If the field accepts documentation, the honest answer is Yes and the arrangements are the upload. If it requires a certificate, the answer stays No.</w:t>
      </w:r>
      <w:r>
        <w:rPr>
          <w:rFonts w:ascii="Arial" w:cs="Arial" w:eastAsia="Arial" w:hAnsi="Arial"/>
          <w:color w:val="14181D"/>
          <w:sz w:val="20"/>
          <w:szCs w:val="20"/>
        </w:rPr>
        <w:t xml:space="preserve"> That ambiguity is not ours to resolve in our own favour — ask and use the answer.</w:t>
      </w:r>
    </w:p>
    <w:p>
      <w:pPr>
        <w:spacing w:after="90" w:before="90" w:line="280"/>
      </w:pPr>
      <w:r>
        <w:rPr>
          <w:rFonts w:ascii="Arial" w:cs="Arial" w:eastAsia="Arial" w:hAnsi="Arial"/>
          <w:b/>
          <w:bCs/>
          <w:color w:val="14181D"/>
          <w:sz w:val="20"/>
          <w:szCs w:val="20"/>
        </w:rPr>
        <w:t xml:space="preserve">Route two: the category is probably wrong.</w:t>
      </w:r>
      <w:r>
        <w:rPr>
          <w:rFonts w:ascii="Arial" w:cs="Arial" w:eastAsia="Arial" w:hAnsi="Arial"/>
          <w:color w:val="14181D"/>
          <w:sz w:val="20"/>
          <w:szCs w:val="20"/>
        </w:rPr>
        <w:t xml:space="preserve"> SQE stands for Supplier Quality Engineering, and a mandatory ISO or QMS gate is a </w:t>
      </w:r>
      <w:r>
        <w:rPr>
          <w:rFonts w:ascii="Arial" w:cs="Arial" w:eastAsia="Arial" w:hAnsi="Arial"/>
          <w:i/>
          <w:iCs/>
          <w:color w:val="14181D"/>
          <w:sz w:val="20"/>
          <w:szCs w:val="20"/>
        </w:rPr>
        <w:t xml:space="preserve">goods and manufacturing</w:t>
      </w:r>
      <w:r>
        <w:rPr>
          <w:rFonts w:ascii="Arial" w:cs="Arial" w:eastAsia="Arial" w:hAnsi="Arial"/>
          <w:color w:val="14181D"/>
          <w:sz w:val="20"/>
          <w:szCs w:val="20"/>
        </w:rPr>
        <w:t xml:space="preserve"> rule. A professional services supplier that ships nothing and manufactures nothing is normally routed to a different questionnaire or granted a documented exemption. If registration went in under a goods or manufacturing commodity code, this gate is a symptom of that and re-categorisation removes it. This is the same commodity-code question that has to be settled anyway before a purchase order can be raised.</w:t>
      </w:r>
    </w:p>
    <w:p>
      <w:pPr>
        <w:spacing w:after="90" w:before="90" w:line="280"/>
      </w:pPr>
      <w:r>
        <w:rPr>
          <w:rFonts w:ascii="Arial" w:cs="Arial" w:eastAsia="Arial" w:hAnsi="Arial"/>
          <w:b/>
          <w:bCs/>
          <w:color w:val="14181D"/>
          <w:sz w:val="20"/>
          <w:szCs w:val="20"/>
        </w:rPr>
        <w:t xml:space="preserve">Route three: an SQE can waive it, and that is their job.</w:t>
      </w:r>
      <w:r>
        <w:rPr>
          <w:rFonts w:ascii="Arial" w:cs="Arial" w:eastAsia="Arial" w:hAnsi="Arial"/>
          <w:color w:val="14181D"/>
          <w:sz w:val="20"/>
          <w:szCs w:val="20"/>
        </w:rPr>
        <w:t xml:space="preserve"> There is a named human function behind this screen. A supplier quality engineer determines what quality requirements apply to a given supplier and category, and routinely sets them aside for low-risk service suppliers. Ask for the determination; do not ask for an exception.</w:t>
      </w:r>
    </w:p>
    <w:p>
      <w:pPr>
        <w:spacing w:after="90" w:before="90" w:line="280"/>
      </w:pPr>
      <w:r>
        <w:rPr>
          <w:rFonts w:ascii="Arial" w:cs="Arial" w:eastAsia="Arial" w:hAnsi="Arial"/>
          <w:b/>
          <w:bCs/>
          <w:color w:val="14181D"/>
          <w:sz w:val="20"/>
          <w:szCs w:val="20"/>
        </w:rPr>
        <w:t xml:space="preserve">Use the Live Chat first</w:t>
      </w:r>
      <w:r>
        <w:rPr>
          <w:rFonts w:ascii="Arial" w:cs="Arial" w:eastAsia="Arial" w:hAnsi="Arial"/>
          <w:color w:val="14181D"/>
          <w:sz w:val="20"/>
          <w:szCs w:val="20"/>
        </w:rPr>
        <w:t xml:space="preserve"> — the invitation includes the link and it is the fastest route. If it cannot resolve it, write to Marc Townsend. Either way the question is a factual one with a factual answer, and asking it is itself a good first impression: it is what a supplier who reads the question does.</w:t>
      </w:r>
    </w:p>
    <w:p>
      <w:pPr>
        <w:spacing w:after="90" w:before="90" w:line="280"/>
      </w:pPr>
      <w:r>
        <w:rPr>
          <w:rFonts w:ascii="Arial" w:cs="Arial" w:eastAsia="Arial" w:hAnsi="Arial"/>
          <w:b/>
          <w:bCs/>
          <w:color w:val="14181D"/>
          <w:sz w:val="20"/>
          <w:szCs w:val="20"/>
        </w:rPr>
        <w:t xml:space="preserve">4. Declare the former employment before anyone has to find it.</w:t>
      </w:r>
      <w:r>
        <w:rPr>
          <w:rFonts w:ascii="Arial" w:cs="Arial" w:eastAsia="Arial" w:hAnsi="Arial"/>
          <w:color w:val="14181D"/>
          <w:sz w:val="20"/>
          <w:szCs w:val="20"/>
        </w:rPr>
        <w:t xml:space="preserve"> The director was a GE Vernova employee until December 2025 and is now applying to be a supplier to the same business unit. Many organisations have conflict-of-interest rules or cooling-off expectations about exactly this. If the application has a conflicts field, state it there. If it does not, state it in writing to Marc Townsend anyway.</w:t>
      </w:r>
    </w:p>
    <w:p>
      <w:pPr>
        <w:spacing w:after="90" w:before="90" w:line="280"/>
      </w:pPr>
      <w:r>
        <w:rPr>
          <w:rFonts w:ascii="Arial" w:cs="Arial" w:eastAsia="Arial" w:hAnsi="Arial"/>
          <w:color w:val="14181D"/>
          <w:sz w:val="20"/>
          <w:szCs w:val="20"/>
        </w:rPr>
        <w:t xml:space="preserve">It is not a problem if declared and it is a serious problem if discovered. And it is the cheapest possible demonstration of the integrity the Supplier Integrity Guide asks for.</w:t>
      </w:r>
    </w:p>
    <w:p>
      <w:pPr>
        <w:spacing w:after="90" w:before="90" w:line="280"/>
      </w:pPr>
      <w:r>
        <w:rPr>
          <w:rFonts w:ascii="Arial" w:cs="Arial" w:eastAsia="Arial" w:hAnsi="Arial"/>
          <w:b/>
          <w:bCs/>
          <w:color w:val="14181D"/>
          <w:sz w:val="20"/>
          <w:szCs w:val="20"/>
        </w:rPr>
        <w:t xml:space="preserve">5. Read the attached NDA before acknowledging it — specifically for the reference clause.</w:t>
      </w:r>
      <w:r>
        <w:rPr>
          <w:rFonts w:ascii="Arial" w:cs="Arial" w:eastAsia="Arial" w:hAnsi="Arial"/>
          <w:color w:val="14181D"/>
          <w:sz w:val="20"/>
          <w:szCs w:val="20"/>
        </w:rPr>
        <w:t xml:space="preserve"> The whole procurement value of this engagement depends on being able to say GE Vernova was a customer and to have them countersign an Attachment 1a.</w:t>
      </w:r>
    </w:p>
    <w:p>
      <w:pPr>
        <w:spacing w:after="90" w:before="90" w:line="280"/>
      </w:pPr>
      <w:r>
        <w:rPr>
          <w:rFonts w:ascii="Arial" w:cs="Arial" w:eastAsia="Arial" w:hAnsi="Arial"/>
          <w:color w:val="14181D"/>
          <w:sz w:val="20"/>
          <w:szCs w:val="20"/>
        </w:rPr>
        <w:t xml:space="preserve">If the NDA prevents naming them or describing the work, that value disappears while the income remains. So read it, and if it is restrictive, ask Marc Townsend in writing for permission to name GE Vernova as a reference customer and to have a confirmation of services countersigned on completion. Ask at registration, not after the first PO. A request made while they are onboarding you is routine; the same request made later is a negotiation.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This reverses the advice on insurance</w:t>
      </w:r>
    </w:p>
    <w:p>
      <w:pPr>
        <w:spacing w:after="90" w:before="90" w:line="280"/>
      </w:pPr>
      <w:r>
        <w:rPr>
          <w:rFonts w:ascii="Arial" w:cs="Arial" w:eastAsia="Arial" w:hAnsi="Arial"/>
          <w:color w:val="14181D"/>
          <w:sz w:val="20"/>
          <w:szCs w:val="20"/>
        </w:rPr>
        <w:t xml:space="preserve">The earlier plan said to spend nothing on Cyber Essentials or insurance until there was income, because they are prerequisites for framework </w:t>
      </w:r>
      <w:r>
        <w:rPr>
          <w:rFonts w:ascii="Arial" w:cs="Arial" w:eastAsia="Arial" w:hAnsi="Arial"/>
          <w:b/>
          <w:bCs/>
          <w:color w:val="14181D"/>
          <w:sz w:val="20"/>
          <w:szCs w:val="20"/>
        </w:rPr>
        <w:t xml:space="preserve">appointment</w:t>
      </w:r>
      <w:r>
        <w:rPr>
          <w:rFonts w:ascii="Arial" w:cs="Arial" w:eastAsia="Arial" w:hAnsi="Arial"/>
          <w:color w:val="14181D"/>
          <w:sz w:val="20"/>
          <w:szCs w:val="20"/>
        </w:rPr>
        <w:t xml:space="preserve"> rather than registration, and the frameworks are open for four years.</w:t>
      </w:r>
    </w:p>
    <w:p>
      <w:pPr>
        <w:spacing w:after="90" w:before="90" w:line="280"/>
      </w:pPr>
      <w:r>
        <w:rPr>
          <w:rFonts w:ascii="Arial" w:cs="Arial" w:eastAsia="Arial" w:hAnsi="Arial"/>
          <w:b/>
          <w:bCs/>
          <w:color w:val="14181D"/>
          <w:sz w:val="20"/>
          <w:szCs w:val="20"/>
        </w:rPr>
        <w:t xml:space="preserve">Insurance now moves to the front.</w:t>
      </w:r>
      <w:r>
        <w:rPr>
          <w:rFonts w:ascii="Arial" w:cs="Arial" w:eastAsia="Arial" w:hAnsi="Arial"/>
          <w:color w:val="14181D"/>
          <w:sz w:val="20"/>
          <w:szCs w:val="20"/>
        </w:rPr>
        <w:t xml:space="preserve"> A tier-one contractor onboarding a supplier will require evidence of professional indemnity and public liability, and employers' liability where applicable, and will require it before a purchase order rather than after. That is no longer speculative spend against a maybe; it is a condition of the one live revenue route. Get quotes this week.</w:t>
      </w:r>
    </w:p>
    <w:p>
      <w:pPr>
        <w:spacing w:after="90" w:before="90" w:line="280"/>
      </w:pPr>
      <w:r>
        <w:rPr>
          <w:rFonts w:ascii="Arial" w:cs="Arial" w:eastAsia="Arial" w:hAnsi="Arial"/>
          <w:b/>
          <w:bCs/>
          <w:color w:val="14181D"/>
          <w:sz w:val="20"/>
          <w:szCs w:val="20"/>
        </w:rPr>
        <w:t xml:space="preserve">Cyber Essentials stays where it was</w:t>
      </w:r>
      <w:r>
        <w:rPr>
          <w:rFonts w:ascii="Arial" w:cs="Arial" w:eastAsia="Arial" w:hAnsi="Arial"/>
          <w:color w:val="14181D"/>
          <w:sz w:val="20"/>
          <w:szCs w:val="20"/>
        </w:rPr>
        <w:t xml:space="preserve"> — useful, mandatory for DPS appointment, not required to receive a purchase order. It can wait until there is money.</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one question the reply has to ask</w:t>
      </w:r>
    </w:p>
    <w:p>
      <w:pPr>
        <w:spacing w:after="90" w:before="90" w:line="280"/>
      </w:pPr>
      <w:r>
        <w:rPr>
          <w:rFonts w:ascii="Arial" w:cs="Arial" w:eastAsia="Arial" w:hAnsi="Arial"/>
          <w:color w:val="14181D"/>
          <w:sz w:val="20"/>
          <w:szCs w:val="20"/>
        </w:rPr>
        <w:t xml:space="preserve">Register first, then write. The question that matters is </w:t>
      </w:r>
      <w:r>
        <w:rPr>
          <w:rFonts w:ascii="Arial" w:cs="Arial" w:eastAsia="Arial" w:hAnsi="Arial"/>
          <w:b/>
          <w:bCs/>
          <w:color w:val="14181D"/>
          <w:sz w:val="20"/>
          <w:szCs w:val="20"/>
        </w:rPr>
        <w:t xml:space="preserve">what service category and commodity codes to register under</w:t>
      </w:r>
      <w:r>
        <w:rPr>
          <w:rFonts w:ascii="Arial" w:cs="Arial" w:eastAsia="Arial" w:hAnsi="Arial"/>
          <w:color w:val="14181D"/>
          <w:sz w:val="20"/>
          <w:szCs w:val="20"/>
        </w:rPr>
        <w:t xml:space="preserve">, because that determines what a requisitioner can raise a purchase order against.</w:t>
      </w:r>
    </w:p>
    <w:p>
      <w:pPr>
        <w:spacing w:after="90" w:before="90" w:line="280"/>
      </w:pPr>
      <w:r>
        <w:rPr>
          <w:rFonts w:ascii="Arial" w:cs="Arial" w:eastAsia="Arial" w:hAnsi="Arial"/>
          <w:color w:val="14181D"/>
          <w:sz w:val="20"/>
          <w:szCs w:val="20"/>
        </w:rPr>
        <w:t xml:space="preserve">Registered under the wrong category, the account approves and no PO can be raised through it without a change request. The scope to name is the one the director already performed there: site establishment and workforce accommodation — specification, procurement, integration, mobilisation, daily operation, demobilisation and reinstatement — and construction subcontract management.</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GE Vernova has invited us to register as a supplier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 VERNOVA HAS INVITED US TO REGISTER AS A SUPPLIER</dc:title>
  <dc:creator>ETABLIX — Integrated Site Services</dc:creator>
  <dc:description>ETABLIX GE VERNOVA HAS INVITED US TO REGISTER AS A SUPPLIER</dc:description>
  <cp:lastModifiedBy>Un-named</cp:lastModifiedBy>
  <cp:revision>1</cp:revision>
  <dcterms:created xsi:type="dcterms:W3CDTF">2026-10-07T11:14:41.060Z</dcterms:created>
  <dcterms:modified xsi:type="dcterms:W3CDTF">2026-10-07T11:14:41.060Z</dcterms:modified>
</cp:coreProperties>
</file>

<file path=docProps/custom.xml><?xml version="1.0" encoding="utf-8"?>
<Properties xmlns="http://schemas.openxmlformats.org/officeDocument/2006/custom-properties" xmlns:vt="http://schemas.openxmlformats.org/officeDocument/2006/docPropsVTypes"/>
</file>