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60"/>
      </w:pPr>
      <w:r>
        <w:rPr>
          <w:rFonts w:ascii="Arial" w:cs="Arial" w:eastAsia="Arial" w:hAnsi="Arial"/>
          <w:b/>
          <w:bCs/>
          <w:color w:val="14181D"/>
          <w:sz w:val="56"/>
          <w:szCs w:val="56"/>
        </w:rPr>
        <w:t xml:space="preserve">ETABLIX</w:t>
      </w:r>
    </w:p>
    <w:p>
      <w:pPr>
        <w:spacing w:after="60" w:before="0"/>
      </w:pPr>
      <w:r>
        <w:rPr>
          <w:rFonts w:ascii="Arial" w:cs="Arial" w:eastAsia="Arial" w:hAnsi="Arial"/>
          <w:b/>
          <w:bCs/>
          <w:color w:val="9C7A3C"/>
          <w:sz w:val="18"/>
          <w:szCs w:val="18"/>
        </w:rPr>
        <w:t xml:space="preserve">INTEGRATED SITE SERVICES</w:t>
      </w:r>
    </w:p>
    <w:p>
      <w:pPr>
        <w:pBdr>
          <w:bottom w:val="single" w:color="9C7A3C" w:sz="6" w:space="6"/>
        </w:pBdr>
        <w:spacing w:after="380" w:before="90" w:line="280"/>
      </w:pPr>
      <w:r>
        <w:rPr>
          <w:rFonts w:ascii="Arial" w:cs="Arial" w:eastAsia="Arial" w:hAnsi="Arial"/>
          <w:color w:val="5B6672"/>
          <w:sz w:val="18"/>
          <w:szCs w:val="18"/>
        </w:rPr>
        <w:t xml:space="preserve">A trading name of JNN GLOBAL LTD · Company number 15405437</w:t>
      </w:r>
    </w:p>
    <w:p>
      <w:pPr>
        <w:spacing w:after="0" w:before="260"/>
      </w:pPr>
      <w:r>
        <w:rPr>
          <w:rFonts w:ascii="Arial" w:cs="Arial" w:eastAsia="Arial" w:hAnsi="Arial"/>
          <w:b/>
          <w:bCs/>
          <w:color w:val="9C7A3C"/>
          <w:sz w:val="30"/>
          <w:szCs w:val="30"/>
        </w:rPr>
        <w:t xml:space="preserve">WORKING BRIEF</w:t>
      </w:r>
    </w:p>
    <w:p>
      <w:pPr>
        <w:spacing w:after="0" w:before="0"/>
      </w:pPr>
      <w:r>
        <w:rPr>
          <w:rFonts w:ascii="Arial" w:cs="Arial" w:eastAsia="Arial" w:hAnsi="Arial"/>
          <w:b/>
          <w:bCs/>
          <w:color w:val="14181D"/>
          <w:sz w:val="44"/>
          <w:szCs w:val="44"/>
        </w:rPr>
        <w:t xml:space="preserve">FACEBOOK CAROUSEL: SUBCONTRACTOR REGISTER</w:t>
      </w:r>
    </w:p>
    <w:p>
      <w:pPr>
        <w:spacing w:after="420" w:before="60"/>
      </w:pPr>
      <w:r>
        <w:rPr>
          <w:rFonts w:ascii="Arial" w:cs="Arial" w:eastAsia="Arial" w:hAnsi="Arial"/>
          <w:color w:val="5B6672"/>
          <w:sz w:val="26"/>
          <w:szCs w:val="26"/>
        </w:rPr>
        <w:t xml:space="preserve">internal working document — not for issue to a client or a buyer</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300"/>
        <w:gridCol w:w="6000"/>
      </w:tblGrid>
      <w:tr>
        <w:trPr>
          <w:tblHeader/>
        </w:trPr>
        <w:tc>
          <w:tcPr>
            <w:tcW w:type="dxa" w:w="23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c>
          <w:tcPr>
            <w:tcW w:type="dxa" w:w="60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Document</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Facebook carousel: subcontractor register</w:t>
            </w:r>
          </w:p>
        </w:tc>
      </w:tr>
      <w:tr>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Source</w:t>
            </w:r>
          </w:p>
        </w:tc>
        <w:tc>
          <w:tcPr>
            <w:tcW w:type="dxa" w:w="6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business/marketing/facebook-carousel-subcontractors.md</w:t>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Rendered</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12 October 2026</w:t>
            </w:r>
          </w:p>
        </w:tc>
      </w:tr>
      <w:tr>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Status</w:t>
            </w:r>
          </w:p>
        </w:tc>
        <w:tc>
          <w:tcPr>
            <w:tcW w:type="dxa" w:w="6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Rendered from the markdown source. Edit the source and re-run; do not edit this file.</w:t>
            </w:r>
          </w:p>
        </w:tc>
      </w:tr>
    </w:tbl>
    <w:p>
      <w:pPr>
        <w:spacing w:after="300" w:before="90" w:line="280"/>
      </w:pPr>
      <w:r>
        <w:rPr>
          <w:rFonts w:ascii="Arial" w:cs="Arial" w:eastAsia="Arial" w:hAnsi="Arial"/>
          <w:color w:val="14181D"/>
          <w:sz w:val="20"/>
          <w:szCs w:val="20"/>
        </w:rPr>
        <w:t xml:space="preserve"/>
      </w:r>
    </w:p>
    <w:p>
      <w:r>
        <w:br w:type="page"/>
      </w:r>
    </w:p>
    <w:p>
      <w:pPr>
        <w:pStyle w:val="Heading1"/>
        <w:keepNext/>
        <w:pBdr>
          <w:bottom w:val="single" w:color="9C7A3C" w:sz="8" w:space="6"/>
        </w:pBdr>
        <w:spacing w:after="150" w:before="380"/>
      </w:pPr>
      <w:r>
        <w:rPr>
          <w:rFonts w:ascii="Arial" w:cs="Arial" w:eastAsia="Arial" w:hAnsi="Arial"/>
          <w:b/>
          <w:bCs/>
          <w:color w:val="14181D"/>
          <w:sz w:val="26"/>
          <w:szCs w:val="26"/>
        </w:rPr>
        <w:t xml:space="preserve">A correction to the previous pack</w:t>
      </w:r>
    </w:p>
    <w:p>
      <w:pPr>
        <w:spacing w:after="90" w:before="90" w:line="280"/>
      </w:pPr>
      <w:r>
        <w:rPr>
          <w:rFonts w:ascii="Arial" w:cs="Arial" w:eastAsia="Arial" w:hAnsi="Arial"/>
          <w:color w:val="14181D"/>
          <w:sz w:val="20"/>
          <w:szCs w:val="20"/>
        </w:rPr>
        <w:t xml:space="preserve">The Diagnostic carousel said paid subcontractor recruitment was not worth spending on. On reflection that was the wrong call, and </w:t>
      </w:r>
      <w:r>
        <w:rPr>
          <w:rFonts w:ascii="Arial" w:cs="Arial" w:eastAsia="Arial" w:hAnsi="Arial"/>
          <w:b/>
          <w:bCs/>
          <w:color w:val="14181D"/>
          <w:sz w:val="20"/>
          <w:szCs w:val="20"/>
        </w:rPr>
        <w:t xml:space="preserve">this is the better Facebook campaign of the two.</w:t>
      </w:r>
    </w:p>
    <w:p>
      <w:pPr>
        <w:spacing w:after="90" w:before="90" w:line="280"/>
      </w:pPr>
      <w:r>
        <w:rPr>
          <w:rFonts w:ascii="Arial" w:cs="Arial" w:eastAsia="Arial" w:hAnsi="Arial"/>
          <w:b/>
          <w:bCs/>
          <w:color w:val="14181D"/>
          <w:sz w:val="20"/>
          <w:szCs w:val="20"/>
        </w:rPr>
        <w:t xml:space="preserve">The audience is actually on Facebook.</w:t>
      </w:r>
      <w:r>
        <w:rPr>
          <w:rFonts w:ascii="Arial" w:cs="Arial" w:eastAsia="Arial" w:hAnsi="Arial"/>
          <w:color w:val="14181D"/>
          <w:sz w:val="20"/>
          <w:szCs w:val="20"/>
        </w:rPr>
        <w:t xml:space="preserve"> Owners of small civils, fencing, plant hire, welfare, waste and modular businesses use it daily. Commercial directors at tier-one contractors do not. Meta cannot target a job title, but it reaches a small business owner in the Midlands with an interest in construction plant very cheaply — and that is exactly who should be on the register.</w:t>
      </w:r>
    </w:p>
    <w:p>
      <w:pPr>
        <w:spacing w:after="90" w:before="90" w:line="280"/>
      </w:pPr>
      <w:r>
        <w:rPr>
          <w:rFonts w:ascii="Arial" w:cs="Arial" w:eastAsia="Arial" w:hAnsi="Arial"/>
          <w:b/>
          <w:bCs/>
          <w:color w:val="14181D"/>
          <w:sz w:val="20"/>
          <w:szCs w:val="20"/>
        </w:rPr>
        <w:t xml:space="preserve">And the register is an asset that compounds.</w:t>
      </w:r>
      <w:r>
        <w:rPr>
          <w:rFonts w:ascii="Arial" w:cs="Arial" w:eastAsia="Arial" w:hAnsi="Arial"/>
          <w:color w:val="14181D"/>
          <w:sz w:val="20"/>
          <w:szCs w:val="20"/>
        </w:rPr>
        <w:t xml:space="preserve"> CHIC returned the application for insufficient detail on </w:t>
      </w:r>
      <w:r>
        <w:rPr>
          <w:rFonts w:ascii="Arial" w:cs="Arial" w:eastAsia="Arial" w:hAnsi="Arial"/>
          <w:i/>
          <w:iCs/>
          <w:color w:val="14181D"/>
          <w:sz w:val="20"/>
          <w:szCs w:val="20"/>
        </w:rPr>
        <w:t xml:space="preserve">delivery capability</w:t>
      </w:r>
      <w:r>
        <w:rPr>
          <w:rFonts w:ascii="Arial" w:cs="Arial" w:eastAsia="Arial" w:hAnsi="Arial"/>
          <w:color w:val="14181D"/>
          <w:sz w:val="20"/>
          <w:szCs w:val="20"/>
        </w:rPr>
        <w:t xml:space="preserve">. A named, prequalified subcontractor with current insurances on file, in a category matching the scope being bid, is a direct answer to that — verifiable by telephone. Three procurement threads need it. It is the only thing available right now that is cheap to build and gets more valuable the longer it runs.</w:t>
      </w:r>
    </w:p>
    <w:p>
      <w:pPr>
        <w:spacing w:after="90" w:before="90" w:line="280"/>
      </w:pPr>
      <w:r>
        <w:rPr>
          <w:rFonts w:ascii="Arial" w:cs="Arial" w:eastAsia="Arial" w:hAnsi="Arial"/>
          <w:b/>
          <w:bCs/>
          <w:color w:val="14181D"/>
          <w:sz w:val="20"/>
          <w:szCs w:val="20"/>
        </w:rPr>
        <w:t xml:space="preserve">The client carousel moves to LinkedIn</w:t>
      </w:r>
      <w:r>
        <w:rPr>
          <w:rFonts w:ascii="Arial" w:cs="Arial" w:eastAsia="Arial" w:hAnsi="Arial"/>
          <w:color w:val="14181D"/>
          <w:sz w:val="20"/>
          <w:szCs w:val="20"/>
        </w:rPr>
        <w:t xml:space="preserve">, where the buyer actually is.</w:t>
      </w:r>
    </w:p>
    <w:p>
      <w:pPr>
        <w:pStyle w:val="Heading1"/>
        <w:keepNext/>
        <w:pBdr>
          <w:bottom w:val="single" w:color="9C7A3C" w:sz="8" w:space="6"/>
        </w:pBdr>
        <w:spacing w:after="150" w:before="380"/>
      </w:pPr>
      <w:r>
        <w:rPr>
          <w:rFonts w:ascii="Arial" w:cs="Arial" w:eastAsia="Arial" w:hAnsi="Arial"/>
          <w:b/>
          <w:bCs/>
          <w:color w:val="14181D"/>
          <w:sz w:val="26"/>
          <w:szCs w:val="26"/>
        </w:rPr>
        <w:t xml:space="preserve">The constraint, and it is harder in a paid ad</w:t>
      </w:r>
    </w:p>
    <w:p>
      <w:pPr>
        <w:spacing w:after="90" w:before="90" w:line="280"/>
      </w:pPr>
      <w:r>
        <w:rPr>
          <w:rFonts w:ascii="Arial" w:cs="Arial" w:eastAsia="Arial" w:hAnsi="Arial"/>
          <w:b/>
          <w:bCs/>
          <w:color w:val="14181D"/>
          <w:sz w:val="20"/>
          <w:szCs w:val="20"/>
        </w:rPr>
        <w:t xml:space="preserve">There are no live packages, and the carousel has to say so — on a card, not buried on the landing page.</w:t>
      </w:r>
      <w:r>
        <w:rPr>
          <w:rFonts w:ascii="Arial" w:cs="Arial" w:eastAsia="Arial" w:hAnsi="Arial"/>
          <w:color w:val="14181D"/>
          <w:sz w:val="20"/>
          <w:szCs w:val="20"/>
        </w:rPr>
        <w:t xml:space="preserve"> An organic post that is honest and an ad that is not is worse than never running the ad. Card 4 exists for this and must not be cut to improve conversion.</w:t>
      </w:r>
    </w:p>
    <w:p>
      <w:pPr>
        <w:spacing w:after="90" w:before="90" w:line="280"/>
      </w:pPr>
      <w:r>
        <w:rPr>
          <w:rFonts w:ascii="Arial" w:cs="Arial" w:eastAsia="Arial" w:hAnsi="Arial"/>
          <w:color w:val="14181D"/>
          <w:sz w:val="20"/>
          <w:szCs w:val="20"/>
        </w:rPr>
        <w:t xml:space="preserve">The honesty is also the hook. Every subcontractor reading this has filled in registrations that went nowhere. Leading with respect for their time is the one thing none of their other registrations did.</w:t>
      </w:r>
    </w:p>
    <w:p>
      <w:pPr>
        <w:pStyle w:val="Heading1"/>
        <w:keepNext/>
        <w:pBdr>
          <w:bottom w:val="single" w:color="9C7A3C" w:sz="8" w:space="6"/>
        </w:pBdr>
        <w:spacing w:after="150" w:before="380"/>
      </w:pPr>
      <w:r>
        <w:rPr>
          <w:rFonts w:ascii="Arial" w:cs="Arial" w:eastAsia="Arial" w:hAnsi="Arial"/>
          <w:b/>
          <w:bCs/>
          <w:color w:val="14181D"/>
          <w:sz w:val="26"/>
          <w:szCs w:val="26"/>
        </w:rPr>
        <w:t xml:space="preserve">The sequence</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922"/>
        <w:gridCol w:w="5391"/>
        <w:gridCol w:w="1987"/>
      </w:tblGrid>
      <w:tr>
        <w:trPr>
          <w:tblHeader/>
        </w:trPr>
        <w:tc>
          <w:tcPr>
            <w:tcW w:type="dxa" w:w="922"/>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5"/>
                <w:szCs w:val="15"/>
              </w:rPr>
              <w:t xml:space="preserve">Card</w:t>
            </w:r>
          </w:p>
        </w:tc>
        <w:tc>
          <w:tcPr>
            <w:tcW w:type="dxa" w:w="5391"/>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5"/>
                <w:szCs w:val="15"/>
              </w:rPr>
              <w:t xml:space="preserve">Image</w:t>
            </w:r>
          </w:p>
        </w:tc>
        <w:tc>
          <w:tcPr>
            <w:tcW w:type="dxa" w:w="1987"/>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5"/>
                <w:szCs w:val="15"/>
              </w:rPr>
              <w:t xml:space="preserve">Overlay</w:t>
            </w:r>
          </w:p>
        </w:tc>
      </w:tr>
      <w:tr>
        <w:tc>
          <w:tcPr>
            <w:tcW w:type="dxa" w:w="922"/>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1</w:t>
            </w:r>
          </w:p>
        </w:tc>
        <w:tc>
          <w:tcPr>
            <w:tcW w:type="dxa" w:w="5391"/>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A stack of completed supplier questionnaires on a van dashboard</w:t>
            </w:r>
          </w:p>
        </w:tc>
        <w:tc>
          <w:tcPr>
            <w:tcW w:type="dxa" w:w="1987"/>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Another form. Another silence.</w:t>
            </w:r>
          </w:p>
        </w:tc>
      </w:tr>
      <w:tr>
        <w:tc>
          <w:tcPr>
            <w:tcW w:type="dxa" w:w="922"/>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2</w:t>
            </w:r>
          </w:p>
        </w:tc>
        <w:tc>
          <w:tcPr>
            <w:tcW w:type="dxa" w:w="5391"/>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A compound going in — cabins craned, fencing up</w:t>
            </w:r>
          </w:p>
        </w:tc>
        <w:tc>
          <w:tcPr>
            <w:tcW w:type="dxa" w:w="1987"/>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We buy the temporary.</w:t>
            </w:r>
          </w:p>
        </w:tc>
      </w:tr>
      <w:tr>
        <w:tc>
          <w:tcPr>
            <w:tcW w:type="dxa" w:w="922"/>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3</w:t>
            </w:r>
          </w:p>
        </w:tc>
        <w:tc>
          <w:tcPr>
            <w:tcW w:type="dxa" w:w="5391"/>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The permanent structure rising behind it</w:t>
            </w:r>
          </w:p>
        </w:tc>
        <w:tc>
          <w:tcPr>
            <w:tcW w:type="dxa" w:w="1987"/>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Not the permanent.</w:t>
            </w:r>
          </w:p>
        </w:tc>
      </w:tr>
      <w:tr>
        <w:tc>
          <w:tcPr>
            <w:tcW w:type="dxa" w:w="922"/>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4</w:t>
            </w:r>
          </w:p>
        </w:tc>
        <w:tc>
          <w:tcPr>
            <w:tcW w:type="dxa" w:w="5391"/>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The empty field, before anything</w:t>
            </w:r>
          </w:p>
        </w:tc>
        <w:tc>
          <w:tcPr>
            <w:tcW w:type="dxa" w:w="1987"/>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Nothing live today.</w:t>
            </w:r>
          </w:p>
        </w:tc>
      </w:tr>
      <w:tr>
        <w:tc>
          <w:tcPr>
            <w:tcW w:type="dxa" w:w="922"/>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5</w:t>
            </w:r>
          </w:p>
        </w:tc>
        <w:tc>
          <w:tcPr>
            <w:tcW w:type="dxa" w:w="5391"/>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A phone ringing on a van dashboard</w:t>
            </w:r>
          </w:p>
        </w:tc>
        <w:tc>
          <w:tcPr>
            <w:tcW w:type="dxa" w:w="1987"/>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Be on the list first.</w:t>
            </w:r>
          </w:p>
        </w:tc>
      </w:tr>
    </w:tbl>
    <w:p>
      <w:pPr>
        <w:spacing w:after="90" w:before="90" w:line="280"/>
      </w:pPr>
      <w:r>
        <w:rPr>
          <w:rFonts w:ascii="Arial" w:cs="Arial" w:eastAsia="Arial" w:hAnsi="Arial"/>
          <w:b/>
          <w:bCs/>
          <w:color w:val="14181D"/>
          <w:sz w:val="20"/>
          <w:szCs w:val="20"/>
        </w:rPr>
        <w:t xml:space="preserve">Cards 2 and 3 are a pair and the swipe is the point</w:t>
      </w:r>
      <w:r>
        <w:rPr>
          <w:rFonts w:ascii="Arial" w:cs="Arial" w:eastAsia="Arial" w:hAnsi="Arial"/>
          <w:color w:val="14181D"/>
          <w:sz w:val="20"/>
          <w:szCs w:val="20"/>
        </w:rPr>
        <w:t xml:space="preserve"> — the contrast does the filtering that three paragraphs of explanation would otherwise have to do.</w:t>
      </w:r>
    </w:p>
    <w:p>
      <w:pPr>
        <w:spacing w:after="90" w:before="90" w:line="280"/>
      </w:pPr>
      <w:r>
        <w:rPr>
          <w:rFonts w:ascii="Arial" w:cs="Arial" w:eastAsia="Arial" w:hAnsi="Arial"/>
          <w:b/>
          <w:bCs/>
          <w:color w:val="14181D"/>
          <w:sz w:val="20"/>
          <w:szCs w:val="20"/>
        </w:rPr>
        <w:t xml:space="preserve">Card 4 is the honest one.</w:t>
      </w:r>
      <w:r>
        <w:rPr>
          <w:rFonts w:ascii="Arial" w:cs="Arial" w:eastAsia="Arial" w:hAnsi="Arial"/>
          <w:color w:val="14181D"/>
          <w:sz w:val="20"/>
          <w:szCs w:val="20"/>
        </w:rPr>
        <w:t xml:space="preserve"> It is also the one that makes cards 1 and 5 believable.</w:t>
      </w:r>
    </w:p>
    <w:p>
      <w:pPr>
        <w:pStyle w:val="Heading1"/>
        <w:keepNext/>
        <w:pBdr>
          <w:bottom w:val="single" w:color="9C7A3C" w:sz="8" w:space="6"/>
        </w:pBdr>
        <w:spacing w:after="150" w:before="380"/>
      </w:pPr>
      <w:r>
        <w:rPr>
          <w:rFonts w:ascii="Arial" w:cs="Arial" w:eastAsia="Arial" w:hAnsi="Arial"/>
          <w:b/>
          <w:bCs/>
          <w:color w:val="14181D"/>
          <w:sz w:val="26"/>
          <w:szCs w:val="26"/>
        </w:rPr>
        <w:t xml:space="preserve">The house look — in every prompt</w:t>
      </w:r>
    </w:p>
    <w:p>
      <w:pPr>
        <w:spacing w:after="90" w:before="90" w:line="280"/>
      </w:pPr>
      <w:r>
        <w:rPr>
          <w:rFonts w:ascii="Arial" w:cs="Arial" w:eastAsia="Arial" w:hAnsi="Arial"/>
          <w:color w:val="14181D"/>
          <w:sz w:val="20"/>
          <w:szCs w:val="20"/>
        </w:rPr>
        <w:t xml:space="preserve">Deliberately warmer and more workmanlike than the client carousel. These are people being invited in, not a buyer being shown a loss.</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Shot on a 35mm lens, available light, bright overcast UK daylight. Working palette of hi-vis orange, galvanised steel, fresh timber, wet gravel and grey-white sky. Documentary realism, mild grain, nothing staged or glossy. Square 1:1 with the subject off centre and clear sky or flat surface at the top for a text overlay. Everything in frame is plain and unbranded: cabins, fence panels, hoardings, vehicles, hard hats, hi-vis and signage boards all have blank unmarked surfaces, with no lettering, livery, numberplates or markings of any kind.</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Negative, every card: no branding anywhere in the scene — no logos, company names, lettering, livery, numberplates or signage on cabins, fencing, vehicles, hoardings, hard hats, hi-vis or any other object; all such surfaces blank; no legible text or numbers of any kind; no identifiable real location; legible text or numbers, no identifiable real location, no faces in sharp focus, no HDR, no lens flare, no stock-photo smiling, no illustration, no 3D render, no watermark.</w:t>
      </w:r>
    </w:p>
    <w:p>
      <w:pPr>
        <w:pStyle w:val="Heading1"/>
        <w:keepNext/>
        <w:pBdr>
          <w:bottom w:val="single" w:color="9C7A3C" w:sz="8" w:space="6"/>
        </w:pBdr>
        <w:spacing w:after="150" w:before="380"/>
      </w:pPr>
      <w:r>
        <w:rPr>
          <w:rFonts w:ascii="Arial" w:cs="Arial" w:eastAsia="Arial" w:hAnsi="Arial"/>
          <w:b/>
          <w:bCs/>
          <w:color w:val="14181D"/>
          <w:sz w:val="26"/>
          <w:szCs w:val="26"/>
        </w:rPr>
        <w:t xml:space="preserve">Card 1 — Another form, another silence</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Documentary photograph, square 1:1, shot from the driver's seat looking across to the passenger side of a working van. On the dashboard and passenger seat, a thick untidy stack of printed supplier questionnaires and prequalification forms, dog-eared, some stapled, a few filled in by hand in biro, a clipboard on top. A cold takeaway coffee cup in the holder, a hi-vis jacket crumpled on the seat, a phone face down. Grey daylight through a rain-flecked windscreen, industrial estate out of focus beyond. Mild clutter, real work, slight weariness.</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[house look] [negative, every card]</w:t>
      </w:r>
    </w:p>
    <w:p>
      <w:pPr>
        <w:spacing w:after="90" w:before="90" w:line="280"/>
      </w:pPr>
      <w:r>
        <w:rPr>
          <w:rFonts w:ascii="Arial" w:cs="Arial" w:eastAsia="Arial" w:hAnsi="Arial"/>
          <w:b/>
          <w:bCs/>
          <w:color w:val="14181D"/>
          <w:sz w:val="20"/>
          <w:szCs w:val="20"/>
        </w:rPr>
        <w:t xml:space="preserve">Overlay:</w:t>
      </w:r>
      <w:r>
        <w:rPr>
          <w:rFonts w:ascii="Arial" w:cs="Arial" w:eastAsia="Arial" w:hAnsi="Arial"/>
          <w:color w:val="14181D"/>
          <w:sz w:val="20"/>
          <w:szCs w:val="20"/>
        </w:rPr>
        <w:t xml:space="preserve"> </w:t>
      </w:r>
      <w:r>
        <w:rPr>
          <w:rFonts w:ascii="Arial" w:cs="Arial" w:eastAsia="Arial" w:hAnsi="Arial"/>
          <w:i/>
          <w:iCs/>
          <w:color w:val="14181D"/>
          <w:sz w:val="20"/>
          <w:szCs w:val="20"/>
        </w:rPr>
        <w:t xml:space="preserve">Another form. Another silence.</w:t>
      </w:r>
    </w:p>
    <w:p>
      <w:pPr>
        <w:pStyle w:val="Heading1"/>
        <w:keepNext/>
        <w:pBdr>
          <w:bottom w:val="single" w:color="9C7A3C" w:sz="8" w:space="6"/>
        </w:pBdr>
        <w:spacing w:after="150" w:before="380"/>
      </w:pPr>
      <w:r>
        <w:rPr>
          <w:rFonts w:ascii="Arial" w:cs="Arial" w:eastAsia="Arial" w:hAnsi="Arial"/>
          <w:b/>
          <w:bCs/>
          <w:color w:val="14181D"/>
          <w:sz w:val="26"/>
          <w:szCs w:val="26"/>
        </w:rPr>
        <w:t xml:space="preserve">Card 2 — We buy the temporary</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Documentary photograph, square 1:1. A site compound being established on a cleared plot: a telehandler or small crane setting a portable cabin onto fresh concrete pads, two cabins already placed and levelled, new heras fencing going up along one edge with a stack of panels waiting, fresh gravel hardstanding being spread, orange ducting coiled ready. Two or three workers in hi-vis at middle distance, working, none facing camera. Bright overcast, wet ground, everything new and not yet dirty.</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[house look] [negative, every card]</w:t>
      </w:r>
    </w:p>
    <w:p>
      <w:pPr>
        <w:spacing w:after="90" w:before="90" w:line="280"/>
      </w:pPr>
      <w:r>
        <w:rPr>
          <w:rFonts w:ascii="Arial" w:cs="Arial" w:eastAsia="Arial" w:hAnsi="Arial"/>
          <w:b/>
          <w:bCs/>
          <w:color w:val="14181D"/>
          <w:sz w:val="20"/>
          <w:szCs w:val="20"/>
        </w:rPr>
        <w:t xml:space="preserve">Overlay:</w:t>
      </w:r>
      <w:r>
        <w:rPr>
          <w:rFonts w:ascii="Arial" w:cs="Arial" w:eastAsia="Arial" w:hAnsi="Arial"/>
          <w:color w:val="14181D"/>
          <w:sz w:val="20"/>
          <w:szCs w:val="20"/>
        </w:rPr>
        <w:t xml:space="preserve"> </w:t>
      </w:r>
      <w:r>
        <w:rPr>
          <w:rFonts w:ascii="Arial" w:cs="Arial" w:eastAsia="Arial" w:hAnsi="Arial"/>
          <w:i/>
          <w:iCs/>
          <w:color w:val="14181D"/>
          <w:sz w:val="20"/>
          <w:szCs w:val="20"/>
        </w:rPr>
        <w:t xml:space="preserve">We buy the temporary.</w:t>
      </w:r>
    </w:p>
    <w:p>
      <w:pPr>
        <w:pStyle w:val="Heading1"/>
        <w:keepNext/>
        <w:pBdr>
          <w:bottom w:val="single" w:color="9C7A3C" w:sz="8" w:space="6"/>
        </w:pBdr>
        <w:spacing w:after="150" w:before="380"/>
      </w:pPr>
      <w:r>
        <w:rPr>
          <w:rFonts w:ascii="Arial" w:cs="Arial" w:eastAsia="Arial" w:hAnsi="Arial"/>
          <w:b/>
          <w:bCs/>
          <w:color w:val="14181D"/>
          <w:sz w:val="26"/>
          <w:szCs w:val="26"/>
        </w:rPr>
        <w:t xml:space="preserve">Card 3 — Not the permanent</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Documentary photograph, square 1:1. A permanent structure under construction seen from middle distance: steel frame erected, concrete cores rising, tower crane above, scaffolding to one elevation, formwork and rebar at ground level. Substantial, heavy, obviously permanent. Shot slightly from below so the frame dominates the sky. No compound, no cabins, no fencing in frame — the subject is the building itself and nothing around it. Bright overcast daylight.</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[house look] [negative, every card]</w:t>
      </w:r>
    </w:p>
    <w:p>
      <w:pPr>
        <w:spacing w:after="90" w:before="90" w:line="280"/>
      </w:pPr>
      <w:r>
        <w:rPr>
          <w:rFonts w:ascii="Arial" w:cs="Arial" w:eastAsia="Arial" w:hAnsi="Arial"/>
          <w:b/>
          <w:bCs/>
          <w:color w:val="14181D"/>
          <w:sz w:val="20"/>
          <w:szCs w:val="20"/>
        </w:rPr>
        <w:t xml:space="preserve">Overlay:</w:t>
      </w:r>
      <w:r>
        <w:rPr>
          <w:rFonts w:ascii="Arial" w:cs="Arial" w:eastAsia="Arial" w:hAnsi="Arial"/>
          <w:color w:val="14181D"/>
          <w:sz w:val="20"/>
          <w:szCs w:val="20"/>
        </w:rPr>
        <w:t xml:space="preserve"> </w:t>
      </w:r>
      <w:r>
        <w:rPr>
          <w:rFonts w:ascii="Arial" w:cs="Arial" w:eastAsia="Arial" w:hAnsi="Arial"/>
          <w:i/>
          <w:iCs/>
          <w:color w:val="14181D"/>
          <w:sz w:val="20"/>
          <w:szCs w:val="20"/>
        </w:rPr>
        <w:t xml:space="preserve">Not the permanent.</w:t>
      </w:r>
    </w:p>
    <w:p>
      <w:pPr>
        <w:pStyle w:val="Heading1"/>
        <w:keepNext/>
        <w:pBdr>
          <w:bottom w:val="single" w:color="9C7A3C" w:sz="8" w:space="6"/>
        </w:pBdr>
        <w:spacing w:after="150" w:before="380"/>
      </w:pPr>
      <w:r>
        <w:rPr>
          <w:rFonts w:ascii="Arial" w:cs="Arial" w:eastAsia="Arial" w:hAnsi="Arial"/>
          <w:b/>
          <w:bCs/>
          <w:color w:val="14181D"/>
          <w:sz w:val="26"/>
          <w:szCs w:val="26"/>
        </w:rPr>
        <w:t xml:space="preserve">Card 4 — Nothing live today</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Documentary photograph, square 1:1. An empty flat field on a grey morning, recently topped, with one opened five-bar gate at the edge and fresh wide vehicle tracks pressed into the grass leading in and stopping. Nothing else: no plant, no fencing, no cabins, no people. Pylons small on the far horizon, standing water in the tracks reflecting a flat white sky, hedgerow along one edge. Quiet, early, nothing started.</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[house look] [negative, every card]</w:t>
      </w:r>
    </w:p>
    <w:p>
      <w:pPr>
        <w:spacing w:after="90" w:before="90" w:line="280"/>
      </w:pPr>
      <w:r>
        <w:rPr>
          <w:rFonts w:ascii="Arial" w:cs="Arial" w:eastAsia="Arial" w:hAnsi="Arial"/>
          <w:b/>
          <w:bCs/>
          <w:color w:val="14181D"/>
          <w:sz w:val="20"/>
          <w:szCs w:val="20"/>
        </w:rPr>
        <w:t xml:space="preserve">Overlay:</w:t>
      </w:r>
      <w:r>
        <w:rPr>
          <w:rFonts w:ascii="Arial" w:cs="Arial" w:eastAsia="Arial" w:hAnsi="Arial"/>
          <w:color w:val="14181D"/>
          <w:sz w:val="20"/>
          <w:szCs w:val="20"/>
        </w:rPr>
        <w:t xml:space="preserve"> </w:t>
      </w:r>
      <w:r>
        <w:rPr>
          <w:rFonts w:ascii="Arial" w:cs="Arial" w:eastAsia="Arial" w:hAnsi="Arial"/>
          <w:i/>
          <w:iCs/>
          <w:color w:val="14181D"/>
          <w:sz w:val="20"/>
          <w:szCs w:val="20"/>
        </w:rPr>
        <w:t xml:space="preserve">Nothing live today.</w:t>
      </w:r>
    </w:p>
    <w:p>
      <w:pPr>
        <w:pStyle w:val="Heading1"/>
        <w:keepNext/>
        <w:pBdr>
          <w:bottom w:val="single" w:color="9C7A3C" w:sz="8" w:space="6"/>
        </w:pBdr>
        <w:spacing w:after="150" w:before="380"/>
      </w:pPr>
      <w:r>
        <w:rPr>
          <w:rFonts w:ascii="Arial" w:cs="Arial" w:eastAsia="Arial" w:hAnsi="Arial"/>
          <w:b/>
          <w:bCs/>
          <w:color w:val="14181D"/>
          <w:sz w:val="26"/>
          <w:szCs w:val="26"/>
        </w:rPr>
        <w:t xml:space="preserve">Card 5 — Be on the list first</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Documentary photograph, square 1:1, close, shot across a van dashboard. A mobile phone lying face up on the dash, screen lit and glowing with an incoming call — the screen content must be a soft bright glow with no legible text, names or numbers. Beside it a set of keys, a folded hi-vis, a notebook with a pencil. Warm interior light against cool grey daylight through the windscreen, an out-of-focus site gate beyond. Early morning, the moment before the call is answered. Hopeful rather than melancholy.</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[house look] [negative, every card]</w:t>
      </w:r>
    </w:p>
    <w:p>
      <w:pPr>
        <w:spacing w:after="90" w:before="90" w:line="280"/>
      </w:pPr>
      <w:r>
        <w:rPr>
          <w:rFonts w:ascii="Arial" w:cs="Arial" w:eastAsia="Arial" w:hAnsi="Arial"/>
          <w:b/>
          <w:bCs/>
          <w:color w:val="14181D"/>
          <w:sz w:val="20"/>
          <w:szCs w:val="20"/>
        </w:rPr>
        <w:t xml:space="preserve">Overlay:</w:t>
      </w:r>
      <w:r>
        <w:rPr>
          <w:rFonts w:ascii="Arial" w:cs="Arial" w:eastAsia="Arial" w:hAnsi="Arial"/>
          <w:color w:val="14181D"/>
          <w:sz w:val="20"/>
          <w:szCs w:val="20"/>
        </w:rPr>
        <w:t xml:space="preserve"> </w:t>
      </w:r>
      <w:r>
        <w:rPr>
          <w:rFonts w:ascii="Arial" w:cs="Arial" w:eastAsia="Arial" w:hAnsi="Arial"/>
          <w:i/>
          <w:iCs/>
          <w:color w:val="14181D"/>
          <w:sz w:val="20"/>
          <w:szCs w:val="20"/>
        </w:rPr>
        <w:t xml:space="preserve">Be on the list first.</w:t>
      </w:r>
    </w:p>
    <w:p>
      <w:pPr>
        <w:pStyle w:val="Heading1"/>
        <w:keepNext/>
        <w:pBdr>
          <w:bottom w:val="single" w:color="9C7A3C" w:sz="8" w:space="6"/>
        </w:pBdr>
        <w:spacing w:after="150" w:before="380"/>
      </w:pPr>
      <w:r>
        <w:rPr>
          <w:rFonts w:ascii="Arial" w:cs="Arial" w:eastAsia="Arial" w:hAnsi="Arial"/>
          <w:b/>
          <w:bCs/>
          <w:color w:val="14181D"/>
          <w:sz w:val="26"/>
          <w:szCs w:val="26"/>
        </w:rPr>
        <w:t xml:space="preserve">"No logos" means inside the photograph. Brand the ad.</w:t>
      </w:r>
    </w:p>
    <w:p>
      <w:pPr>
        <w:spacing w:after="90" w:before="90" w:line="280"/>
      </w:pPr>
      <w:r>
        <w:rPr>
          <w:rFonts w:ascii="Arial" w:cs="Arial" w:eastAsia="Arial" w:hAnsi="Arial"/>
          <w:color w:val="14181D"/>
          <w:sz w:val="20"/>
          <w:szCs w:val="20"/>
        </w:rPr>
        <w:t xml:space="preserve">The negative prompt bans logos </w:t>
      </w:r>
      <w:r>
        <w:rPr>
          <w:rFonts w:ascii="Arial" w:cs="Arial" w:eastAsia="Arial" w:hAnsi="Arial"/>
          <w:b/>
          <w:bCs/>
          <w:color w:val="14181D"/>
          <w:sz w:val="20"/>
          <w:szCs w:val="20"/>
        </w:rPr>
        <w:t xml:space="preserve">in the scene the model generates</w:t>
      </w:r>
      <w:r>
        <w:rPr>
          <w:rFonts w:ascii="Arial" w:cs="Arial" w:eastAsia="Arial" w:hAnsi="Arial"/>
          <w:color w:val="14181D"/>
          <w:sz w:val="20"/>
          <w:szCs w:val="20"/>
        </w:rPr>
        <w:t xml:space="preserve"> — on a cabin, a fence panel, a van door, a hoarding. It does not ban branding the finished ad, and the ad should be branded.</w:t>
      </w:r>
    </w:p>
    <w:p>
      <w:pPr>
        <w:spacing w:after="90" w:before="90" w:line="280"/>
      </w:pPr>
      <w:r>
        <w:rPr>
          <w:rFonts w:ascii="Arial" w:cs="Arial" w:eastAsia="Arial" w:hAnsi="Arial"/>
          <w:b/>
          <w:bCs/>
          <w:color w:val="14181D"/>
          <w:sz w:val="20"/>
          <w:szCs w:val="20"/>
        </w:rPr>
        <w:t xml:space="preserve">Three reasons for the ban, and the first is the one that matters.</w:t>
      </w:r>
    </w:p>
    <w:p>
      <w:pPr>
        <w:spacing w:after="90" w:before="90" w:line="280"/>
      </w:pPr>
      <w:r>
        <w:rPr>
          <w:rFonts w:ascii="Arial" w:cs="Arial" w:eastAsia="Arial" w:hAnsi="Arial"/>
          <w:b/>
          <w:bCs/>
          <w:color w:val="14181D"/>
          <w:sz w:val="20"/>
          <w:szCs w:val="20"/>
        </w:rPr>
        <w:t xml:space="preserve">An AI image is not a photograph of our work.</w:t>
      </w:r>
      <w:r>
        <w:rPr>
          <w:rFonts w:ascii="Arial" w:cs="Arial" w:eastAsia="Arial" w:hAnsi="Arial"/>
          <w:color w:val="14181D"/>
          <w:sz w:val="20"/>
          <w:szCs w:val="20"/>
        </w:rPr>
        <w:t xml:space="preserve"> A logo on a cabin in a generated compound says </w:t>
      </w:r>
      <w:r>
        <w:rPr>
          <w:rFonts w:ascii="Arial" w:cs="Arial" w:eastAsia="Arial" w:hAnsi="Arial"/>
          <w:i/>
          <w:iCs/>
          <w:color w:val="14181D"/>
          <w:sz w:val="20"/>
          <w:szCs w:val="20"/>
        </w:rPr>
        <w:t xml:space="preserve">we built this</w:t>
      </w:r>
      <w:r>
        <w:rPr>
          <w:rFonts w:ascii="Arial" w:cs="Arial" w:eastAsia="Arial" w:hAnsi="Arial"/>
          <w:color w:val="14181D"/>
          <w:sz w:val="20"/>
          <w:szCs w:val="20"/>
        </w:rPr>
        <w:t xml:space="preserve">. ETABLIX has completed no contracts. That is fabricated proof, and it is the one mistake that cannot be walked back once a buyer has seen it. The image illustrates a problem; it never depicts a project.</w:t>
      </w:r>
    </w:p>
    <w:p>
      <w:pPr>
        <w:spacing w:after="90" w:before="90" w:line="280"/>
      </w:pPr>
      <w:r>
        <w:rPr>
          <w:rFonts w:ascii="Arial" w:cs="Arial" w:eastAsia="Arial" w:hAnsi="Arial"/>
          <w:b/>
          <w:bCs/>
          <w:color w:val="14181D"/>
          <w:sz w:val="20"/>
          <w:szCs w:val="20"/>
        </w:rPr>
        <w:t xml:space="preserve">Image models render type as garbage.</w:t>
      </w:r>
      <w:r>
        <w:rPr>
          <w:rFonts w:ascii="Arial" w:cs="Arial" w:eastAsia="Arial" w:hAnsi="Arial"/>
          <w:color w:val="14181D"/>
          <w:sz w:val="20"/>
          <w:szCs w:val="20"/>
        </w:rPr>
        <w:t xml:space="preserve"> A smeared half-legible brand mark on a cabin looks cheap and immediately reads as AI-generated, which costs more credibility than the logo could ever add.</w:t>
      </w:r>
    </w:p>
    <w:p>
      <w:pPr>
        <w:spacing w:after="90" w:before="90" w:line="280"/>
      </w:pPr>
      <w:r>
        <w:rPr>
          <w:rFonts w:ascii="Arial" w:cs="Arial" w:eastAsia="Arial" w:hAnsi="Arial"/>
          <w:b/>
          <w:bCs/>
          <w:color w:val="14181D"/>
          <w:sz w:val="20"/>
          <w:szCs w:val="20"/>
        </w:rPr>
        <w:t xml:space="preserve">And an invented logo may not be invented.</w:t>
      </w:r>
      <w:r>
        <w:rPr>
          <w:rFonts w:ascii="Arial" w:cs="Arial" w:eastAsia="Arial" w:hAnsi="Arial"/>
          <w:color w:val="14181D"/>
          <w:sz w:val="20"/>
          <w:szCs w:val="20"/>
        </w:rPr>
        <w:t xml:space="preserve"> Models trained on real site photography produce marks that resemble real hire and modular companies. A recognisable third-party mark in a paid advertisement is a trademark problem and, worse, implies a commercial association that does not exist.</w:t>
      </w:r>
    </w:p>
    <w:p>
      <w:pPr>
        <w:spacing w:after="90" w:before="90" w:line="280"/>
      </w:pPr>
      <w:r>
        <w:rPr>
          <w:rFonts w:ascii="Arial" w:cs="Arial" w:eastAsia="Arial" w:hAnsi="Arial"/>
          <w:b/>
          <w:bCs/>
          <w:color w:val="14181D"/>
          <w:sz w:val="20"/>
          <w:szCs w:val="20"/>
        </w:rPr>
        <w:t xml:space="preserve">What to do instead, in Canva or Meta's editor, after the image is generated:</w:t>
      </w:r>
    </w:p>
    <w:p>
      <w:pPr>
        <w:pStyle w:val="ListParagraph"/>
        <w:numPr>
          <w:ilvl w:val="0"/>
          <w:numId w:val="2"/>
        </w:numPr>
        <w:spacing w:after="50" w:before="50" w:line="280"/>
      </w:pPr>
      <w:r>
        <w:rPr>
          <w:rFonts w:ascii="Arial" w:cs="Arial" w:eastAsia="Arial" w:hAnsi="Arial"/>
          <w:b/>
          <w:bCs/>
          <w:color w:val="14181D"/>
          <w:sz w:val="20"/>
          <w:szCs w:val="20"/>
        </w:rPr>
        <w:t xml:space="preserve">Put the ETABLIX wordmark in a corner of every card.</w:t>
      </w:r>
      <w:r>
        <w:rPr>
          <w:rFonts w:ascii="Arial" w:cs="Arial" w:eastAsia="Arial" w:hAnsi="Arial"/>
          <w:color w:val="14181D"/>
          <w:sz w:val="20"/>
          <w:szCs w:val="20"/>
        </w:rPr>
        <w:t xml:space="preserve"> Small, consistent position, consistent size across all five. That identifies the advertiser, which is honest and expected.</w:t>
      </w:r>
    </w:p>
    <w:p>
      <w:pPr>
        <w:pStyle w:val="ListParagraph"/>
        <w:numPr>
          <w:ilvl w:val="0"/>
          <w:numId w:val="2"/>
        </w:numPr>
        <w:spacing w:after="50" w:before="50" w:line="280"/>
      </w:pPr>
      <w:r>
        <w:rPr>
          <w:rFonts w:ascii="Arial" w:cs="Arial" w:eastAsia="Arial" w:hAnsi="Arial"/>
          <w:b/>
          <w:bCs/>
          <w:color w:val="14181D"/>
          <w:sz w:val="20"/>
          <w:szCs w:val="20"/>
        </w:rPr>
        <w:t xml:space="preserve">Set the overlay text there too</w:t>
      </w:r>
      <w:r>
        <w:rPr>
          <w:rFonts w:ascii="Arial" w:cs="Arial" w:eastAsia="Arial" w:hAnsi="Arial"/>
          <w:color w:val="14181D"/>
          <w:sz w:val="20"/>
          <w:szCs w:val="20"/>
        </w:rPr>
        <w:t xml:space="preserve">, for the same reason the images are generated without text.</w:t>
      </w:r>
    </w:p>
    <w:p>
      <w:pPr>
        <w:pStyle w:val="ListParagraph"/>
        <w:numPr>
          <w:ilvl w:val="0"/>
          <w:numId w:val="2"/>
        </w:numPr>
        <w:spacing w:after="50" w:before="50" w:line="280"/>
      </w:pPr>
      <w:r>
        <w:rPr>
          <w:rFonts w:ascii="Arial" w:cs="Arial" w:eastAsia="Arial" w:hAnsi="Arial"/>
          <w:b/>
          <w:bCs/>
          <w:color w:val="14181D"/>
          <w:sz w:val="20"/>
          <w:szCs w:val="20"/>
        </w:rPr>
        <w:t xml:space="preserve">Keep the brand furniture out of the photographic area</w:t>
      </w:r>
      <w:r>
        <w:rPr>
          <w:rFonts w:ascii="Arial" w:cs="Arial" w:eastAsia="Arial" w:hAnsi="Arial"/>
          <w:color w:val="14181D"/>
          <w:sz w:val="20"/>
          <w:szCs w:val="20"/>
        </w:rPr>
        <w:t xml:space="preserve"> — a wordmark sitting on sky or flat ground reads as a brand mark on an advertisement. The same wordmark composited onto a cabin reads as a claim about who owns the cabin.</w:t>
      </w:r>
    </w:p>
    <w:p>
      <w:pPr>
        <w:spacing w:after="90" w:before="90" w:line="280"/>
      </w:pPr>
      <w:r>
        <w:rPr>
          <w:rFonts w:ascii="Arial" w:cs="Arial" w:eastAsia="Arial" w:hAnsi="Arial"/>
          <w:b/>
          <w:bCs/>
          <w:color w:val="14181D"/>
          <w:sz w:val="20"/>
          <w:szCs w:val="20"/>
        </w:rPr>
        <w:t xml:space="preserve">The line is simple.</w:t>
      </w:r>
      <w:r>
        <w:rPr>
          <w:rFonts w:ascii="Arial" w:cs="Arial" w:eastAsia="Arial" w:hAnsi="Arial"/>
          <w:color w:val="14181D"/>
          <w:sz w:val="20"/>
          <w:szCs w:val="20"/>
        </w:rPr>
        <w:t xml:space="preserve"> Branding the advertisement says who is speaking. Branding the scene says who did the work. The first is required; the second is a claim ETABLIX cannot make.</w:t>
      </w:r>
    </w:p>
    <w:p>
      <w:pPr>
        <w:pStyle w:val="Heading1"/>
        <w:keepNext/>
        <w:pBdr>
          <w:bottom w:val="single" w:color="9C7A3C" w:sz="8" w:space="6"/>
        </w:pBdr>
        <w:spacing w:after="150" w:before="380"/>
      </w:pPr>
      <w:r>
        <w:rPr>
          <w:rFonts w:ascii="Arial" w:cs="Arial" w:eastAsia="Arial" w:hAnsi="Arial"/>
          <w:b/>
          <w:bCs/>
          <w:color w:val="14181D"/>
          <w:sz w:val="26"/>
          <w:szCs w:val="26"/>
        </w:rPr>
        <w:t xml:space="preserve">The copy prompt</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You are writing a five-card Meta carousel for ETABLIX — Integrated Site Services, a trading name of JNN GLOBAL LTD — inviting subcontractors onto its specialist supply chain register at https://etablix.com/subcontractors#register</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Who is reading. The owner or director of a small or medium UK subcontracting business: civils and groundworks, fencing, temporary power, water and wastewater, modular buildings, welfare, plant hire, security, catering, cleaning, waste, traffic management, workforce transport. They are practical, time-poor, and have filled in prequalification forms that led nowhere. They do not respond to corporate language. They respond to being told precisely what a buyer buys.</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What ETABLIX buys, and this distinction is the whole ad. ETABLIX is not a main contractor and does not tender permanent works. It buys the temporary site environment around the permanent works — the compound, welfare, utilities, access, operation and reinstatement. If they build the structure, ETABLIX is not their client. If they establish, service, operate or remove the site around it, ETABLIX is.</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Who their customer would be, if asked: under the Management Integrator model the contract is placed in the client's name and ETABLIX runs the enquiry, evaluation, award recommendation and performance management. Under the Prime Service Contractor model ETABLIX contracts with every supplier directly and is the paying party. Which applies depends on the engagement.</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The five cards, in order: (1) registrations that went nowhere; (2) a compound being established — what we buy; (3) a permanent structure — what we do not; (4) an empty field, nothing live today; (5) a phone ringing, be on the list before the enquiry comes.</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Produce:</w:t>
      </w:r>
    </w:p>
    <w:p>
      <w:pPr>
        <w:pStyle w:val="ListParagraph"/>
        <w:numPr>
          <w:ilvl w:val="0"/>
          <w:numId w:val="2"/>
        </w:numPr>
        <w:spacing w:after="50" w:before="50" w:line="280"/>
      </w:pPr>
      <w:r>
        <w:rPr>
          <w:rFonts w:ascii="Arial" w:cs="Arial" w:eastAsia="Arial" w:hAnsi="Arial"/>
          <w:b/>
          <w:bCs/>
          <w:color w:val="14181D"/>
          <w:sz w:val="20"/>
          <w:szCs w:val="20"/>
        </w:rPr>
        <w:t xml:space="preserve">Primary text:</w:t>
      </w:r>
      <w:r>
        <w:rPr>
          <w:rFonts w:ascii="Arial" w:cs="Arial" w:eastAsia="Arial" w:hAnsi="Arial"/>
          <w:color w:val="14181D"/>
          <w:sz w:val="20"/>
          <w:szCs w:val="20"/>
        </w:rPr>
        <w:t xml:space="preserve"> 50 to 70 words. The first sentence must work alone, because</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the rest sits behind "see more".</w:t>
      </w:r>
    </w:p>
    <w:p>
      <w:pPr>
        <w:pStyle w:val="ListParagraph"/>
        <w:numPr>
          <w:ilvl w:val="0"/>
          <w:numId w:val="2"/>
        </w:numPr>
        <w:spacing w:after="50" w:before="50" w:line="280"/>
      </w:pPr>
      <w:r>
        <w:rPr>
          <w:rFonts w:ascii="Arial" w:cs="Arial" w:eastAsia="Arial" w:hAnsi="Arial"/>
          <w:b/>
          <w:bCs/>
          <w:color w:val="14181D"/>
          <w:sz w:val="20"/>
          <w:szCs w:val="20"/>
        </w:rPr>
        <w:t xml:space="preserve">Five card headlines</w:t>
      </w:r>
      <w:r>
        <w:rPr>
          <w:rFonts w:ascii="Arial" w:cs="Arial" w:eastAsia="Arial" w:hAnsi="Arial"/>
          <w:color w:val="14181D"/>
          <w:sz w:val="20"/>
          <w:szCs w:val="20"/>
        </w:rPr>
        <w:t xml:space="preserve">, 5 words maximum each, following the sequence.</w:t>
      </w:r>
    </w:p>
    <w:p>
      <w:pPr>
        <w:pStyle w:val="ListParagraph"/>
        <w:numPr>
          <w:ilvl w:val="0"/>
          <w:numId w:val="2"/>
        </w:numPr>
        <w:spacing w:after="50" w:before="50" w:line="280"/>
      </w:pPr>
      <w:r>
        <w:rPr>
          <w:rFonts w:ascii="Arial" w:cs="Arial" w:eastAsia="Arial" w:hAnsi="Arial"/>
          <w:b/>
          <w:bCs/>
          <w:color w:val="14181D"/>
          <w:sz w:val="20"/>
          <w:szCs w:val="20"/>
        </w:rPr>
        <w:t xml:space="preserve">Five card descriptions</w:t>
      </w:r>
      <w:r>
        <w:rPr>
          <w:rFonts w:ascii="Arial" w:cs="Arial" w:eastAsia="Arial" w:hAnsi="Arial"/>
          <w:color w:val="14181D"/>
          <w:sz w:val="20"/>
          <w:szCs w:val="20"/>
        </w:rPr>
        <w:t xml:space="preserve">, 20 characters maximum each.</w:t>
      </w:r>
    </w:p>
    <w:p>
      <w:pPr>
        <w:pStyle w:val="ListParagraph"/>
        <w:numPr>
          <w:ilvl w:val="0"/>
          <w:numId w:val="2"/>
        </w:numPr>
        <w:spacing w:after="50" w:before="50" w:line="280"/>
      </w:pPr>
      <w:r>
        <w:rPr>
          <w:rFonts w:ascii="Arial" w:cs="Arial" w:eastAsia="Arial" w:hAnsi="Arial"/>
          <w:b/>
          <w:bCs/>
          <w:color w:val="14181D"/>
          <w:sz w:val="20"/>
          <w:szCs w:val="20"/>
        </w:rPr>
        <w:t xml:space="preserve">One call to action on card 5 only:</w:t>
      </w:r>
      <w:r>
        <w:rPr>
          <w:rFonts w:ascii="Arial" w:cs="Arial" w:eastAsia="Arial" w:hAnsi="Arial"/>
          <w:color w:val="14181D"/>
          <w:sz w:val="20"/>
          <w:szCs w:val="20"/>
        </w:rPr>
        <w:t xml:space="preserve"> Sign Up, Learn More or Apply Now.</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Absolute constraints — breaking any makes the ad unusable:</w:t>
      </w:r>
    </w:p>
    <w:p>
      <w:pPr>
        <w:pStyle w:val="ListParagraph"/>
        <w:numPr>
          <w:ilvl w:val="0"/>
          <w:numId w:val="2"/>
        </w:numPr>
        <w:spacing w:after="50" w:before="50" w:line="280"/>
      </w:pPr>
      <w:r>
        <w:rPr>
          <w:rFonts w:ascii="Arial" w:cs="Arial" w:eastAsia="Arial" w:hAnsi="Arial"/>
          <w:b/>
          <w:bCs/>
          <w:color w:val="14181D"/>
          <w:sz w:val="20"/>
          <w:szCs w:val="20"/>
        </w:rPr>
        <w:t xml:space="preserve">Card 4 must state plainly that there are no live packages at present.</w:t>
      </w:r>
      <w:r>
        <w:rPr>
          <w:rFonts w:ascii="Arial" w:cs="Arial" w:eastAsia="Arial" w:hAnsi="Arial"/>
          <w:color w:val="14181D"/>
          <w:sz w:val="20"/>
          <w:szCs w:val="20"/>
        </w:rPr>
        <w:t xml:space="preserve"> Do</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not soften it, do not replace it with "limited opportunities", and do not remove it. An honest organic post followed by a dishonest ad is worse than no ad.</w:t>
      </w:r>
    </w:p>
    <w:p>
      <w:pPr>
        <w:pStyle w:val="ListParagraph"/>
        <w:numPr>
          <w:ilvl w:val="0"/>
          <w:numId w:val="2"/>
        </w:numPr>
        <w:spacing w:after="50" w:before="50" w:line="280"/>
      </w:pPr>
      <w:r>
        <w:rPr>
          <w:rFonts w:ascii="Arial" w:cs="Arial" w:eastAsia="Arial" w:hAnsi="Arial"/>
          <w:b/>
          <w:bCs/>
          <w:color w:val="14181D"/>
          <w:sz w:val="20"/>
          <w:szCs w:val="20"/>
        </w:rPr>
        <w:t xml:space="preserve">Never promise work, imply a pipeline, or suggest packages are imminent.</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Registration is a route to the enquiry, not a guarantee of work, and the copy must be capable of being read a year later without embarrassment.</w:t>
      </w:r>
    </w:p>
    <w:p>
      <w:pPr>
        <w:pStyle w:val="ListParagraph"/>
        <w:numPr>
          <w:ilvl w:val="0"/>
          <w:numId w:val="2"/>
        </w:numPr>
        <w:spacing w:after="50" w:before="50" w:line="280"/>
      </w:pPr>
      <w:r>
        <w:rPr>
          <w:rFonts w:ascii="Arial" w:cs="Arial" w:eastAsia="Arial" w:hAnsi="Arial"/>
          <w:b/>
          <w:bCs/>
          <w:color w:val="14181D"/>
          <w:sz w:val="20"/>
          <w:szCs w:val="20"/>
        </w:rPr>
        <w:t xml:space="preserve">Never invent a figure</w:t>
      </w:r>
      <w:r>
        <w:rPr>
          <w:rFonts w:ascii="Arial" w:cs="Arial" w:eastAsia="Arial" w:hAnsi="Arial"/>
          <w:color w:val="14181D"/>
          <w:sz w:val="20"/>
          <w:szCs w:val="20"/>
        </w:rPr>
        <w:t xml:space="preserve"> — no number of projects, suppliers, sites or values.</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None exist.</w:t>
      </w:r>
    </w:p>
    <w:p>
      <w:pPr>
        <w:pStyle w:val="ListParagraph"/>
        <w:numPr>
          <w:ilvl w:val="0"/>
          <w:numId w:val="2"/>
        </w:numPr>
        <w:spacing w:after="50" w:before="50" w:line="280"/>
      </w:pPr>
      <w:r>
        <w:rPr>
          <w:rFonts w:ascii="Arial" w:cs="Arial" w:eastAsia="Arial" w:hAnsi="Arial"/>
          <w:b/>
          <w:bCs/>
          <w:color w:val="14181D"/>
          <w:sz w:val="20"/>
          <w:szCs w:val="20"/>
        </w:rPr>
        <w:t xml:space="preserve">Never name a client, a scheme or a former employer.</w:t>
      </w:r>
    </w:p>
    <w:p>
      <w:pPr>
        <w:pStyle w:val="ListParagraph"/>
        <w:numPr>
          <w:ilvl w:val="0"/>
          <w:numId w:val="2"/>
        </w:numPr>
        <w:spacing w:after="50" w:before="50" w:line="280"/>
      </w:pPr>
      <w:r>
        <w:rPr>
          <w:rFonts w:ascii="Arial" w:cs="Arial" w:eastAsia="Arial" w:hAnsi="Arial"/>
          <w:b/>
          <w:bCs/>
          <w:color w:val="14181D"/>
          <w:sz w:val="20"/>
          <w:szCs w:val="20"/>
        </w:rPr>
        <w:t xml:space="preserve">Never claim an accreditation.</w:t>
      </w:r>
      <w:r>
        <w:rPr>
          <w:rFonts w:ascii="Arial" w:cs="Arial" w:eastAsia="Arial" w:hAnsi="Arial"/>
          <w:color w:val="14181D"/>
          <w:sz w:val="20"/>
          <w:szCs w:val="20"/>
        </w:rPr>
        <w:t xml:space="preserve"> ETABLIX holds no ISO certification and no</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SSIP registration.</w:t>
      </w:r>
    </w:p>
    <w:p>
      <w:pPr>
        <w:pStyle w:val="ListParagraph"/>
        <w:numPr>
          <w:ilvl w:val="0"/>
          <w:numId w:val="2"/>
        </w:numPr>
        <w:spacing w:after="50" w:before="50" w:line="280"/>
      </w:pPr>
      <w:r>
        <w:rPr>
          <w:rFonts w:ascii="Arial" w:cs="Arial" w:eastAsia="Arial" w:hAnsi="Arial"/>
          <w:b/>
          <w:bCs/>
          <w:color w:val="14181D"/>
          <w:sz w:val="20"/>
          <w:szCs w:val="20"/>
        </w:rPr>
        <w:t xml:space="preserve">Say "defined packages, not labour-only"</w:t>
      </w:r>
      <w:r>
        <w:rPr>
          <w:rFonts w:ascii="Arial" w:cs="Arial" w:eastAsia="Arial" w:hAnsi="Arial"/>
          <w:color w:val="14181D"/>
          <w:sz w:val="20"/>
          <w:szCs w:val="20"/>
        </w:rPr>
        <w:t xml:space="preserve"> somewhere in the primary text.</w:t>
      </w:r>
    </w:p>
    <w:p>
      <w:pPr>
        <w:pStyle w:val="ListParagraph"/>
        <w:numPr>
          <w:ilvl w:val="0"/>
          <w:numId w:val="2"/>
        </w:numPr>
        <w:spacing w:after="50" w:before="50" w:line="280"/>
      </w:pPr>
      <w:r>
        <w:rPr>
          <w:rFonts w:ascii="Arial" w:cs="Arial" w:eastAsia="Arial" w:hAnsi="Arial"/>
          <w:b/>
          <w:bCs/>
          <w:color w:val="14181D"/>
          <w:sz w:val="20"/>
          <w:szCs w:val="20"/>
        </w:rPr>
        <w:t xml:space="preserve">No exclamation marks</w:t>
      </w:r>
      <w:r>
        <w:rPr>
          <w:rFonts w:ascii="Arial" w:cs="Arial" w:eastAsia="Arial" w:hAnsi="Arial"/>
          <w:color w:val="14181D"/>
          <w:sz w:val="20"/>
          <w:szCs w:val="20"/>
        </w:rPr>
        <w:t xml:space="preserve">, and none of: exciting, opportunity of a lifetime,</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join the journey, partner with us, world-class, leading, unlock.</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Register. Plain, direct, British English. Short sentences. Trade nouns — compound, welfare, hardstanding, off-hire, reinstatement, enquiry. Respect the reader's time in the first line and the ad has already done something none of their other registrations did.</w:t>
      </w:r>
    </w:p>
    <w:p>
      <w:pPr>
        <w:pStyle w:val="Heading1"/>
        <w:keepNext/>
        <w:pBdr>
          <w:bottom w:val="single" w:color="9C7A3C" w:sz="8" w:space="6"/>
        </w:pBdr>
        <w:spacing w:after="150" w:before="380"/>
      </w:pPr>
      <w:r>
        <w:rPr>
          <w:rFonts w:ascii="Arial" w:cs="Arial" w:eastAsia="Arial" w:hAnsi="Arial"/>
          <w:b/>
          <w:bCs/>
          <w:color w:val="14181D"/>
          <w:sz w:val="26"/>
          <w:szCs w:val="26"/>
        </w:rPr>
        <w:t xml:space="preserve">Targeting and spend</w:t>
      </w:r>
    </w:p>
    <w:p>
      <w:pPr>
        <w:spacing w:after="90" w:before="90" w:line="280"/>
      </w:pPr>
      <w:r>
        <w:rPr>
          <w:rFonts w:ascii="Arial" w:cs="Arial" w:eastAsia="Arial" w:hAnsi="Arial"/>
          <w:b/>
          <w:bCs/>
          <w:color w:val="14181D"/>
          <w:sz w:val="20"/>
          <w:szCs w:val="20"/>
        </w:rPr>
        <w:t xml:space="preserve">This is where Meta is actually good.</w:t>
      </w:r>
      <w:r>
        <w:rPr>
          <w:rFonts w:ascii="Arial" w:cs="Arial" w:eastAsia="Arial" w:hAnsi="Arial"/>
          <w:color w:val="14181D"/>
          <w:sz w:val="20"/>
          <w:szCs w:val="20"/>
        </w:rPr>
        <w:t xml:space="preserve"> Target UK small business owners with interests in construction plant, groundworks, plant hire, trade suppliers and the trade press. Layer on business-owner and small-business-admin behaviours. Radius targeting is less useful here than for home services: a subcontractor who travels to site is reachable nationally.</w:t>
      </w:r>
    </w:p>
    <w:p>
      <w:pPr>
        <w:spacing w:after="90" w:before="90" w:line="280"/>
      </w:pPr>
      <w:r>
        <w:rPr>
          <w:rFonts w:ascii="Arial" w:cs="Arial" w:eastAsia="Arial" w:hAnsi="Arial"/>
          <w:b/>
          <w:bCs/>
          <w:color w:val="14181D"/>
          <w:sz w:val="20"/>
          <w:szCs w:val="20"/>
        </w:rPr>
        <w:t xml:space="preserve">Expect cheap clicks and a low conversion rate, and accept it.</w:t>
      </w:r>
      <w:r>
        <w:rPr>
          <w:rFonts w:ascii="Arial" w:cs="Arial" w:eastAsia="Arial" w:hAnsi="Arial"/>
          <w:color w:val="14181D"/>
          <w:sz w:val="20"/>
          <w:szCs w:val="20"/>
        </w:rPr>
        <w:t xml:space="preserve"> A registration form asking for insurances and accreditations is a high-friction conversion by design — it should be. The register is only worth something if the people on it are real.</w:t>
      </w:r>
    </w:p>
    <w:p>
      <w:pPr>
        <w:spacing w:after="90" w:before="90" w:line="280"/>
      </w:pPr>
      <w:r>
        <w:rPr>
          <w:rFonts w:ascii="Arial" w:cs="Arial" w:eastAsia="Arial" w:hAnsi="Arial"/>
          <w:b/>
          <w:bCs/>
          <w:color w:val="14181D"/>
          <w:sz w:val="20"/>
          <w:szCs w:val="20"/>
        </w:rPr>
        <w:t xml:space="preserve">And answer every registration the same day</w:t>
      </w:r>
      <w:r>
        <w:rPr>
          <w:rFonts w:ascii="Arial" w:cs="Arial" w:eastAsia="Arial" w:hAnsi="Arial"/>
          <w:color w:val="14181D"/>
          <w:sz w:val="20"/>
          <w:szCs w:val="20"/>
        </w:rPr>
        <w:t xml:space="preserve">, from the template at </w:t>
      </w:r>
      <w:r>
        <w:rPr>
          <w:rFonts w:ascii="Arial" w:cs="Arial" w:eastAsia="Arial" w:hAnsi="Arial"/>
          <w:i/>
          <w:iCs/>
          <w:color w:val="14181D"/>
          <w:sz w:val="20"/>
          <w:szCs w:val="20"/>
        </w:rPr>
        <w:t xml:space="preserve">business/marketing/supply-chain-reply-template.md</w:t>
      </w:r>
      <w:r>
        <w:rPr>
          <w:rFonts w:ascii="Arial" w:cs="Arial" w:eastAsia="Arial" w:hAnsi="Arial"/>
          <w:color w:val="14181D"/>
          <w:sz w:val="20"/>
          <w:szCs w:val="20"/>
        </w:rPr>
        <w:t xml:space="preserve">. Paying for a registration and then leaving it unanswered is the most expensive mistake available here.</w:t>
      </w:r>
    </w:p>
    <w:p>
      <w:pPr>
        <w:pStyle w:val="Heading1"/>
        <w:keepNext/>
        <w:pBdr>
          <w:bottom w:val="single" w:color="9C7A3C" w:sz="8" w:space="6"/>
        </w:pBdr>
        <w:spacing w:after="150" w:before="380"/>
      </w:pPr>
      <w:r>
        <w:rPr>
          <w:rFonts w:ascii="Arial" w:cs="Arial" w:eastAsia="Arial" w:hAnsi="Arial"/>
          <w:b/>
          <w:bCs/>
          <w:color w:val="14181D"/>
          <w:sz w:val="26"/>
          <w:szCs w:val="26"/>
        </w:rPr>
        <w:t xml:space="preserve">The finished copy — subcontractor carousel</w:t>
      </w:r>
    </w:p>
    <w:p>
      <w:pPr>
        <w:spacing w:after="90" w:before="90" w:line="280"/>
      </w:pPr>
      <w:r>
        <w:rPr>
          <w:rFonts w:ascii="Arial" w:cs="Arial" w:eastAsia="Arial" w:hAnsi="Arial"/>
          <w:color w:val="14181D"/>
          <w:sz w:val="20"/>
          <w:szCs w:val="20"/>
        </w:rPr>
        <w:t xml:space="preserve">Everything below is the live wording. Paste it into Meta Ads Manager as it is.</w:t>
      </w:r>
    </w:p>
    <w:p>
      <w:pPr>
        <w:pStyle w:val="Heading1"/>
        <w:keepNext/>
        <w:pBdr>
          <w:bottom w:val="single" w:color="9C7A3C" w:sz="8" w:space="6"/>
        </w:pBdr>
        <w:spacing w:after="150" w:before="380"/>
      </w:pPr>
      <w:r>
        <w:rPr>
          <w:rFonts w:ascii="Arial" w:cs="Arial" w:eastAsia="Arial" w:hAnsi="Arial"/>
          <w:b/>
          <w:bCs/>
          <w:color w:val="14181D"/>
          <w:sz w:val="26"/>
          <w:szCs w:val="26"/>
        </w:rPr>
        <w:t xml:space="preserve">Primary text (the paragraph above the cards)</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You have filled in a hundred supplier forms and heard nothing back. So here is what ETABLIX actually buys: site establishment. Welfare and accommodation hire, temporary power, fencing and security, waste, catering, compound groundworks, reinstatement. Defined packages, not labour-only. There is nothing live today. The register is how we build the list we go to when there is. Two minutes.</w:t>
      </w:r>
    </w:p>
    <w:p>
      <w:pPr>
        <w:spacing w:after="90" w:before="90" w:line="280"/>
      </w:pPr>
      <w:r>
        <w:rPr>
          <w:rFonts w:ascii="Arial" w:cs="Arial" w:eastAsia="Arial" w:hAnsi="Arial"/>
          <w:i/>
          <w:iCs/>
          <w:color w:val="14181D"/>
          <w:sz w:val="20"/>
          <w:szCs w:val="20"/>
        </w:rPr>
        <w:t xml:space="preserve">70 words.</w:t>
      </w:r>
    </w:p>
    <w:p>
      <w:pPr>
        <w:pStyle w:val="Heading2"/>
        <w:keepNext/>
        <w:spacing w:after="110" w:before="260"/>
      </w:pPr>
      <w:r>
        <w:rPr>
          <w:rFonts w:ascii="Arial" w:cs="Arial" w:eastAsia="Arial" w:hAnsi="Arial"/>
          <w:b/>
          <w:bCs/>
          <w:color w:val="9C7A3C"/>
          <w:sz w:val="21"/>
          <w:szCs w:val="21"/>
        </w:rPr>
        <w:t xml:space="preserve">Two alternates to test against it</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Most supplier registers are a filing cabinet. This one has a purpose. ETABLIX buys the temporary side of a construction site — welfare, cabins, power, fencing, waste, catering, compound groundworks, reinstatement — as defined packages, not labour-only. Nothing is out for enquiry today. We are building the list first so the enquiry goes to somebody real.</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Straight answer before you spend two minutes on this: we have no live packages right now. What we have is a register, and a clear scope — site establishment, bought as defined packages rather than labour-only. Welfare, power, fencing, waste, catering, compound groundworks, reinstatement. If that is your work, get on the list before the enquiry goes out.</w:t>
      </w:r>
    </w:p>
    <w:p>
      <w:pPr>
        <w:pStyle w:val="Heading1"/>
        <w:keepNext/>
        <w:pBdr>
          <w:bottom w:val="single" w:color="9C7A3C" w:sz="8" w:space="6"/>
        </w:pBdr>
        <w:spacing w:after="150" w:before="380"/>
      </w:pPr>
      <w:r>
        <w:rPr>
          <w:rFonts w:ascii="Arial" w:cs="Arial" w:eastAsia="Arial" w:hAnsi="Arial"/>
          <w:b/>
          <w:bCs/>
          <w:color w:val="14181D"/>
          <w:sz w:val="26"/>
          <w:szCs w:val="26"/>
        </w:rPr>
        <w:t xml:space="preserve">The five cards</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553"/>
        <w:gridCol w:w="2184"/>
        <w:gridCol w:w="2184"/>
        <w:gridCol w:w="1311"/>
        <w:gridCol w:w="2068"/>
      </w:tblGrid>
      <w:tr>
        <w:trPr>
          <w:tblHeader/>
        </w:trPr>
        <w:tc>
          <w:tcPr>
            <w:tcW w:type="dxa" w:w="553"/>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5"/>
                <w:szCs w:val="15"/>
              </w:rPr>
              <w:t xml:space="preserve">#</w:t>
            </w:r>
          </w:p>
        </w:tc>
        <w:tc>
          <w:tcPr>
            <w:tcW w:type="dxa" w:w="2184"/>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5"/>
                <w:szCs w:val="15"/>
              </w:rPr>
              <w:t xml:space="preserve">On the image</w:t>
            </w:r>
          </w:p>
        </w:tc>
        <w:tc>
          <w:tcPr>
            <w:tcW w:type="dxa" w:w="2184"/>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5"/>
                <w:szCs w:val="15"/>
              </w:rPr>
              <w:t xml:space="preserve">Headline</w:t>
            </w:r>
          </w:p>
        </w:tc>
        <w:tc>
          <w:tcPr>
            <w:tcW w:type="dxa" w:w="1311"/>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5"/>
                <w:szCs w:val="15"/>
              </w:rPr>
              <w:t xml:space="preserve">Description</w:t>
            </w:r>
          </w:p>
        </w:tc>
        <w:tc>
          <w:tcPr>
            <w:tcW w:type="dxa" w:w="2068"/>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5"/>
                <w:szCs w:val="15"/>
              </w:rPr>
              <w:t xml:space="preserve">Link</w:t>
            </w:r>
          </w:p>
        </w:tc>
      </w:tr>
      <w:tr>
        <w:tc>
          <w:tcPr>
            <w:tcW w:type="dxa" w:w="553"/>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1</w:t>
            </w:r>
          </w:p>
        </w:tc>
        <w:tc>
          <w:tcPr>
            <w:tcW w:type="dxa" w:w="2184"/>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Another form. Another silence.</w:t>
            </w:r>
          </w:p>
        </w:tc>
        <w:tc>
          <w:tcPr>
            <w:tcW w:type="dxa" w:w="2184"/>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The forms that go nowhere</w:t>
            </w:r>
          </w:p>
        </w:tc>
        <w:tc>
          <w:tcPr>
            <w:tcW w:type="dxa" w:w="1311"/>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Registration</w:t>
            </w:r>
          </w:p>
        </w:tc>
        <w:tc>
          <w:tcPr>
            <w:tcW w:type="dxa" w:w="2068"/>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w:t>
            </w:r>
          </w:p>
        </w:tc>
      </w:tr>
      <w:tr>
        <w:tc>
          <w:tcPr>
            <w:tcW w:type="dxa" w:w="553"/>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2</w:t>
            </w:r>
          </w:p>
        </w:tc>
        <w:tc>
          <w:tcPr>
            <w:tcW w:type="dxa" w:w="2184"/>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We buy the temporary.</w:t>
            </w:r>
          </w:p>
        </w:tc>
        <w:tc>
          <w:tcPr>
            <w:tcW w:type="dxa" w:w="2184"/>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What we actually buy</w:t>
            </w:r>
          </w:p>
        </w:tc>
        <w:tc>
          <w:tcPr>
            <w:tcW w:type="dxa" w:w="1311"/>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Site establishment</w:t>
            </w:r>
          </w:p>
        </w:tc>
        <w:tc>
          <w:tcPr>
            <w:tcW w:type="dxa" w:w="2068"/>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w:t>
            </w:r>
          </w:p>
        </w:tc>
      </w:tr>
      <w:tr>
        <w:tc>
          <w:tcPr>
            <w:tcW w:type="dxa" w:w="553"/>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3</w:t>
            </w:r>
          </w:p>
        </w:tc>
        <w:tc>
          <w:tcPr>
            <w:tcW w:type="dxa" w:w="2184"/>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Not the permanent.</w:t>
            </w:r>
          </w:p>
        </w:tc>
        <w:tc>
          <w:tcPr>
            <w:tcW w:type="dxa" w:w="2184"/>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Temporary works, not the asset</w:t>
            </w:r>
          </w:p>
        </w:tc>
        <w:tc>
          <w:tcPr>
            <w:tcW w:type="dxa" w:w="1311"/>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Our scope</w:t>
            </w:r>
          </w:p>
        </w:tc>
        <w:tc>
          <w:tcPr>
            <w:tcW w:type="dxa" w:w="2068"/>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w:t>
            </w:r>
          </w:p>
        </w:tc>
      </w:tr>
      <w:tr>
        <w:tc>
          <w:tcPr>
            <w:tcW w:type="dxa" w:w="553"/>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4</w:t>
            </w:r>
          </w:p>
        </w:tc>
        <w:tc>
          <w:tcPr>
            <w:tcW w:type="dxa" w:w="2184"/>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Nothing live today.</w:t>
            </w:r>
          </w:p>
        </w:tc>
        <w:tc>
          <w:tcPr>
            <w:tcW w:type="dxa" w:w="2184"/>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No live packages today</w:t>
            </w:r>
          </w:p>
        </w:tc>
        <w:tc>
          <w:tcPr>
            <w:tcW w:type="dxa" w:w="1311"/>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Honest position</w:t>
            </w:r>
          </w:p>
        </w:tc>
        <w:tc>
          <w:tcPr>
            <w:tcW w:type="dxa" w:w="2068"/>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w:t>
            </w:r>
          </w:p>
        </w:tc>
      </w:tr>
      <w:tr>
        <w:tc>
          <w:tcPr>
            <w:tcW w:type="dxa" w:w="553"/>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5</w:t>
            </w:r>
          </w:p>
        </w:tc>
        <w:tc>
          <w:tcPr>
            <w:tcW w:type="dxa" w:w="2184"/>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Be on the list first.</w:t>
            </w:r>
          </w:p>
        </w:tc>
        <w:tc>
          <w:tcPr>
            <w:tcW w:type="dxa" w:w="2184"/>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Join the register</w:t>
            </w:r>
          </w:p>
        </w:tc>
        <w:tc>
          <w:tcPr>
            <w:tcW w:type="dxa" w:w="1311"/>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Two minutes</w:t>
            </w:r>
          </w:p>
        </w:tc>
        <w:tc>
          <w:tcPr>
            <w:tcW w:type="dxa" w:w="2068"/>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etablix.com/subcontractors#register</w:t>
            </w:r>
          </w:p>
        </w:tc>
      </w:tr>
    </w:tbl>
    <w:p>
      <w:pPr>
        <w:spacing w:after="90" w:before="90" w:line="280"/>
      </w:pPr>
      <w:r>
        <w:rPr>
          <w:rFonts w:ascii="Arial" w:cs="Arial" w:eastAsia="Arial" w:hAnsi="Arial"/>
          <w:b/>
          <w:bCs/>
          <w:color w:val="14181D"/>
          <w:sz w:val="20"/>
          <w:szCs w:val="20"/>
        </w:rPr>
        <w:t xml:space="preserve">Call to action button:</w:t>
      </w:r>
      <w:r>
        <w:rPr>
          <w:rFonts w:ascii="Arial" w:cs="Arial" w:eastAsia="Arial" w:hAnsi="Arial"/>
          <w:color w:val="14181D"/>
          <w:sz w:val="20"/>
          <w:szCs w:val="20"/>
        </w:rPr>
        <w:t xml:space="preserve"> </w:t>
      </w:r>
      <w:r>
        <w:rPr>
          <w:rFonts w:ascii="Arial" w:cs="Arial" w:eastAsia="Arial" w:hAnsi="Arial"/>
          <w:i/>
          <w:iCs/>
          <w:color w:val="14181D"/>
          <w:sz w:val="20"/>
          <w:szCs w:val="20"/>
        </w:rPr>
        <w:t xml:space="preserve">Sign up</w:t>
      </w:r>
      <w:r>
        <w:rPr>
          <w:rFonts w:ascii="Arial" w:cs="Arial" w:eastAsia="Arial" w:hAnsi="Arial"/>
          <w:color w:val="14181D"/>
          <w:sz w:val="20"/>
          <w:szCs w:val="20"/>
        </w:rPr>
        <w:t xml:space="preserve">. Card 5 only.</w:t>
      </w:r>
    </w:p>
    <w:p>
      <w:pPr>
        <w:spacing w:after="90" w:before="90" w:line="280"/>
      </w:pPr>
      <w:r>
        <w:rPr>
          <w:rFonts w:ascii="Arial" w:cs="Arial" w:eastAsia="Arial" w:hAnsi="Arial"/>
          <w:b/>
          <w:bCs/>
          <w:color w:val="14181D"/>
          <w:sz w:val="20"/>
          <w:szCs w:val="20"/>
        </w:rPr>
        <w:t xml:space="preserve">Card 4 stays exactly as written.</w:t>
      </w:r>
      <w:r>
        <w:rPr>
          <w:rFonts w:ascii="Arial" w:cs="Arial" w:eastAsia="Arial" w:hAnsi="Arial"/>
          <w:color w:val="14181D"/>
          <w:sz w:val="20"/>
          <w:szCs w:val="20"/>
        </w:rPr>
        <w:t xml:space="preserve"> Not "limited opportunities", not "pipeline building", not deleted. The whole carousel earns its credibility on that one card, and the reader has been lied to by every supplier register they have ever joined. Say it plainly and the fifth card is believed.</w:t>
      </w:r>
    </w:p>
    <w:p>
      <w:pPr>
        <w:pStyle w:val="Heading1"/>
        <w:keepNext/>
        <w:pBdr>
          <w:bottom w:val="single" w:color="9C7A3C" w:sz="8" w:space="6"/>
        </w:pBdr>
        <w:spacing w:after="150" w:before="380"/>
      </w:pPr>
      <w:r>
        <w:rPr>
          <w:rFonts w:ascii="Arial" w:cs="Arial" w:eastAsia="Arial" w:hAnsi="Arial"/>
          <w:b/>
          <w:bCs/>
          <w:color w:val="14181D"/>
          <w:sz w:val="26"/>
          <w:szCs w:val="26"/>
        </w:rPr>
        <w:t xml:space="preserve">Headline variants, if Meta rejects one for length</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383"/>
        <w:gridCol w:w="6917"/>
      </w:tblGrid>
      <w:tr>
        <w:trPr>
          <w:tblHeader/>
        </w:trPr>
        <w:tc>
          <w:tcPr>
            <w:tcW w:type="dxa" w:w="1383"/>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5"/>
                <w:szCs w:val="15"/>
              </w:rPr>
              <w:t xml:space="preserve">Card</w:t>
            </w:r>
          </w:p>
        </w:tc>
        <w:tc>
          <w:tcPr>
            <w:tcW w:type="dxa" w:w="6917"/>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5"/>
                <w:szCs w:val="15"/>
              </w:rPr>
              <w:t xml:space="preserve">Shorter</w:t>
            </w:r>
          </w:p>
        </w:tc>
      </w:tr>
      <w:tr>
        <w:tc>
          <w:tcPr>
            <w:tcW w:type="dxa" w:w="1383"/>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1</w:t>
            </w:r>
          </w:p>
        </w:tc>
        <w:tc>
          <w:tcPr>
            <w:tcW w:type="dxa" w:w="6917"/>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Forms into silence</w:t>
            </w:r>
          </w:p>
        </w:tc>
      </w:tr>
      <w:tr>
        <w:tc>
          <w:tcPr>
            <w:tcW w:type="dxa" w:w="1383"/>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2</w:t>
            </w:r>
          </w:p>
        </w:tc>
        <w:tc>
          <w:tcPr>
            <w:tcW w:type="dxa" w:w="6917"/>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What we buy</w:t>
            </w:r>
          </w:p>
        </w:tc>
      </w:tr>
      <w:tr>
        <w:tc>
          <w:tcPr>
            <w:tcW w:type="dxa" w:w="1383"/>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3</w:t>
            </w:r>
          </w:p>
        </w:tc>
        <w:tc>
          <w:tcPr>
            <w:tcW w:type="dxa" w:w="6917"/>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Temporary, not permanent</w:t>
            </w:r>
          </w:p>
        </w:tc>
      </w:tr>
      <w:tr>
        <w:tc>
          <w:tcPr>
            <w:tcW w:type="dxa" w:w="1383"/>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4</w:t>
            </w:r>
          </w:p>
        </w:tc>
        <w:tc>
          <w:tcPr>
            <w:tcW w:type="dxa" w:w="6917"/>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Nothing live today</w:t>
            </w:r>
          </w:p>
        </w:tc>
      </w:tr>
      <w:tr>
        <w:tc>
          <w:tcPr>
            <w:tcW w:type="dxa" w:w="1383"/>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5</w:t>
            </w:r>
          </w:p>
        </w:tc>
        <w:tc>
          <w:tcPr>
            <w:tcW w:type="dxa" w:w="6917"/>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Get on the list</w:t>
            </w:r>
          </w:p>
        </w:tc>
      </w:tr>
    </w:tbl>
    <w:p>
      <w:pPr>
        <w:pStyle w:val="Heading1"/>
        <w:keepNext/>
        <w:pBdr>
          <w:bottom w:val="single" w:color="9C7A3C" w:sz="8" w:space="6"/>
        </w:pBdr>
        <w:spacing w:after="150" w:before="380"/>
      </w:pPr>
      <w:r>
        <w:rPr>
          <w:rFonts w:ascii="Arial" w:cs="Arial" w:eastAsia="Arial" w:hAnsi="Arial"/>
          <w:b/>
          <w:bCs/>
          <w:color w:val="14181D"/>
          <w:sz w:val="26"/>
          <w:szCs w:val="26"/>
        </w:rPr>
        <w:t xml:space="preserve">What this copy deliberately does not say</w:t>
      </w:r>
    </w:p>
    <w:p>
      <w:pPr>
        <w:spacing w:after="90" w:before="90" w:line="280"/>
      </w:pPr>
      <w:r>
        <w:rPr>
          <w:rFonts w:ascii="Arial" w:cs="Arial" w:eastAsia="Arial" w:hAnsi="Arial"/>
          <w:color w:val="14181D"/>
          <w:sz w:val="20"/>
          <w:szCs w:val="20"/>
        </w:rPr>
        <w:t xml:space="preserve">No promise of work and no implied pipeline — card 4 exists to kill both. No volume, no value, no number of schemes, no client named, no scheme named, no former employer named. No accreditation claimed. No price. Nothing that could be read as an offer of employment or of labour-only engagement, which is exactly what "defined packages, not labour-only" is in the text to prevent.</w:t>
      </w:r>
    </w:p>
    <w:p>
      <w:pPr>
        <w:pStyle w:val="Heading1"/>
        <w:keepNext/>
        <w:pBdr>
          <w:bottom w:val="single" w:color="9C7A3C" w:sz="8" w:space="6"/>
        </w:pBdr>
        <w:spacing w:after="150" w:before="380"/>
      </w:pPr>
      <w:r>
        <w:rPr>
          <w:rFonts w:ascii="Arial" w:cs="Arial" w:eastAsia="Arial" w:hAnsi="Arial"/>
          <w:b/>
          <w:bCs/>
          <w:color w:val="14181D"/>
          <w:sz w:val="26"/>
          <w:szCs w:val="26"/>
        </w:rPr>
        <w:t xml:space="preserve">Then answer them</w:t>
      </w:r>
    </w:p>
    <w:p>
      <w:pPr>
        <w:spacing w:after="90" w:before="90" w:line="280"/>
      </w:pPr>
      <w:r>
        <w:rPr>
          <w:rFonts w:ascii="Arial" w:cs="Arial" w:eastAsia="Arial" w:hAnsi="Arial"/>
          <w:color w:val="14181D"/>
          <w:sz w:val="20"/>
          <w:szCs w:val="20"/>
        </w:rPr>
        <w:t xml:space="preserve">Every registration gets a same-day reply from </w:t>
      </w:r>
      <w:r>
        <w:rPr>
          <w:rFonts w:ascii="Arial" w:cs="Arial" w:eastAsia="Arial" w:hAnsi="Arial"/>
          <w:i/>
          <w:iCs/>
          <w:color w:val="14181D"/>
          <w:sz w:val="20"/>
          <w:szCs w:val="20"/>
        </w:rPr>
        <w:t xml:space="preserve">business/marketing/supply-chain-reply-template.md</w:t>
      </w:r>
      <w:r>
        <w:rPr>
          <w:rFonts w:ascii="Arial" w:cs="Arial" w:eastAsia="Arial" w:hAnsi="Arial"/>
          <w:color w:val="14181D"/>
          <w:sz w:val="20"/>
          <w:szCs w:val="20"/>
        </w:rPr>
        <w:t xml:space="preserve">. An advert that buys a registration and leaves it in silence has just proved card 1 right about us.</w:t>
      </w:r>
    </w:p>
    <w:sectPr>
      <w:headerReference w:type="default" r:id="rId6"/>
      <w:footerReference w:type="default" r:id="rId7"/>
      <w:pgSz w:w="11906" w:h="16838" w:orient="portrait"/>
      <w:pgMar w:top="1100" w:right="1100" w:bottom="1100" w:left="11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B6672"/>
        <w:sz w:val="14"/>
        <w:szCs w:val="14"/>
      </w:rPr>
      <w:t xml:space="preserve">JNN GLOBAL LTD · 15405437          </w:t>
    </w:r>
    <w:r>
      <w:rPr>
        <w:rFonts w:ascii="Arial" w:cs="Arial" w:eastAsia="Arial" w:hAnsi="Arial"/>
        <w:color w:val="5B6672"/>
        <w:sz w:val="14"/>
        <w:szCs w:val="14"/>
      </w:rPr>
      <w:fldChar w:fldCharType="begin"/>
      <w:instrText xml:space="preserve">PAGE</w:instrText>
      <w:fldChar w:fldCharType="separate"/>
      <w:fldChar w:fldCharType="end"/>
    </w:r>
    <w:r>
      <w:rPr>
        <w:rFonts w:ascii="Arial" w:cs="Arial" w:eastAsia="Arial" w:hAnsi="Arial"/>
        <w:color w:val="5B6672"/>
        <w:sz w:val="14"/>
        <w:szCs w:val="14"/>
      </w:rPr>
      <w:t xml:space="preserve"> of </w:t>
    </w:r>
    <w:r>
      <w:rPr>
        <w:rFonts w:ascii="Arial" w:cs="Arial" w:eastAsia="Arial" w:hAnsi="Arial"/>
        <w:color w:val="5B6672"/>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FE6D2" w:sz="4" w:space="4"/>
      </w:pBdr>
      <w:jc w:val="right"/>
    </w:pPr>
    <w:r>
      <w:rPr>
        <w:rFonts w:ascii="Arial" w:cs="Arial" w:eastAsia="Arial" w:hAnsi="Arial"/>
        <w:color w:val="5B6672"/>
        <w:sz w:val="14"/>
        <w:szCs w:val="14"/>
      </w:rPr>
      <w:t xml:space="preserve">ETABLIX · Facebook carousel: subcontractor register · Rev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00"/>
      </w:pPr>
      <w:rPr>
        <w:rFonts w:ascii="Arial" w:cs="Arial" w:eastAsia="Arial" w:hAnsi="Arial"/>
        <w:b/>
        <w:bCs/>
        <w:color w:val="9C7A3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181D"/>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FACEBOOK CAROUSEL: SUBCONTRACTOR REGISTER</dc:title>
  <dc:creator>ETABLIX — Integrated Site Services</dc:creator>
  <dc:description>ETABLIX FACEBOOK CAROUSEL: SUBCONTRACTOR REGISTER</dc:description>
  <cp:lastModifiedBy>Un-named</cp:lastModifiedBy>
  <cp:revision>1</cp:revision>
  <dcterms:created xsi:type="dcterms:W3CDTF">2026-10-12T11:30:44.200Z</dcterms:created>
  <dcterms:modified xsi:type="dcterms:W3CDTF">2026-10-12T11:30:44.201Z</dcterms:modified>
</cp:coreProperties>
</file>

<file path=docProps/custom.xml><?xml version="1.0" encoding="utf-8"?>
<Properties xmlns="http://schemas.openxmlformats.org/officeDocument/2006/custom-properties" xmlns:vt="http://schemas.openxmlformats.org/officeDocument/2006/docPropsVTypes"/>
</file>