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WORKING BRIEF</w:t>
      </w:r>
    </w:p>
    <w:p>
      <w:pPr>
        <w:spacing w:after="0" w:before="0"/>
      </w:pPr>
      <w:r>
        <w:rPr>
          <w:rFonts w:ascii="Arial" w:cs="Arial" w:eastAsia="Arial" w:hAnsi="Arial"/>
          <w:b/>
          <w:bCs/>
          <w:color w:val="14181D"/>
          <w:sz w:val="44"/>
          <w:szCs w:val="44"/>
        </w:rPr>
        <w:t xml:space="preserve">LINKEDIN COMMENT — BILFINGER UK, HINKLEY POINT C ORDER</w:t>
      </w:r>
    </w:p>
    <w:p>
      <w:pPr>
        <w:spacing w:after="420" w:before="60"/>
      </w:pPr>
      <w:r>
        <w:rPr>
          <w:rFonts w:ascii="Arial" w:cs="Arial" w:eastAsia="Arial" w:hAnsi="Arial"/>
          <w:color w:val="5B6672"/>
          <w:sz w:val="26"/>
          <w:szCs w:val="26"/>
        </w:rPr>
        <w:t xml:space="preserve">internal working document — not for issue to a client or a buyer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LinkedIn comment — Bilfinger UK, Hinkley Point C order</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Source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business/marketing/linkedin-bilfinger-hinkley-point-c.md</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14 October 2026</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Status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Rendered from the markdown source. Edit the source and re-run; do not edit this file.</w:t>
            </w:r>
          </w:p>
        </w:tc>
      </w:tr>
    </w:tbl>
    <w:p>
      <w:pPr>
        <w:spacing w:after="300" w:before="90" w:line="280"/>
      </w:pPr>
      <w:r>
        <w:rPr>
          <w:rFonts w:ascii="Arial" w:cs="Arial" w:eastAsia="Arial" w:hAnsi="Arial"/>
          <w:color w:val="14181D"/>
          <w:sz w:val="20"/>
          <w:szCs w:val="20"/>
        </w:rPr>
        <w:t xml:space="preserve"/>
      </w:r>
    </w:p>
    <w:p>
      <w:r>
        <w:br w:type="page"/>
      </w:r>
    </w:p>
    <w:p>
      <w:pPr>
        <w:spacing w:after="90" w:before="90" w:line="280"/>
      </w:pPr>
      <w:r>
        <w:rPr>
          <w:rFonts w:ascii="Arial" w:cs="Arial" w:eastAsia="Arial" w:hAnsi="Arial"/>
          <w:b/>
          <w:bCs/>
          <w:color w:val="14181D"/>
          <w:sz w:val="20"/>
          <w:szCs w:val="20"/>
        </w:rPr>
        <w:t xml:space="preserve">Post, 14 October 2026.</w:t>
      </w:r>
      <w:r>
        <w:rPr>
          <w:rFonts w:ascii="Arial" w:cs="Arial" w:eastAsia="Arial" w:hAnsi="Arial"/>
          <w:color w:val="14181D"/>
          <w:sz w:val="20"/>
          <w:szCs w:val="20"/>
        </w:rPr>
        <w:t xml:space="preserve"> Bilfinger UK announces a multi-million-euro order intake for EDF (UK)'s Hinkley Point C, running to 2030: detailed engineering, procurement, piping prefabrication and installation. Around 300 specialists on site now, up to 800 at peak, plus a further 100 at their prefabrication facility in West Carr.</w:t>
      </w:r>
    </w:p>
    <w:p>
      <w:pPr>
        <w:pStyle w:val="Heading1"/>
        <w:keepNext/>
        <w:pBdr>
          <w:bottom w:val="single" w:color="9C7A3C" w:sz="8" w:space="6"/>
        </w:pBdr>
        <w:spacing w:after="150" w:before="380"/>
      </w:pPr>
      <w:r>
        <w:rPr>
          <w:rFonts w:ascii="Arial" w:cs="Arial" w:eastAsia="Arial" w:hAnsi="Arial"/>
          <w:b/>
          <w:bCs/>
          <w:color w:val="14181D"/>
          <w:sz w:val="26"/>
          <w:szCs w:val="26"/>
        </w:rPr>
        <w:t xml:space="preserve">The comment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The number I keep returning to is the 100 at West Carr. Every operative prefabricating off site is one who needs no bed, no seat on a bus and no place in the canteen at Hinkley — and the on-site peak is what sets the whole site establishment bill.</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Going from 300 to 800 is a step change in welfare, transport and accommodation that gets committed years before the peak arrives, not at it.</w:t>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At ETABLIX that trade-off is the first thing I model. Congratulations to the team.</w:t>
      </w:r>
    </w:p>
    <w:p>
      <w:pPr>
        <w:spacing w:after="90" w:before="90" w:line="280"/>
      </w:pPr>
      <w:r>
        <w:rPr>
          <w:rFonts w:ascii="Arial" w:cs="Arial" w:eastAsia="Arial" w:hAnsi="Arial"/>
          <w:i/>
          <w:iCs/>
          <w:color w:val="14181D"/>
          <w:sz w:val="20"/>
          <w:szCs w:val="20"/>
        </w:rPr>
        <w:t xml:space="preserve">85 words, three paragraphs, one idea.</w:t>
      </w:r>
    </w:p>
    <w:p>
      <w:pPr>
        <w:pStyle w:val="Heading1"/>
        <w:keepNext/>
        <w:pBdr>
          <w:bottom w:val="single" w:color="9C7A3C" w:sz="8" w:space="6"/>
        </w:pBdr>
        <w:spacing w:after="150" w:before="380"/>
      </w:pPr>
      <w:r>
        <w:rPr>
          <w:rFonts w:ascii="Arial" w:cs="Arial" w:eastAsia="Arial" w:hAnsi="Arial"/>
          <w:b/>
          <w:bCs/>
          <w:color w:val="14181D"/>
          <w:sz w:val="26"/>
          <w:szCs w:val="26"/>
        </w:rPr>
        <w:t xml:space="preserve">Why this one</w:t>
      </w:r>
    </w:p>
    <w:p>
      <w:pPr>
        <w:spacing w:after="90" w:before="90" w:line="280"/>
      </w:pPr>
      <w:r>
        <w:rPr>
          <w:rFonts w:ascii="Arial" w:cs="Arial" w:eastAsia="Arial" w:hAnsi="Arial"/>
          <w:b/>
          <w:bCs/>
          <w:color w:val="14181D"/>
          <w:sz w:val="20"/>
          <w:szCs w:val="20"/>
        </w:rPr>
        <w:t xml:space="preserve">The West Carr number is the one nobody else will comment on.</w:t>
      </w:r>
      <w:r>
        <w:rPr>
          <w:rFonts w:ascii="Arial" w:cs="Arial" w:eastAsia="Arial" w:hAnsi="Arial"/>
          <w:color w:val="14181D"/>
          <w:sz w:val="20"/>
          <w:szCs w:val="20"/>
        </w:rPr>
        <w:t xml:space="preserve"> Every other reply will take the 800. The interesting figure is the 100, because off-site prefabrication is the only lever that reduces a peak workforce rather than accommodating it — and the on-site peak is what prices the welfare, the transport, the beds and the catering. Reading their own announcement back to them through that lens says more about what ETABLIX does than any description would.</w:t>
      </w:r>
    </w:p>
    <w:p>
      <w:pPr>
        <w:spacing w:after="90" w:before="90" w:line="280"/>
      </w:pPr>
      <w:r>
        <w:rPr>
          <w:rFonts w:ascii="Arial" w:cs="Arial" w:eastAsia="Arial" w:hAnsi="Arial"/>
          <w:b/>
          <w:bCs/>
          <w:color w:val="14181D"/>
          <w:sz w:val="20"/>
          <w:szCs w:val="20"/>
        </w:rPr>
        <w:t xml:space="preserve">It praises the right decision rather than diagnosing a problem.</w:t>
      </w:r>
      <w:r>
        <w:rPr>
          <w:rFonts w:ascii="Arial" w:cs="Arial" w:eastAsia="Arial" w:hAnsi="Arial"/>
          <w:color w:val="14181D"/>
          <w:sz w:val="20"/>
          <w:szCs w:val="20"/>
        </w:rPr>
        <w:t xml:space="preserve"> West Carr is the clever part of their answer and the comment says so. Nothing suggests anybody is doing anything badly, which is the rule, and here it is not even a constraint — the observation is genuinely admiring.</w:t>
      </w:r>
    </w:p>
    <w:p>
      <w:pPr>
        <w:spacing w:after="90" w:before="90" w:line="280"/>
      </w:pPr>
      <w:r>
        <w:rPr>
          <w:rFonts w:ascii="Arial" w:cs="Arial" w:eastAsia="Arial" w:hAnsi="Arial"/>
          <w:b/>
          <w:bCs/>
          <w:color w:val="14181D"/>
          <w:sz w:val="20"/>
          <w:szCs w:val="20"/>
        </w:rPr>
        <w:t xml:space="preserve">The commitment timing is the sell, stated as a fact about programmes rather than a pitch.</w:t>
      </w:r>
      <w:r>
        <w:rPr>
          <w:rFonts w:ascii="Arial" w:cs="Arial" w:eastAsia="Arial" w:hAnsi="Arial"/>
          <w:color w:val="14181D"/>
          <w:sz w:val="20"/>
          <w:szCs w:val="20"/>
        </w:rPr>
        <w:t xml:space="preserve"> A jump from 300 to 800 is ordered years ahead of the peak it serves. That is precisely the window where the work is worth doing and the reason it so often is not.</w:t>
      </w:r>
    </w:p>
    <w:p>
      <w:pPr>
        <w:spacing w:after="90" w:before="90" w:line="280"/>
      </w:pPr>
      <w:r>
        <w:rPr>
          <w:rFonts w:ascii="Arial" w:cs="Arial" w:eastAsia="Arial" w:hAnsi="Arial"/>
          <w:b/>
          <w:bCs/>
          <w:color w:val="14181D"/>
          <w:sz w:val="20"/>
          <w:szCs w:val="20"/>
        </w:rPr>
        <w:t xml:space="preserve">What it withholds.</w:t>
      </w:r>
      <w:r>
        <w:rPr>
          <w:rFonts w:ascii="Arial" w:cs="Arial" w:eastAsia="Arial" w:hAnsi="Arial"/>
          <w:color w:val="14181D"/>
          <w:sz w:val="20"/>
          <w:szCs w:val="20"/>
        </w:rPr>
        <w:t xml:space="preserve"> No price. No invented statistic — the 300, the 800 and the 100 are theirs, quoted as published. No former employer and no scheme of mine is named. No accreditation. Nothing implying a CDM 2015 duty holder appointment. No exclamation mark, and nothing that reads as a question with an obvious answer.</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LinkedIn comment — Bilfinger UK, Hinkley Point C order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COMMENT — BILFINGER UK, HINKLEY POINT C ORDER</dc:title>
  <dc:creator>ETABLIX — Integrated Site Services</dc:creator>
  <dc:description>ETABLIX LINKEDIN COMMENT — BILFINGER UK, HINKLEY POINT C ORDER</dc:description>
  <cp:lastModifiedBy>Un-named</cp:lastModifiedBy>
  <cp:revision>1</cp:revision>
  <dcterms:created xsi:type="dcterms:W3CDTF">2026-10-14T12:54:21.056Z</dcterms:created>
  <dcterms:modified xsi:type="dcterms:W3CDTF">2026-10-14T12:54:21.056Z</dcterms:modified>
</cp:coreProperties>
</file>

<file path=docProps/custom.xml><?xml version="1.0" encoding="utf-8"?>
<Properties xmlns="http://schemas.openxmlformats.org/officeDocument/2006/custom-properties" xmlns:vt="http://schemas.openxmlformats.org/officeDocument/2006/docPropsVTypes"/>
</file>