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STANDING RULE — NO AI LANGUAGE IN ANYTHING A CUSTOMER READS</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Standing rule — no AI language in anything a customer reads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business/marketing/NO-AI-IN-CUSTOMER-COPY.md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b/>
          <w:bCs/>
          <w:color w:val="14181D"/>
          <w:sz w:val="20"/>
          <w:szCs w:val="20"/>
        </w:rPr>
        <w:t xml:space="preserve">Set 13 October 2026, by the director, after reading the What We Offer page.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"Noone in construction will buy a service generated by AI, this is a very sceptical industry."</w:t>
      </w:r>
    </w:p>
    <w:p>
      <w:pPr>
        <w:spacing w:after="90" w:before="90" w:line="280"/>
      </w:pPr>
      <w:r>
        <w:rPr>
          <w:rFonts w:ascii="Arial" w:cs="Arial" w:eastAsia="Arial" w:hAnsi="Arial"/>
          <w:color w:val="14181D"/>
          <w:sz w:val="20"/>
          <w:szCs w:val="20"/>
        </w:rPr>
        <w:t xml:space="preserve">And, on the same day, the half that matters just as much:</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 didn't say we will not work on AI. AI is the core of our work but don't mention that as make it to the public to see these are humans professional work not ai generated."</w:t>
      </w:r>
    </w:p>
    <w:p>
      <w:pPr>
        <w:spacing w:after="90" w:before="90" w:line="280"/>
      </w:pPr>
      <w:r>
        <w:rPr>
          <w:rFonts w:ascii="Arial" w:cs="Arial" w:eastAsia="Arial" w:hAnsi="Arial"/>
          <w:color w:val="14181D"/>
          <w:sz w:val="20"/>
          <w:szCs w:val="20"/>
        </w:rPr>
        <w:t xml:space="preserve">He is right, and the reasoning matters more than the rule. A Project Director deciding whether to hand over the site establishment is not buying software. He is buying somebody who will answer the telephone when the welfare has not arrived and the crew is standing in a field. Copy that says a document was </w:t>
      </w:r>
      <w:r>
        <w:rPr>
          <w:rFonts w:ascii="Arial" w:cs="Arial" w:eastAsia="Arial" w:hAnsi="Arial"/>
          <w:i/>
          <w:iCs/>
          <w:color w:val="14181D"/>
          <w:sz w:val="20"/>
          <w:szCs w:val="20"/>
        </w:rPr>
        <w:t xml:space="preserve">assembled by a named agent</w:t>
      </w:r>
      <w:r>
        <w:rPr>
          <w:rFonts w:ascii="Arial" w:cs="Arial" w:eastAsia="Arial" w:hAnsi="Arial"/>
          <w:color w:val="14181D"/>
          <w:sz w:val="20"/>
          <w:szCs w:val="20"/>
        </w:rPr>
        <w:t xml:space="preserve"> tells him there is nobody to ring.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This is a rule about presentation, not about capability</w:t>
      </w:r>
    </w:p>
    <w:p>
      <w:pPr>
        <w:spacing w:after="90" w:before="90" w:line="280"/>
      </w:pPr>
      <w:r>
        <w:rPr>
          <w:rFonts w:ascii="Arial" w:cs="Arial" w:eastAsia="Arial" w:hAnsi="Arial"/>
          <w:b/>
          <w:bCs/>
          <w:color w:val="14181D"/>
          <w:sz w:val="20"/>
          <w:szCs w:val="20"/>
        </w:rPr>
        <w:t xml:space="preserve">Nothing here removes, reduces or discourages the use of AI in the work.</w:t>
      </w:r>
      <w:r>
        <w:rPr>
          <w:rFonts w:ascii="Arial" w:cs="Arial" w:eastAsia="Arial" w:hAnsi="Arial"/>
          <w:color w:val="14181D"/>
          <w:sz w:val="20"/>
          <w:szCs w:val="20"/>
        </w:rPr>
        <w:t xml:space="preserve"> It stays core. The internal console, the engine registry, the pipeline agents, the model routing and the ACU accounting all keep their names and their function, because nobody is sold to from a console. What changes is only what a customer reads.</w:t>
      </w:r>
    </w:p>
    <w:p>
      <w:pPr>
        <w:spacing w:after="90" w:before="90" w:line="280"/>
      </w:pPr>
      <w:r>
        <w:rPr>
          <w:rFonts w:ascii="Arial" w:cs="Arial" w:eastAsia="Arial" w:hAnsi="Arial"/>
          <w:b/>
          <w:bCs/>
          <w:color w:val="14181D"/>
          <w:sz w:val="20"/>
          <w:szCs w:val="20"/>
        </w:rPr>
        <w:t xml:space="preserve">The line is: public and customer-facing copy, versus internal tooling.</w:t>
      </w:r>
      <w:r>
        <w:rPr>
          <w:rFonts w:ascii="Arial" w:cs="Arial" w:eastAsia="Arial" w:hAnsi="Arial"/>
          <w:color w:val="14181D"/>
          <w:sz w:val="20"/>
          <w:szCs w:val="20"/>
        </w:rPr>
        <w:t xml:space="preserve"> A buyer reading the website, a Project Director reading a Diagnostic, a bid evaluator reading a return and a subcontractor reading a registration page see human professional work with a named person accountable for it, which is the truth. An ETABLIX operator sees the tooling by its real name, which is also the truth.</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one line this rule does not cross</w:t>
      </w:r>
    </w:p>
    <w:p>
      <w:pPr>
        <w:spacing w:after="90" w:before="90" w:line="280"/>
      </w:pPr>
      <w:r>
        <w:rPr>
          <w:rFonts w:ascii="Arial" w:cs="Arial" w:eastAsia="Arial" w:hAnsi="Arial"/>
          <w:b/>
          <w:bCs/>
          <w:color w:val="14181D"/>
          <w:sz w:val="20"/>
          <w:szCs w:val="20"/>
        </w:rPr>
        <w:t xml:space="preserve">Never state or imply that AI was not used.</w:t>
      </w:r>
      <w:r>
        <w:rPr>
          <w:rFonts w:ascii="Arial" w:cs="Arial" w:eastAsia="Arial" w:hAnsi="Arial"/>
          <w:color w:val="14181D"/>
          <w:sz w:val="20"/>
          <w:szCs w:val="20"/>
        </w:rPr>
        <w:t xml:space="preserve"> Omission is marketing; a denial is a false statement, and in a bid return or a prequalification answer it is a false declaration.</w:t>
      </w:r>
    </w:p>
    <w:p>
      <w:pPr>
        <w:spacing w:after="90" w:before="90" w:line="280"/>
      </w:pPr>
      <w:r>
        <w:rPr>
          <w:rFonts w:ascii="Arial" w:cs="Arial" w:eastAsia="Arial" w:hAnsi="Arial"/>
          <w:color w:val="14181D"/>
          <w:sz w:val="20"/>
          <w:szCs w:val="20"/>
        </w:rPr>
        <w:t xml:space="preserve">Public-sector and tier-one buyers increasingly ask the question directly — in a PQQ, a DPS questionnaire, an assurance schedule or an information-security annex. </w:t>
      </w:r>
      <w:r>
        <w:rPr>
          <w:rFonts w:ascii="Arial" w:cs="Arial" w:eastAsia="Arial" w:hAnsi="Arial"/>
          <w:b/>
          <w:bCs/>
          <w:color w:val="14181D"/>
          <w:sz w:val="20"/>
          <w:szCs w:val="20"/>
        </w:rPr>
        <w:t xml:space="preserve">When asked, answer truthfully</w:t>
      </w:r>
      <w:r>
        <w:rPr>
          <w:rFonts w:ascii="Arial" w:cs="Arial" w:eastAsia="Arial" w:hAnsi="Arial"/>
          <w:color w:val="14181D"/>
          <w:sz w:val="20"/>
          <w:szCs w:val="20"/>
        </w:rPr>
        <w:t xml:space="preserve">, and answer it the strong way: AI is used in production, no output reaches a client without a named construction professional approving it, no tool decides a commercial position, accepts a risk, signs a document or speaks for ETABLIX, and the deterministic engines produce the findings that any report presents. That answer wins marks. A denial that later surfaces loses the framework and the reputation with it.</w:t>
      </w:r>
    </w:p>
    <w:p>
      <w:pPr>
        <w:spacing w:after="90" w:before="90" w:line="280"/>
      </w:pPr>
      <w:r>
        <w:rPr>
          <w:rFonts w:ascii="Arial" w:cs="Arial" w:eastAsia="Arial" w:hAnsi="Arial"/>
          <w:color w:val="14181D"/>
          <w:sz w:val="20"/>
          <w:szCs w:val="20"/>
        </w:rPr>
        <w:t xml:space="preserve">So the rule is: </w:t>
      </w:r>
      <w:r>
        <w:rPr>
          <w:rFonts w:ascii="Arial" w:cs="Arial" w:eastAsia="Arial" w:hAnsi="Arial"/>
          <w:b/>
          <w:bCs/>
          <w:color w:val="14181D"/>
          <w:sz w:val="20"/>
          <w:szCs w:val="20"/>
        </w:rPr>
        <w:t xml:space="preserve">do not raise it; never deny it; answer it properly when it is asked.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Words that are never touched, because they are not AI</w:t>
      </w:r>
    </w:p>
    <w:p>
      <w:pPr>
        <w:spacing w:after="90" w:before="90" w:line="280"/>
      </w:pPr>
      <w:r>
        <w:rPr>
          <w:rFonts w:ascii="Arial" w:cs="Arial" w:eastAsia="Arial" w:hAnsi="Arial"/>
          <w:b/>
          <w:bCs/>
          <w:color w:val="14181D"/>
          <w:sz w:val="20"/>
          <w:szCs w:val="20"/>
        </w:rPr>
        <w:t xml:space="preserve">Employer's Agent</w:t>
      </w:r>
      <w:r>
        <w:rPr>
          <w:rFonts w:ascii="Arial" w:cs="Arial" w:eastAsia="Arial" w:hAnsi="Arial"/>
          <w:color w:val="14181D"/>
          <w:sz w:val="20"/>
          <w:szCs w:val="20"/>
        </w:rPr>
        <w:t xml:space="preserve"> and </w:t>
      </w:r>
      <w:r>
        <w:rPr>
          <w:rFonts w:ascii="Arial" w:cs="Arial" w:eastAsia="Arial" w:hAnsi="Arial"/>
          <w:b/>
          <w:bCs/>
          <w:color w:val="14181D"/>
          <w:sz w:val="20"/>
          <w:szCs w:val="20"/>
        </w:rPr>
        <w:t xml:space="preserve">Purchaser's Agent</w:t>
      </w:r>
      <w:r>
        <w:rPr>
          <w:rFonts w:ascii="Arial" w:cs="Arial" w:eastAsia="Arial" w:hAnsi="Arial"/>
          <w:color w:val="14181D"/>
          <w:sz w:val="20"/>
          <w:szCs w:val="20"/>
        </w:rPr>
        <w:t xml:space="preserve"> are contractual roles under JCT and NEC, and ETABLIX bids for them. </w:t>
      </w:r>
      <w:r>
        <w:rPr>
          <w:rFonts w:ascii="Arial" w:cs="Arial" w:eastAsia="Arial" w:hAnsi="Arial"/>
          <w:b/>
          <w:bCs/>
          <w:color w:val="14181D"/>
          <w:sz w:val="20"/>
          <w:szCs w:val="20"/>
        </w:rPr>
        <w:t xml:space="preserve">Agents, introducers and intermediaries</w:t>
      </w:r>
      <w:r>
        <w:rPr>
          <w:rFonts w:ascii="Arial" w:cs="Arial" w:eastAsia="Arial" w:hAnsi="Arial"/>
          <w:color w:val="14181D"/>
          <w:sz w:val="20"/>
          <w:szCs w:val="20"/>
        </w:rPr>
        <w:t xml:space="preserve"> is the standard vocabulary of an anti-bribery policy. These appear throughout </w:t>
      </w:r>
      <w:r>
        <w:rPr>
          <w:rFonts w:ascii="Arial" w:cs="Arial" w:eastAsia="Arial" w:hAnsi="Arial"/>
          <w:i/>
          <w:iCs/>
          <w:color w:val="14181D"/>
          <w:sz w:val="20"/>
          <w:szCs w:val="20"/>
        </w:rPr>
        <w:t xml:space="preserve">business/bids/</w:t>
      </w:r>
      <w:r>
        <w:rPr>
          <w:rFonts w:ascii="Arial" w:cs="Arial" w:eastAsia="Arial" w:hAnsi="Arial"/>
          <w:color w:val="14181D"/>
          <w:sz w:val="20"/>
          <w:szCs w:val="20"/>
        </w:rPr>
        <w:t xml:space="preserve"> and </w:t>
      </w:r>
      <w:r>
        <w:rPr>
          <w:rFonts w:ascii="Arial" w:cs="Arial" w:eastAsia="Arial" w:hAnsi="Arial"/>
          <w:i/>
          <w:iCs/>
          <w:color w:val="14181D"/>
          <w:sz w:val="20"/>
          <w:szCs w:val="20"/>
        </w:rPr>
        <w:t xml:space="preserve">business/policies/</w:t>
      </w:r>
      <w:r>
        <w:rPr>
          <w:rFonts w:ascii="Arial" w:cs="Arial" w:eastAsia="Arial" w:hAnsi="Arial"/>
          <w:color w:val="14181D"/>
          <w:sz w:val="20"/>
          <w:szCs w:val="20"/>
        </w:rPr>
        <w:t xml:space="preserve"> and sweeping them would break a bid and a policy. Any future grep must read its hits before changing them.</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rule</w:t>
      </w:r>
    </w:p>
    <w:p>
      <w:pPr>
        <w:spacing w:after="90" w:before="90" w:line="280"/>
      </w:pPr>
      <w:r>
        <w:rPr>
          <w:rFonts w:ascii="Arial" w:cs="Arial" w:eastAsia="Arial" w:hAnsi="Arial"/>
          <w:b/>
          <w:bCs/>
          <w:color w:val="14181D"/>
          <w:sz w:val="20"/>
          <w:szCs w:val="20"/>
        </w:rPr>
        <w:t xml:space="preserve">Nothing a customer, a buyer, a bid evaluator or a supplier reads may describe ETABLIX work as produced by AI, by an agent, or by a machine.</w:t>
      </w:r>
      <w:r>
        <w:rPr>
          <w:rFonts w:ascii="Arial" w:cs="Arial" w:eastAsia="Arial" w:hAnsi="Arial"/>
          <w:color w:val="14181D"/>
          <w:sz w:val="20"/>
          <w:szCs w:val="20"/>
        </w:rPr>
        <w:t xml:space="preserve"> That covers the website, the Diagnostic, bid returns, prequalification answers, letters, emails, LinkedIn, adverts and the blog.</w:t>
      </w:r>
    </w:p>
    <w:p>
      <w:pPr>
        <w:spacing w:after="90" w:before="90" w:line="280"/>
      </w:pPr>
      <w:r>
        <w:rPr>
          <w:rFonts w:ascii="Arial" w:cs="Arial" w:eastAsia="Arial" w:hAnsi="Arial"/>
          <w:color w:val="14181D"/>
          <w:sz w:val="20"/>
          <w:szCs w:val="20"/>
        </w:rPr>
        <w:t xml:space="preserve">Banned in customer-facing copy: </w:t>
      </w:r>
      <w:r>
        <w:rPr>
          <w:rFonts w:ascii="Arial" w:cs="Arial" w:eastAsia="Arial" w:hAnsi="Arial"/>
          <w:i/>
          <w:iCs/>
          <w:color w:val="14181D"/>
          <w:sz w:val="20"/>
          <w:szCs w:val="20"/>
        </w:rPr>
        <w:t xml:space="preserve">AI, A.I., artificial intelligence, AI-native, AI-powered, AI-generated, agent, AI agent, agentic, LLM, machine learning, generative, autonomous, copilot, neural, chatbot,</w:t>
      </w:r>
      <w:r>
        <w:rPr>
          <w:rFonts w:ascii="Arial" w:cs="Arial" w:eastAsia="Arial" w:hAnsi="Arial"/>
          <w:color w:val="14181D"/>
          <w:sz w:val="20"/>
          <w:szCs w:val="20"/>
        </w:rPr>
        <w:t xml:space="preserve"> and </w:t>
      </w:r>
      <w:r>
        <w:rPr>
          <w:rFonts w:ascii="Arial" w:cs="Arial" w:eastAsia="Arial" w:hAnsi="Arial"/>
          <w:i/>
          <w:iCs/>
          <w:color w:val="14181D"/>
          <w:sz w:val="20"/>
          <w:szCs w:val="20"/>
        </w:rPr>
        <w:t xml:space="preserve">assembled / produced / written by machine</w:t>
      </w:r>
      <w:r>
        <w:rPr>
          <w:rFonts w:ascii="Arial" w:cs="Arial" w:eastAsia="Arial" w:hAnsi="Arial"/>
          <w:color w:val="14181D"/>
          <w:sz w:val="20"/>
          <w:szCs w:val="20"/>
        </w:rPr>
        <w:t xml:space="preserve">.</w:t>
      </w:r>
    </w:p>
    <w:p>
      <w:pPr>
        <w:spacing w:after="90" w:before="90" w:line="280"/>
      </w:pPr>
      <w:r>
        <w:rPr>
          <w:rFonts w:ascii="Arial" w:cs="Arial" w:eastAsia="Arial" w:hAnsi="Arial"/>
          <w:color w:val="14181D"/>
          <w:sz w:val="20"/>
          <w:szCs w:val="20"/>
        </w:rPr>
        <w:t xml:space="preserve">Also banned as a near-synonym a sceptic will read the same way: </w:t>
      </w:r>
      <w:r>
        <w:rPr>
          <w:rFonts w:ascii="Arial" w:cs="Arial" w:eastAsia="Arial" w:hAnsi="Arial"/>
          <w:b/>
          <w:bCs/>
          <w:color w:val="14181D"/>
          <w:sz w:val="20"/>
          <w:szCs w:val="20"/>
        </w:rPr>
        <w:t xml:space="preserve">intelligence layer</w:t>
      </w:r>
      <w:r>
        <w:rPr>
          <w:rFonts w:ascii="Arial" w:cs="Arial" w:eastAsia="Arial" w:hAnsi="Arial"/>
          <w:color w:val="14181D"/>
          <w:sz w:val="20"/>
          <w:szCs w:val="20"/>
        </w:rPr>
        <w:t xml:space="preserve">.</w:t>
      </w:r>
    </w:p>
    <w:p>
      <w:pPr>
        <w:spacing w:after="90" w:before="90" w:line="280"/>
      </w:pPr>
      <w:r>
        <w:rPr>
          <w:rFonts w:ascii="Arial" w:cs="Arial" w:eastAsia="Arial" w:hAnsi="Arial"/>
          <w:b/>
          <w:bCs/>
          <w:color w:val="14181D"/>
          <w:sz w:val="20"/>
          <w:szCs w:val="20"/>
        </w:rPr>
        <w:t xml:space="preserve">Not banned, because they are not AI claims.</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Automated</w:t>
      </w:r>
      <w:r>
        <w:rPr>
          <w:rFonts w:ascii="Arial" w:cs="Arial" w:eastAsia="Arial" w:hAnsi="Arial"/>
          <w:color w:val="14181D"/>
          <w:sz w:val="20"/>
          <w:szCs w:val="20"/>
        </w:rPr>
        <w:t xml:space="preserve"> in its ordinary sense — bot protection on a form, automatic deletion of a file, an automated cross-check. </w:t>
      </w:r>
      <w:r>
        <w:rPr>
          <w:rFonts w:ascii="Arial" w:cs="Arial" w:eastAsia="Arial" w:hAnsi="Arial"/>
          <w:i/>
          <w:iCs/>
          <w:color w:val="14181D"/>
          <w:sz w:val="20"/>
          <w:szCs w:val="20"/>
        </w:rPr>
        <w:t xml:space="preserve">Execution intelligence</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scenario intelligence</w:t>
      </w:r>
      <w:r>
        <w:rPr>
          <w:rFonts w:ascii="Arial" w:cs="Arial" w:eastAsia="Arial" w:hAnsi="Arial"/>
          <w:color w:val="14181D"/>
          <w:sz w:val="20"/>
          <w:szCs w:val="20"/>
        </w:rPr>
        <w:t xml:space="preserve"> and </w:t>
      </w:r>
      <w:r>
        <w:rPr>
          <w:rFonts w:ascii="Arial" w:cs="Arial" w:eastAsia="Arial" w:hAnsi="Arial"/>
          <w:i/>
          <w:iCs/>
          <w:color w:val="14181D"/>
          <w:sz w:val="20"/>
          <w:szCs w:val="20"/>
        </w:rPr>
        <w:t xml:space="preserve">construction intelligence</w:t>
      </w:r>
      <w:r>
        <w:rPr>
          <w:rFonts w:ascii="Arial" w:cs="Arial" w:eastAsia="Arial" w:hAnsi="Arial"/>
          <w:color w:val="14181D"/>
          <w:sz w:val="20"/>
          <w:szCs w:val="20"/>
        </w:rPr>
        <w:t xml:space="preserve"> are ordinary portfolio-reporting vocabulary and read as dashboards, not robots. They are listed here so the next person sweeping the site knows they were considered and kept.</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replaces it</w:t>
      </w:r>
    </w:p>
    <w:p>
      <w:pPr>
        <w:spacing w:after="90" w:before="90" w:line="280"/>
      </w:pPr>
      <w:r>
        <w:rPr>
          <w:rFonts w:ascii="Arial" w:cs="Arial" w:eastAsia="Arial" w:hAnsi="Arial"/>
          <w:color w:val="14181D"/>
          <w:sz w:val="20"/>
          <w:szCs w:val="20"/>
        </w:rPr>
        <w:t xml:space="preserve">Not a euphemism. The true statement, which is stronger: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211"/>
        <w:gridCol w:w="5089"/>
      </w:tblGrid>
      <w:tr>
        <w:trPr>
          <w:tblHeader/>
        </w:trPr>
        <w:tc>
          <w:tcPr>
            <w:tcW w:type="dxa" w:w="3211"/>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Instead of</w:t>
            </w:r>
          </w:p>
        </w:tc>
        <w:tc>
          <w:tcPr>
            <w:tcW w:type="dxa" w:w="5089"/>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Say</w:t>
            </w:r>
          </w:p>
        </w:tc>
      </w:tr>
      <w:tr>
        <w:tc>
          <w:tcPr>
            <w:tcW w:type="dxa" w:w="321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assembled by a named agent</w:t>
            </w:r>
          </w:p>
        </w:tc>
        <w:tc>
          <w:tcPr>
            <w:tcW w:type="dxa" w:w="508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produced and signed off by the construction professional accountable for it</w:t>
            </w:r>
          </w:p>
        </w:tc>
      </w:tr>
      <w:tr>
        <w:tc>
          <w:tcPr>
            <w:tcW w:type="dxa" w:w="321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reconciled by machine</w:t>
            </w:r>
          </w:p>
        </w:tc>
        <w:tc>
          <w:tcPr>
            <w:tcW w:type="dxa" w:w="508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cross-checked line by line before the pack can be issued</w:t>
            </w:r>
          </w:p>
        </w:tc>
      </w:tr>
      <w:tr>
        <w:tc>
          <w:tcPr>
            <w:tcW w:type="dxa" w:w="321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produced by a named agent inside an approval boundary</w:t>
            </w:r>
          </w:p>
        </w:tc>
        <w:tc>
          <w:tcPr>
            <w:tcW w:type="dxa" w:w="508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named person accountable for the stage, and nothing leaves it until they approve</w:t>
            </w:r>
          </w:p>
        </w:tc>
      </w:tr>
      <w:tr>
        <w:tc>
          <w:tcPr>
            <w:tcW w:type="dxa" w:w="321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AI operating system</w:t>
            </w:r>
          </w:p>
        </w:tc>
        <w:tc>
          <w:tcPr>
            <w:tcW w:type="dxa" w:w="508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project control platform</w:t>
            </w:r>
          </w:p>
        </w:tc>
      </w:tr>
      <w:tr>
        <w:tc>
          <w:tcPr>
            <w:tcW w:type="dxa" w:w="321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AI writes the report</w:t>
            </w:r>
          </w:p>
        </w:tc>
        <w:tc>
          <w:tcPr>
            <w:tcW w:type="dxa" w:w="508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report presents those findings and cannot recompute them</w:t>
            </w:r>
          </w:p>
        </w:tc>
      </w:tr>
      <w:tr>
        <w:tc>
          <w:tcPr>
            <w:tcW w:type="dxa" w:w="321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none with an AI-native control platform</w:t>
            </w:r>
          </w:p>
        </w:tc>
        <w:tc>
          <w:tcPr>
            <w:tcW w:type="dxa" w:w="508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few who will take the whole site environment as one accountable scope</w:t>
            </w:r>
          </w:p>
        </w:tc>
      </w:tr>
      <w:tr>
        <w:tc>
          <w:tcPr>
            <w:tcW w:type="dxa" w:w="321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AI forecasting</w:t>
            </w:r>
          </w:p>
        </w:tc>
        <w:tc>
          <w:tcPr>
            <w:tcW w:type="dxa" w:w="508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forecasting</w:t>
            </w:r>
          </w:p>
        </w:tc>
      </w:tr>
      <w:tr>
        <w:tc>
          <w:tcPr>
            <w:tcW w:type="dxa" w:w="321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run an AI agent</w:t>
            </w:r>
          </w:p>
        </w:tc>
        <w:tc>
          <w:tcPr>
            <w:tcW w:type="dxa" w:w="508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run an automated check</w:t>
            </w:r>
          </w:p>
        </w:tc>
      </w:tr>
      <w:tr>
        <w:tc>
          <w:tcPr>
            <w:tcW w:type="dxa" w:w="321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intelligence layer</w:t>
            </w:r>
          </w:p>
        </w:tc>
        <w:tc>
          <w:tcPr>
            <w:tcW w:type="dxa" w:w="508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one control layer</w:t>
            </w:r>
          </w:p>
        </w:tc>
      </w:tr>
    </w:tbl>
    <w:p>
      <w:pPr>
        <w:spacing w:after="90" w:before="90" w:line="280"/>
      </w:pPr>
      <w:r>
        <w:rPr>
          <w:rFonts w:ascii="Arial" w:cs="Arial" w:eastAsia="Arial" w:hAnsi="Arial"/>
          <w:b/>
          <w:bCs/>
          <w:color w:val="14181D"/>
          <w:sz w:val="20"/>
          <w:szCs w:val="20"/>
        </w:rPr>
        <w:t xml:space="preserve">The trust argument survives the rewrite intact.</w:t>
      </w:r>
      <w:r>
        <w:rPr>
          <w:rFonts w:ascii="Arial" w:cs="Arial" w:eastAsia="Arial" w:hAnsi="Arial"/>
          <w:color w:val="14181D"/>
          <w:sz w:val="20"/>
          <w:szCs w:val="20"/>
        </w:rPr>
        <w:t xml:space="preserve"> The old CONSTRUX bullet argued that sixteen deterministic engines produce the findings and the write-up cannot recompute them. That is a good argument. It is a </w:t>
      </w:r>
      <w:r>
        <w:rPr>
          <w:rFonts w:ascii="Arial" w:cs="Arial" w:eastAsia="Arial" w:hAnsi="Arial"/>
          <w:i/>
          <w:iCs/>
          <w:color w:val="14181D"/>
          <w:sz w:val="20"/>
          <w:szCs w:val="20"/>
        </w:rPr>
        <w:t xml:space="preserve">better</w:t>
      </w:r>
      <w:r>
        <w:rPr>
          <w:rFonts w:ascii="Arial" w:cs="Arial" w:eastAsia="Arial" w:hAnsi="Arial"/>
          <w:color w:val="14181D"/>
          <w:sz w:val="20"/>
          <w:szCs w:val="20"/>
        </w:rPr>
        <w:t xml:space="preserve"> argument with the technology label removed, because what the buyer actually wanted to know was whether a number in the report can be followed back to a clause and a document. So the bullet now ends: </w:t>
      </w:r>
      <w:r>
        <w:rPr>
          <w:rFonts w:ascii="Arial" w:cs="Arial" w:eastAsia="Arial" w:hAnsi="Arial"/>
          <w:i/>
          <w:iCs/>
          <w:color w:val="14181D"/>
          <w:sz w:val="20"/>
          <w:szCs w:val="20"/>
        </w:rPr>
        <w:t xml:space="preserve">if a number in a CONSTRUX report cannot be followed to its source, it does not get printed.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is not a claim about the service</w:t>
      </w:r>
    </w:p>
    <w:p>
      <w:pPr>
        <w:pStyle w:val="ListParagraph"/>
        <w:numPr>
          <w:ilvl w:val="0"/>
          <w:numId w:val="2"/>
        </w:numPr>
        <w:spacing w:after="50" w:before="50" w:line="280"/>
      </w:pPr>
      <w:r>
        <w:rPr>
          <w:rFonts w:ascii="Arial" w:cs="Arial" w:eastAsia="Arial" w:hAnsi="Arial"/>
          <w:i/>
          <w:iCs/>
          <w:color w:val="14181D"/>
          <w:sz w:val="20"/>
          <w:szCs w:val="20"/>
        </w:rPr>
        <w:t xml:space="preserve">robots.txt</w:t>
      </w:r>
      <w:r>
        <w:rPr>
          <w:rFonts w:ascii="Arial" w:cs="Arial" w:eastAsia="Arial" w:hAnsi="Arial"/>
          <w:color w:val="14181D"/>
          <w:sz w:val="20"/>
          <w:szCs w:val="20"/>
        </w:rPr>
        <w:t xml:space="preserve"> naming GPTBot, ClaudeBot and the other retrieval crawlers. That is crawler configuration, it is not read by a buyer, and it is deliberately permissive so answer engines can find the site. Leave it alone.</w:t>
      </w:r>
    </w:p>
    <w:p>
      <w:pPr>
        <w:pStyle w:val="ListParagraph"/>
        <w:numPr>
          <w:ilvl w:val="0"/>
          <w:numId w:val="2"/>
        </w:numPr>
        <w:spacing w:after="50" w:before="50" w:line="280"/>
      </w:pPr>
      <w:r>
        <w:rPr>
          <w:rFonts w:ascii="Arial" w:cs="Arial" w:eastAsia="Arial" w:hAnsi="Arial"/>
          <w:i/>
          <w:iCs/>
          <w:color w:val="14181D"/>
          <w:sz w:val="20"/>
          <w:szCs w:val="20"/>
        </w:rPr>
        <w:t xml:space="preserve">llms.txt</w:t>
      </w:r>
      <w:r>
        <w:rPr>
          <w:rFonts w:ascii="Arial" w:cs="Arial" w:eastAsia="Arial" w:hAnsi="Arial"/>
          <w:color w:val="14181D"/>
          <w:sz w:val="20"/>
          <w:szCs w:val="20"/>
        </w:rPr>
        <w:t xml:space="preserve">, the plain-text site map for answer engines. Same reason.</w:t>
      </w:r>
    </w:p>
    <w:p>
      <w:pPr>
        <w:pStyle w:val="ListParagraph"/>
        <w:numPr>
          <w:ilvl w:val="0"/>
          <w:numId w:val="2"/>
        </w:numPr>
        <w:spacing w:after="50" w:before="50" w:line="280"/>
      </w:pPr>
      <w:r>
        <w:rPr>
          <w:rFonts w:ascii="Arial" w:cs="Arial" w:eastAsia="Arial" w:hAnsi="Arial"/>
          <w:color w:val="14181D"/>
          <w:sz w:val="20"/>
          <w:szCs w:val="20"/>
        </w:rPr>
        <w:t xml:space="preserve">Internal engineering files, test suites, deployment runbooks and this repository's own documentation. Nobody is sold to from a runbook.</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one thing deliberately left undone</w:t>
      </w:r>
    </w:p>
    <w:p>
      <w:pPr>
        <w:spacing w:after="90" w:before="90" w:line="280"/>
      </w:pPr>
      <w:r>
        <w:rPr>
          <w:rFonts w:ascii="Arial" w:cs="Arial" w:eastAsia="Arial" w:hAnsi="Arial"/>
          <w:color w:val="14181D"/>
          <w:sz w:val="20"/>
          <w:szCs w:val="20"/>
        </w:rPr>
        <w:t xml:space="preserve">The VERYX Platform API still publishes </w:t>
      </w:r>
      <w:r>
        <w:rPr>
          <w:rFonts w:ascii="Arial" w:cs="Arial" w:eastAsia="Arial" w:hAnsi="Arial"/>
          <w:i/>
          <w:iCs/>
          <w:color w:val="14181D"/>
          <w:sz w:val="20"/>
          <w:szCs w:val="20"/>
        </w:rPr>
        <w:t xml:space="preserve">GET /agents</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POST /agents/{type}/run</w:t>
      </w:r>
      <w:r>
        <w:rPr>
          <w:rFonts w:ascii="Arial" w:cs="Arial" w:eastAsia="Arial" w:hAnsi="Arial"/>
          <w:color w:val="14181D"/>
          <w:sz w:val="20"/>
          <w:szCs w:val="20"/>
        </w:rPr>
        <w:t xml:space="preserve"> and the scopes </w:t>
      </w:r>
      <w:r>
        <w:rPr>
          <w:rFonts w:ascii="Arial" w:cs="Arial" w:eastAsia="Arial" w:hAnsi="Arial"/>
          <w:i/>
          <w:iCs/>
          <w:color w:val="14181D"/>
          <w:sz w:val="20"/>
          <w:szCs w:val="20"/>
        </w:rPr>
        <w:t xml:space="preserve">read:agents</w:t>
      </w:r>
      <w:r>
        <w:rPr>
          <w:rFonts w:ascii="Arial" w:cs="Arial" w:eastAsia="Arial" w:hAnsi="Arial"/>
          <w:color w:val="14181D"/>
          <w:sz w:val="20"/>
          <w:szCs w:val="20"/>
        </w:rPr>
        <w:t xml:space="preserve"> and </w:t>
      </w:r>
      <w:r>
        <w:rPr>
          <w:rFonts w:ascii="Arial" w:cs="Arial" w:eastAsia="Arial" w:hAnsi="Arial"/>
          <w:i/>
          <w:iCs/>
          <w:color w:val="14181D"/>
          <w:sz w:val="20"/>
          <w:szCs w:val="20"/>
        </w:rPr>
        <w:t xml:space="preserve">run:agents</w:t>
      </w:r>
      <w:r>
        <w:rPr>
          <w:rFonts w:ascii="Arial" w:cs="Arial" w:eastAsia="Arial" w:hAnsi="Arial"/>
          <w:color w:val="14181D"/>
          <w:sz w:val="20"/>
          <w:szCs w:val="20"/>
        </w:rPr>
        <w:t xml:space="preserve">. Those are real identifiers in a machine contract, defined in </w:t>
      </w:r>
      <w:r>
        <w:rPr>
          <w:rFonts w:ascii="Arial" w:cs="Arial" w:eastAsia="Arial" w:hAnsi="Arial"/>
          <w:i/>
          <w:iCs/>
          <w:color w:val="14181D"/>
          <w:sz w:val="20"/>
          <w:szCs w:val="20"/>
        </w:rPr>
        <w:t xml:space="preserve">backend/lib/store.js</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backend/lib/veryx.js</w:t>
      </w:r>
      <w:r>
        <w:rPr>
          <w:rFonts w:ascii="Arial" w:cs="Arial" w:eastAsia="Arial" w:hAnsi="Arial"/>
          <w:color w:val="14181D"/>
          <w:sz w:val="20"/>
          <w:szCs w:val="20"/>
        </w:rPr>
        <w:t xml:space="preserve"> and </w:t>
      </w:r>
      <w:r>
        <w:rPr>
          <w:rFonts w:ascii="Arial" w:cs="Arial" w:eastAsia="Arial" w:hAnsi="Arial"/>
          <w:i/>
          <w:iCs/>
          <w:color w:val="14181D"/>
          <w:sz w:val="20"/>
          <w:szCs w:val="20"/>
        </w:rPr>
        <w:t xml:space="preserve">backend/routes/veryx-public.js</w:t>
      </w:r>
      <w:r>
        <w:rPr>
          <w:rFonts w:ascii="Arial" w:cs="Arial" w:eastAsia="Arial" w:hAnsi="Arial"/>
          <w:color w:val="14181D"/>
          <w:sz w:val="20"/>
          <w:szCs w:val="20"/>
        </w:rPr>
        <w:t xml:space="preserve">, asserted by the test suite, and possibly already integrated against. Renaming them is a breaking API change and belongs in its own deliberate decision, not in a copy sweep. </w:t>
      </w:r>
      <w:r>
        <w:rPr>
          <w:rFonts w:ascii="Arial" w:cs="Arial" w:eastAsia="Arial" w:hAnsi="Arial"/>
          <w:b/>
          <w:bCs/>
          <w:color w:val="14181D"/>
          <w:sz w:val="20"/>
          <w:szCs w:val="20"/>
        </w:rPr>
        <w:t xml:space="preserve">Every human-readable description around them has been rewritten</w:t>
      </w:r>
      <w:r>
        <w:rPr>
          <w:rFonts w:ascii="Arial" w:cs="Arial" w:eastAsia="Arial" w:hAnsi="Arial"/>
          <w:color w:val="14181D"/>
          <w:sz w:val="20"/>
          <w:szCs w:val="20"/>
        </w:rPr>
        <w:t xml:space="preserve"> — the table now says </w:t>
      </w:r>
      <w:r>
        <w:rPr>
          <w:rFonts w:ascii="Arial" w:cs="Arial" w:eastAsia="Arial" w:hAnsi="Arial"/>
          <w:i/>
          <w:iCs/>
          <w:color w:val="14181D"/>
          <w:sz w:val="20"/>
          <w:szCs w:val="20"/>
        </w:rPr>
        <w:t xml:space="preserve">automated check</w:t>
      </w:r>
      <w:r>
        <w:rPr>
          <w:rFonts w:ascii="Arial" w:cs="Arial" w:eastAsia="Arial" w:hAnsi="Arial"/>
          <w:color w:val="14181D"/>
          <w:sz w:val="20"/>
          <w:szCs w:val="20"/>
        </w:rPr>
        <w:t xml:space="preserve">, not </w:t>
      </w:r>
      <w:r>
        <w:rPr>
          <w:rFonts w:ascii="Arial" w:cs="Arial" w:eastAsia="Arial" w:hAnsi="Arial"/>
          <w:i/>
          <w:iCs/>
          <w:color w:val="14181D"/>
          <w:sz w:val="20"/>
          <w:szCs w:val="20"/>
        </w:rPr>
        <w:t xml:space="preserve">AI agent</w:t>
      </w:r>
      <w:r>
        <w:rPr>
          <w:rFonts w:ascii="Arial" w:cs="Arial" w:eastAsia="Arial" w:hAnsi="Arial"/>
          <w:color w:val="14181D"/>
          <w:sz w:val="20"/>
          <w:szCs w:val="20"/>
        </w:rPr>
        <w:t xml:space="preserve">. If the identifiers are to change too, that is a separate piece of work across the backend, the docs and the tests, with a deprecation window.</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blog post</w:t>
      </w:r>
    </w:p>
    <w:p>
      <w:pPr>
        <w:spacing w:after="90" w:before="90" w:line="280"/>
      </w:pPr>
      <w:r>
        <w:rPr>
          <w:rFonts w:ascii="Arial" w:cs="Arial" w:eastAsia="Arial" w:hAnsi="Arial"/>
          <w:i/>
          <w:iCs/>
          <w:color w:val="14181D"/>
          <w:sz w:val="20"/>
          <w:szCs w:val="20"/>
        </w:rPr>
        <w:t xml:space="preserve">ai-agents-in-construction</w:t>
      </w:r>
      <w:r>
        <w:rPr>
          <w:rFonts w:ascii="Arial" w:cs="Arial" w:eastAsia="Arial" w:hAnsi="Arial"/>
          <w:color w:val="14181D"/>
          <w:sz w:val="20"/>
          <w:szCs w:val="20"/>
        </w:rPr>
        <w:t xml:space="preserve"> is unpublished, not deleted. Its entry was removed from </w:t>
      </w:r>
      <w:r>
        <w:rPr>
          <w:rFonts w:ascii="Arial" w:cs="Arial" w:eastAsia="Arial" w:hAnsi="Arial"/>
          <w:i/>
          <w:iCs/>
          <w:color w:val="14181D"/>
          <w:sz w:val="20"/>
          <w:szCs w:val="20"/>
        </w:rPr>
        <w:t xml:space="preserve">content/blog/schedule.json</w:t>
      </w:r>
      <w:r>
        <w:rPr>
          <w:rFonts w:ascii="Arial" w:cs="Arial" w:eastAsia="Arial" w:hAnsi="Arial"/>
          <w:color w:val="14181D"/>
          <w:sz w:val="20"/>
          <w:szCs w:val="20"/>
        </w:rPr>
        <w:t xml:space="preserve">, which by the blog system's own design excludes a post from the index, the sitemap, the feed, llms.txt and every related-post block. The source stays in </w:t>
      </w:r>
      <w:r>
        <w:rPr>
          <w:rFonts w:ascii="Arial" w:cs="Arial" w:eastAsia="Arial" w:hAnsi="Arial"/>
          <w:i/>
          <w:iCs/>
          <w:color w:val="14181D"/>
          <w:sz w:val="20"/>
          <w:szCs w:val="20"/>
        </w:rPr>
        <w:t xml:space="preserve">content/blog/</w:t>
      </w:r>
      <w:r>
        <w:rPr>
          <w:rFonts w:ascii="Arial" w:cs="Arial" w:eastAsia="Arial" w:hAnsi="Arial"/>
          <w:color w:val="14181D"/>
          <w:sz w:val="20"/>
          <w:szCs w:val="20"/>
        </w:rPr>
        <w:t xml:space="preserve">. The generated page was removed so the URL no longer answers.</w:t>
      </w:r>
    </w:p>
    <w:p>
      <w:pPr>
        <w:spacing w:after="90" w:before="90" w:line="280"/>
      </w:pPr>
      <w:r>
        <w:rPr>
          <w:rFonts w:ascii="Arial" w:cs="Arial" w:eastAsia="Arial" w:hAnsi="Arial"/>
          <w:color w:val="14181D"/>
          <w:sz w:val="20"/>
          <w:szCs w:val="20"/>
        </w:rPr>
        <w:t xml:space="preserve">It was the strongest AI signal on the site — the card described running thirteen AI agents inside a live construction business — and it sat two clicks from the offer. The argument inside it is sound, but a sceptical buyer searching for ETABLIX would have found it before finding anything about site establishment. One line in the schedule file puts it back if that judgement ever changes.</w:t>
      </w:r>
    </w:p>
    <w:p>
      <w:pPr>
        <w:pStyle w:val="Heading1"/>
        <w:keepNext/>
        <w:pBdr>
          <w:bottom w:val="single" w:color="9C7A3C" w:sz="8" w:space="6"/>
        </w:pBdr>
        <w:spacing w:after="150" w:before="380"/>
      </w:pPr>
      <w:r>
        <w:rPr>
          <w:rFonts w:ascii="Arial" w:cs="Arial" w:eastAsia="Arial" w:hAnsi="Arial"/>
          <w:b/>
          <w:bCs/>
          <w:color w:val="14181D"/>
          <w:sz w:val="26"/>
          <w:szCs w:val="26"/>
        </w:rPr>
        <w:t xml:space="preserve">How to check this stayed true</w:t>
      </w:r>
    </w:p>
    <w:p>
      <w:pPr>
        <w:spacing w:after="90" w:before="90" w:line="280"/>
      </w:pPr>
      <w:r>
        <w:rPr>
          <w:rFonts w:ascii="Arial" w:cs="Arial" w:eastAsia="Arial" w:hAnsi="Arial"/>
          <w:color w:val="14181D"/>
          <w:sz w:val="20"/>
          <w:szCs w:val="20"/>
        </w:rPr>
        <w:t xml:space="preserve">cd frontend/public &amp;&amp; grep -rnoiE \ '\bA\.?I\b|artificial intelligen|agentic|machine learning|\bLLM\b|GPT|autonomous|copilot|neural|generative|chatbot|AI-native|AI-powered|intelligence layer' . \ | grep -vE 'robots\.txt|meta name="robots"'</w:t>
      </w:r>
    </w:p>
    <w:p>
      <w:pPr>
        <w:spacing w:after="90" w:before="90" w:line="280"/>
      </w:pPr>
      <w:r>
        <w:rPr>
          <w:rFonts w:ascii="Arial" w:cs="Arial" w:eastAsia="Arial" w:hAnsi="Arial"/>
          <w:color w:val="14181D"/>
          <w:sz w:val="20"/>
          <w:szCs w:val="20"/>
        </w:rPr>
        <w:t xml:space="preserve">Empty output is the pass. Run it before any site deployment. The only expected hits anywhere are the VERYX API identifiers above and the crawler configuration.</w:t>
      </w:r>
    </w:p>
    <w:p>
      <w:pPr>
        <w:spacing w:after="90" w:before="90" w:line="280"/>
      </w:pPr>
      <w:r>
        <w:rPr>
          <w:rFonts w:ascii="Arial" w:cs="Arial" w:eastAsia="Arial" w:hAnsi="Arial"/>
          <w:b/>
          <w:bCs/>
          <w:color w:val="14181D"/>
          <w:sz w:val="20"/>
          <w:szCs w:val="20"/>
        </w:rPr>
        <w:t xml:space="preserve">Do not run that grep across `backend/`, `business/bids/` or `business/policies/`.</w:t>
      </w:r>
      <w:r>
        <w:rPr>
          <w:rFonts w:ascii="Arial" w:cs="Arial" w:eastAsia="Arial" w:hAnsi="Arial"/>
          <w:color w:val="14181D"/>
          <w:sz w:val="20"/>
          <w:szCs w:val="20"/>
        </w:rPr>
        <w:t xml:space="preserve"> The backend is internal tooling and is meant to name what it runs. The bids and policies contain Employer's Agent and the anti-bribery agents clause, which are contractual language.</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was checked and found already correct</w:t>
      </w:r>
    </w:p>
    <w:p>
      <w:pPr>
        <w:spacing w:after="90" w:before="90" w:line="280"/>
      </w:pPr>
      <w:r>
        <w:rPr>
          <w:rFonts w:ascii="Arial" w:cs="Arial" w:eastAsia="Arial" w:hAnsi="Arial"/>
          <w:color w:val="14181D"/>
          <w:sz w:val="20"/>
          <w:szCs w:val="20"/>
        </w:rPr>
        <w:t xml:space="preserve">Swept on 13 October 2026 and needing no change:</w:t>
      </w:r>
    </w:p>
    <w:p>
      <w:pPr>
        <w:pStyle w:val="ListParagraph"/>
        <w:numPr>
          <w:ilvl w:val="0"/>
          <w:numId w:val="2"/>
        </w:numPr>
        <w:spacing w:after="50" w:before="50" w:line="280"/>
      </w:pPr>
      <w:r>
        <w:rPr>
          <w:rFonts w:ascii="Arial" w:cs="Arial" w:eastAsia="Arial" w:hAnsi="Arial"/>
          <w:b/>
          <w:bCs/>
          <w:color w:val="14181D"/>
          <w:sz w:val="20"/>
          <w:szCs w:val="20"/>
        </w:rPr>
        <w:t xml:space="preserve">The client deliverable's provenance.</w:t>
      </w:r>
      <w:r>
        <w:rPr>
          <w:rFonts w:ascii="Arial" w:cs="Arial" w:eastAsia="Arial" w:hAnsi="Arial"/>
          <w:color w:val="14181D"/>
          <w:sz w:val="20"/>
          <w:szCs w:val="20"/>
        </w:rPr>
        <w:t xml:space="preserve"> An issued report carries a basis of preparation — what was supplied, what documents were read in full, what was not provided and therefore not relied on, that no site visit was undertaken, and that every load, ratio, rate and duration is a first-pass planning figure requiring validation by a competent person. It names no tooling, and it should not start to.</w:t>
      </w:r>
    </w:p>
    <w:p>
      <w:pPr>
        <w:pStyle w:val="ListParagraph"/>
        <w:numPr>
          <w:ilvl w:val="0"/>
          <w:numId w:val="2"/>
        </w:numPr>
        <w:spacing w:after="50" w:before="50" w:line="280"/>
      </w:pPr>
      <w:r>
        <w:rPr>
          <w:rFonts w:ascii="Arial" w:cs="Arial" w:eastAsia="Arial" w:hAnsi="Arial"/>
          <w:b/>
          <w:bCs/>
          <w:color w:val="14181D"/>
          <w:sz w:val="20"/>
          <w:szCs w:val="20"/>
        </w:rPr>
        <w:t xml:space="preserve">The PQQ page, the client portal and the supplier portal.</w:t>
      </w:r>
      <w:r>
        <w:rPr>
          <w:rFonts w:ascii="Arial" w:cs="Arial" w:eastAsia="Arial" w:hAnsi="Arial"/>
          <w:color w:val="14181D"/>
          <w:sz w:val="20"/>
          <w:szCs w:val="20"/>
        </w:rPr>
        <w:t xml:space="preserve"> Clean.</w:t>
      </w:r>
    </w:p>
    <w:p>
      <w:pPr>
        <w:pStyle w:val="ListParagraph"/>
        <w:numPr>
          <w:ilvl w:val="0"/>
          <w:numId w:val="2"/>
        </w:numPr>
        <w:spacing w:after="50" w:before="50" w:line="280"/>
      </w:pPr>
      <w:r>
        <w:rPr>
          <w:rFonts w:ascii="Arial" w:cs="Arial" w:eastAsia="Arial" w:hAnsi="Arial"/>
          <w:b/>
          <w:bCs/>
          <w:color w:val="14181D"/>
          <w:sz w:val="20"/>
          <w:szCs w:val="20"/>
        </w:rPr>
        <w:t xml:space="preserve">Every bid document and policy in `business/`.</w:t>
      </w:r>
      <w:r>
        <w:rPr>
          <w:rFonts w:ascii="Arial" w:cs="Arial" w:eastAsia="Arial" w:hAnsi="Arial"/>
          <w:color w:val="14181D"/>
          <w:sz w:val="20"/>
          <w:szCs w:val="20"/>
        </w:rPr>
        <w:t xml:space="preserve"> The only hits were the contractual roles above.</w:t>
      </w:r>
    </w:p>
    <w:p>
      <w:pPr>
        <w:pStyle w:val="ListParagraph"/>
        <w:numPr>
          <w:ilvl w:val="0"/>
          <w:numId w:val="2"/>
        </w:numPr>
        <w:spacing w:after="50" w:before="50" w:line="280"/>
      </w:pPr>
      <w:r>
        <w:rPr>
          <w:rFonts w:ascii="Arial" w:cs="Arial" w:eastAsia="Arial" w:hAnsi="Arial"/>
          <w:b/>
          <w:bCs/>
          <w:color w:val="14181D"/>
          <w:sz w:val="20"/>
          <w:szCs w:val="20"/>
        </w:rPr>
        <w:t xml:space="preserve">Operator-facing error messages</w:t>
      </w:r>
      <w:r>
        <w:rPr>
          <w:rFonts w:ascii="Arial" w:cs="Arial" w:eastAsia="Arial" w:hAnsi="Arial"/>
          <w:color w:val="14181D"/>
          <w:sz w:val="20"/>
          <w:szCs w:val="20"/>
        </w:rPr>
        <w:t xml:space="preserve"> such as </w:t>
      </w:r>
      <w:r>
        <w:rPr>
          <w:rFonts w:ascii="Arial" w:cs="Arial" w:eastAsia="Arial" w:hAnsi="Arial"/>
          <w:i/>
          <w:iCs/>
          <w:color w:val="14181D"/>
          <w:sz w:val="20"/>
          <w:szCs w:val="20"/>
        </w:rPr>
        <w:t xml:space="preserve">approve it under Organisation → AI agents</w:t>
      </w:r>
      <w:r>
        <w:rPr>
          <w:rFonts w:ascii="Arial" w:cs="Arial" w:eastAsia="Arial" w:hAnsi="Arial"/>
          <w:color w:val="14181D"/>
          <w:sz w:val="20"/>
          <w:szCs w:val="20"/>
        </w:rPr>
        <w:t xml:space="preserve">. These sit behind the staff guard and instruct navigation of the internal console. A client never sees them, and they stay as they are.</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Standing rule — no AI language in anything a customer reads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STANDING RULE — NO AI LANGUAGE IN ANYTHING A CUSTOMER READS</dc:title>
  <dc:creator>ETABLIX — Integrated Site Services</dc:creator>
  <dc:description>ETABLIX STANDING RULE — NO AI LANGUAGE IN ANYTHING A CUSTOMER READS</dc:description>
  <cp:lastModifiedBy>Un-named</cp:lastModifiedBy>
  <cp:revision>1</cp:revision>
  <dcterms:created xsi:type="dcterms:W3CDTF">2026-10-13T17:44:53.383Z</dcterms:created>
  <dcterms:modified xsi:type="dcterms:W3CDTF">2026-10-13T17:44:53.383Z</dcterms:modified>
</cp:coreProperties>
</file>

<file path=docProps/custom.xml><?xml version="1.0" encoding="utf-8"?>
<Properties xmlns="http://schemas.openxmlformats.org/officeDocument/2006/custom-properties" xmlns:vt="http://schemas.openxmlformats.org/officeDocument/2006/docPropsVTypes"/>
</file>