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METHOD STATEMENT — CATEGORY 1 CONSULTANCY SERVICES</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Method Statement — Category 1 Consultancy Services</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business/bids/chic-method-statement.md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30 September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b/>
          <w:bCs/>
          <w:color w:val="14181D"/>
          <w:sz w:val="20"/>
          <w:szCs w:val="20"/>
        </w:rPr>
        <w:t xml:space="preserve">ETABLIX — Integrated Site Services</w:t>
      </w:r>
      <w:r>
        <w:rPr>
          <w:rFonts w:ascii="Arial" w:cs="Arial" w:eastAsia="Arial" w:hAnsi="Arial"/>
          <w:color w:val="14181D"/>
          <w:sz w:val="20"/>
          <w:szCs w:val="20"/>
        </w:rPr>
        <w:t xml:space="preserve"> A trading name of JNN GLOBAL LTD · Company number 15405437</w:t>
      </w:r>
    </w:p>
    <w:p>
      <w:pPr>
        <w:spacing w:after="90" w:before="90" w:line="280"/>
      </w:pPr>
      <w:r>
        <w:rPr>
          <w:rFonts w:ascii="Arial" w:cs="Arial" w:eastAsia="Arial" w:hAnsi="Arial"/>
          <w:color w:val="14181D"/>
          <w:sz w:val="20"/>
          <w:szCs w:val="20"/>
        </w:rPr>
        <w:t xml:space="preserve">Prepared for the CHIC Development DPS, reference DPS-02-74 Category 1 — Consultants Issue [1] · Dated [date]</w:t>
      </w:r>
    </w:p>
    <w:p>
      <w:pPr>
        <w:pStyle w:val="Heading1"/>
        <w:keepNext/>
        <w:pBdr>
          <w:bottom w:val="single" w:color="9C7A3C" w:sz="8" w:space="6"/>
        </w:pBdr>
        <w:spacing w:after="150" w:before="380"/>
      </w:pPr>
      <w:r>
        <w:rPr>
          <w:rFonts w:ascii="Arial" w:cs="Arial" w:eastAsia="Arial" w:hAnsi="Arial"/>
          <w:b/>
          <w:bCs/>
          <w:color w:val="14181D"/>
          <w:sz w:val="26"/>
          <w:szCs w:val="26"/>
        </w:rPr>
        <w:t xml:space="preserve">1. The workstreams this statement covers</w:t>
      </w:r>
    </w:p>
    <w:p>
      <w:pPr>
        <w:spacing w:after="90" w:before="90" w:line="280"/>
      </w:pPr>
      <w:r>
        <w:rPr>
          <w:rFonts w:ascii="Arial" w:cs="Arial" w:eastAsia="Arial" w:hAnsi="Arial"/>
          <w:color w:val="14181D"/>
          <w:sz w:val="20"/>
          <w:szCs w:val="20"/>
        </w:rPr>
        <w:t xml:space="preserve">CHIC confirmed in writing that workstreams within a category are selected individually, and that the submission is assessed as a whole with contract examples required to cover </w:t>
      </w:r>
      <w:r>
        <w:rPr>
          <w:rFonts w:ascii="Arial" w:cs="Arial" w:eastAsia="Arial" w:hAnsi="Arial"/>
          <w:b/>
          <w:bCs/>
          <w:color w:val="14181D"/>
          <w:sz w:val="20"/>
          <w:szCs w:val="20"/>
        </w:rPr>
        <w:t xml:space="preserve">every</w:t>
      </w:r>
      <w:r>
        <w:rPr>
          <w:rFonts w:ascii="Arial" w:cs="Arial" w:eastAsia="Arial" w:hAnsi="Arial"/>
          <w:color w:val="14181D"/>
          <w:sz w:val="20"/>
          <w:szCs w:val="20"/>
        </w:rPr>
        <w:t xml:space="preserve"> workstream selected. This statement therefore covers three, and only three: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565"/>
        <w:gridCol w:w="5735"/>
      </w:tblGrid>
      <w:tr>
        <w:trPr>
          <w:tblHeader/>
        </w:trPr>
        <w:tc>
          <w:tcPr>
            <w:tcW w:type="dxa" w:w="2565"/>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Workstream</w:t>
            </w:r>
          </w:p>
        </w:tc>
        <w:tc>
          <w:tcPr>
            <w:tcW w:type="dxa" w:w="5735"/>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Covered</w:t>
            </w:r>
          </w:p>
        </w:tc>
      </w:tr>
      <w:tr>
        <w:tc>
          <w:tcPr>
            <w:tcW w:type="dxa" w:w="256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Project Manager</w:t>
            </w:r>
          </w:p>
        </w:tc>
        <w:tc>
          <w:tcPr>
            <w:tcW w:type="dxa" w:w="573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yes</w:t>
            </w:r>
          </w:p>
        </w:tc>
      </w:tr>
      <w:tr>
        <w:tc>
          <w:tcPr>
            <w:tcW w:type="dxa" w:w="256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Employer's Agent</w:t>
            </w:r>
          </w:p>
        </w:tc>
        <w:tc>
          <w:tcPr>
            <w:tcW w:type="dxa" w:w="573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yes</w:t>
            </w:r>
          </w:p>
        </w:tc>
      </w:tr>
      <w:tr>
        <w:tc>
          <w:tcPr>
            <w:tcW w:type="dxa" w:w="256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Clerk of Works</w:t>
            </w:r>
          </w:p>
        </w:tc>
        <w:tc>
          <w:tcPr>
            <w:tcW w:type="dxa" w:w="573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yes</w:t>
            </w:r>
          </w:p>
        </w:tc>
      </w:tr>
      <w:tr>
        <w:tc>
          <w:tcPr>
            <w:tcW w:type="dxa" w:w="256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CDM Co-ordinator</w:t>
            </w:r>
          </w:p>
        </w:tc>
        <w:tc>
          <w:tcPr>
            <w:tcW w:type="dxa" w:w="573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yes — see section 7 before you tick it</w:t>
            </w:r>
          </w:p>
        </w:tc>
      </w:tr>
      <w:tr>
        <w:tc>
          <w:tcPr>
            <w:tcW w:type="dxa" w:w="256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Purchaser's Agent</w:t>
            </w:r>
          </w:p>
        </w:tc>
        <w:tc>
          <w:tcPr>
            <w:tcW w:type="dxa" w:w="573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[decide — see the note below]</w:t>
            </w:r>
          </w:p>
        </w:tc>
      </w:tr>
    </w:tbl>
    <w:p>
      <w:pPr>
        <w:spacing w:after="90" w:before="90" w:line="280"/>
      </w:pPr>
      <w:r>
        <w:rPr>
          <w:rFonts w:ascii="Arial" w:cs="Arial" w:eastAsia="Arial" w:hAnsi="Arial"/>
          <w:b/>
          <w:bCs/>
          <w:color w:val="14181D"/>
          <w:sz w:val="20"/>
          <w:szCs w:val="20"/>
        </w:rPr>
        <w:t xml:space="preserve">On CDM Co-ordinator.</w:t>
      </w:r>
      <w:r>
        <w:rPr>
          <w:rFonts w:ascii="Arial" w:cs="Arial" w:eastAsia="Arial" w:hAnsi="Arial"/>
          <w:color w:val="14181D"/>
          <w:sz w:val="20"/>
          <w:szCs w:val="20"/>
        </w:rPr>
        <w:t xml:space="preserve"> It is included at the client's direction, and section 7 sets out what is actually offered under that heading and on what conditions. Read section 7 before ticking the box on the form. Two things follow from including it, and neither is optional:</w:t>
      </w:r>
    </w:p>
    <w:p>
      <w:pPr>
        <w:pStyle w:val="ListParagraph"/>
        <w:numPr>
          <w:ilvl w:val="0"/>
          <w:numId w:val="2"/>
        </w:numPr>
        <w:spacing w:after="50" w:before="50" w:line="280"/>
      </w:pPr>
      <w:r>
        <w:rPr>
          <w:rFonts w:ascii="Arial" w:cs="Arial" w:eastAsia="Arial" w:hAnsi="Arial"/>
          <w:b/>
          <w:bCs/>
          <w:color w:val="14181D"/>
          <w:sz w:val="20"/>
          <w:szCs w:val="20"/>
        </w:rPr>
        <w:t xml:space="preserve">1. </w:t>
      </w:r>
      <w:r>
        <w:rPr>
          <w:rFonts w:ascii="Arial" w:cs="Arial" w:eastAsia="Arial" w:hAnsi="Arial"/>
          <w:color w:val="14181D"/>
          <w:sz w:val="20"/>
          <w:szCs w:val="20"/>
        </w:rPr>
        <w:t xml:space="preserve">The CDM 2015 competence file must be assembled before submission, because the evidence behind it is requested at ITT on a pass/fail basis.</w:t>
      </w:r>
    </w:p>
    <w:p>
      <w:pPr>
        <w:pStyle w:val="ListParagraph"/>
        <w:numPr>
          <w:ilvl w:val="0"/>
          <w:numId w:val="2"/>
        </w:numPr>
        <w:spacing w:after="50" w:before="50" w:line="280"/>
      </w:pPr>
      <w:r>
        <w:rPr>
          <w:rFonts w:ascii="Arial" w:cs="Arial" w:eastAsia="Arial" w:hAnsi="Arial"/>
          <w:b/>
          <w:bCs/>
          <w:color w:val="14181D"/>
          <w:sz w:val="20"/>
          <w:szCs w:val="20"/>
        </w:rPr>
        <w:t xml:space="preserve">2. </w:t>
      </w:r>
      <w:r>
        <w:rPr>
          <w:rFonts w:ascii="Arial" w:cs="Arial" w:eastAsia="Arial" w:hAnsi="Arial"/>
          <w:color w:val="14181D"/>
          <w:sz w:val="20"/>
          <w:szCs w:val="20"/>
        </w:rPr>
        <w:t xml:space="preserve">CHIC requires contract examples to cover every workstream selected. Adding this one means the curriculum vitae and the question 6.1 explanation must evidence CDM experience specifically, not construction management generally. If they cannot, this workstream should come back off.</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Before you submit, decide on Purchaser's Agent and set the row. Every workstream you tick widens what your contract examples have to cover, and the 6.1 explanation is already carrying the weight of a company with no contracts of its own. Tick the fewest that make the application worth making.</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Section 2.1 is what carries the first three. The director has personally held the accountable-interface role across the whole site establishment cycle, and 2.1 maps each stage of it onto Project Manager, Employer's Agent and Clerk of Works. That mapping is the relevance link CHIC asked for. It does not extend to CDM Co-ordinator, which is why section 7 sets its own conditions.</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Who delivers the work</w:t>
      </w:r>
    </w:p>
    <w:p>
      <w:pPr>
        <w:spacing w:after="90" w:before="90" w:line="280"/>
      </w:pPr>
      <w:r>
        <w:rPr>
          <w:rFonts w:ascii="Arial" w:cs="Arial" w:eastAsia="Arial" w:hAnsi="Arial"/>
          <w:color w:val="14181D"/>
          <w:sz w:val="20"/>
          <w:szCs w:val="20"/>
        </w:rPr>
        <w:t xml:space="preserve">The company currently comprises one working director, Justin Ngolu Nseya MCIOB, Managing Director, who personally delivers every engagement. This is stated at the front rather than buried, because capacity is the first question an assessor asks of a small supplier and an answer they have to hunt for reads as an answer being hidden.</w:t>
      </w:r>
    </w:p>
    <w:p>
      <w:pPr>
        <w:pStyle w:val="Heading2"/>
        <w:keepNext/>
        <w:spacing w:after="110" w:before="260"/>
      </w:pPr>
      <w:r>
        <w:rPr>
          <w:rFonts w:ascii="Arial" w:cs="Arial" w:eastAsia="Arial" w:hAnsi="Arial"/>
          <w:b/>
          <w:bCs/>
          <w:color w:val="9C7A3C"/>
          <w:sz w:val="21"/>
          <w:szCs w:val="21"/>
        </w:rPr>
        <w:t xml:space="preserve">2.1 The scope he has already held</w:t>
      </w:r>
    </w:p>
    <w:p>
      <w:pPr>
        <w:spacing w:after="90" w:before="90" w:line="280"/>
      </w:pPr>
      <w:r>
        <w:rPr>
          <w:rFonts w:ascii="Arial" w:cs="Arial" w:eastAsia="Arial" w:hAnsi="Arial"/>
          <w:color w:val="14181D"/>
          <w:sz w:val="20"/>
          <w:szCs w:val="20"/>
        </w:rPr>
        <w:t xml:space="preserve">At GE Vernova – Grid Solutions, between December 2022 and December 2025, he was the single person accountable for planning, procuring, integrating and controlling the temporary infrastructure and workforce-living systems that keep major projects operational. He held that scope across multiple concurrent sites, from tender stage through to handover, across Northern and Southern Europe including the United Kingdom and the Republic of Ireland. Clients dealt with one accountable interface across the whole cycle: initial requirements, mobilisation, daily operation, demobilisation and reinstatement.</w:t>
      </w:r>
    </w:p>
    <w:p>
      <w:pPr>
        <w:spacing w:after="90" w:before="90" w:line="280"/>
      </w:pPr>
      <w:r>
        <w:rPr>
          <w:rFonts w:ascii="Arial" w:cs="Arial" w:eastAsia="Arial" w:hAnsi="Arial"/>
          <w:color w:val="14181D"/>
          <w:sz w:val="20"/>
          <w:szCs w:val="20"/>
        </w:rPr>
        <w:t xml:space="preserve">The clearest single instance is the Skye Reinforcement Project: within SSEN Transmission's £690 million replacement of the 132 kV network between Fort Augustus and the Isle of Skye, he defined, procured and ran the worker accommodation village — 309 bedrooms over 36 months — specified as five packages (civils, the modular accommodation, furniture and fit-out, kitchen and dining, and facilities management), and once all five were appointed he placed the running of the whole village with one of them under a single contract.</w:t>
      </w:r>
    </w:p>
    <w:p>
      <w:pPr>
        <w:spacing w:after="90" w:before="90" w:line="280"/>
      </w:pPr>
      <w:r>
        <w:rPr>
          <w:rFonts w:ascii="Arial" w:cs="Arial" w:eastAsia="Arial" w:hAnsi="Arial"/>
          <w:color w:val="14181D"/>
          <w:sz w:val="20"/>
          <w:szCs w:val="20"/>
        </w:rPr>
        <w:t xml:space="preserve">That sentence is here rather than in the curriculum vitae because it is the relevant fact about this company, and because it is a different claim from a construction management record. The three workstreams in section 1 are all accountable-interface appointments — the client hands over a scope and holds one person answerable for it. He has held exactly that, on real schemes, at scale, and the cycle maps onto the workstreams directly: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360"/>
        <w:gridCol w:w="2940"/>
      </w:tblGrid>
      <w:tr>
        <w:trPr>
          <w:tblHeader/>
        </w:trPr>
        <w:tc>
          <w:tcPr>
            <w:tcW w:type="dxa" w:w="536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Stage of the cycle</w:t>
            </w:r>
          </w:p>
        </w:tc>
        <w:tc>
          <w:tcPr>
            <w:tcW w:type="dxa" w:w="294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Workstream it underwrites</w:t>
            </w:r>
          </w:p>
        </w:tc>
      </w:tr>
      <w:tr>
        <w:tc>
          <w:tcPr>
            <w:tcW w:type="dxa" w:w="536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Requirements and tender-stage specification</w:t>
            </w:r>
          </w:p>
        </w:tc>
        <w:tc>
          <w:tcPr>
            <w:tcW w:type="dxa" w:w="294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Project Manager · Employer's Agent</w:t>
            </w:r>
          </w:p>
        </w:tc>
      </w:tr>
      <w:tr>
        <w:tc>
          <w:tcPr>
            <w:tcW w:type="dxa" w:w="536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Procurement, award recommendation and holding the terms</w:t>
            </w:r>
          </w:p>
        </w:tc>
        <w:tc>
          <w:tcPr>
            <w:tcW w:type="dxa" w:w="294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Project Manager · Employer's Agent</w:t>
            </w:r>
          </w:p>
        </w:tc>
      </w:tr>
      <w:tr>
        <w:tc>
          <w:tcPr>
            <w:tcW w:type="dxa" w:w="536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Integration into the construction programme and site logistics</w:t>
            </w:r>
          </w:p>
        </w:tc>
        <w:tc>
          <w:tcPr>
            <w:tcW w:type="dxa" w:w="294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Project Manager</w:t>
            </w:r>
          </w:p>
        </w:tc>
      </w:tr>
      <w:tr>
        <w:tc>
          <w:tcPr>
            <w:tcW w:type="dxa" w:w="536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Mobilisation, installation and connection</w:t>
            </w:r>
          </w:p>
        </w:tc>
        <w:tc>
          <w:tcPr>
            <w:tcW w:type="dxa" w:w="294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Clerk of Works</w:t>
            </w:r>
          </w:p>
        </w:tc>
      </w:tr>
      <w:tr>
        <w:tc>
          <w:tcPr>
            <w:tcW w:type="dxa" w:w="536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Daily operation, compliance and occupancy change</w:t>
            </w:r>
          </w:p>
        </w:tc>
        <w:tc>
          <w:tcPr>
            <w:tcW w:type="dxa" w:w="294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Clerk of Works · Project Manager</w:t>
            </w:r>
          </w:p>
        </w:tc>
      </w:tr>
      <w:tr>
        <w:tc>
          <w:tcPr>
            <w:tcW w:type="dxa" w:w="536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Demobilisation, reinstatement and final account</w:t>
            </w:r>
          </w:p>
        </w:tc>
        <w:tc>
          <w:tcPr>
            <w:tcW w:type="dxa" w:w="294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Employer's Agent</w:t>
            </w:r>
          </w:p>
        </w:tc>
      </w:tr>
    </w:tbl>
    <w:p>
      <w:pPr>
        <w:spacing w:after="90" w:before="90" w:line="280"/>
      </w:pPr>
      <w:r>
        <w:rPr>
          <w:rFonts w:ascii="Arial" w:cs="Arial" w:eastAsia="Arial" w:hAnsi="Arial"/>
          <w:color w:val="14181D"/>
          <w:sz w:val="20"/>
          <w:szCs w:val="20"/>
        </w:rPr>
        <w:t xml:space="preserve">Two qualifications travel with that paragraph wherever it appears, and both are stated before anyone has to ask.</w:t>
      </w:r>
    </w:p>
    <w:p>
      <w:pPr>
        <w:spacing w:after="90" w:before="90" w:line="280"/>
      </w:pPr>
      <w:r>
        <w:rPr>
          <w:rFonts w:ascii="Arial" w:cs="Arial" w:eastAsia="Arial" w:hAnsi="Arial"/>
          <w:b/>
          <w:bCs/>
          <w:color w:val="14181D"/>
          <w:sz w:val="20"/>
          <w:szCs w:val="20"/>
        </w:rPr>
        <w:t xml:space="preserve">It was performed as an employee of GE Vernova.</w:t>
      </w:r>
      <w:r>
        <w:rPr>
          <w:rFonts w:ascii="Arial" w:cs="Arial" w:eastAsia="Arial" w:hAnsi="Arial"/>
          <w:color w:val="14181D"/>
          <w:sz w:val="20"/>
          <w:szCs w:val="20"/>
        </w:rPr>
        <w:t xml:space="preserve"> It is not an ETABLIX contract, and ETABLIX has performed none. CHIC accepted that distinction in the first assessment; it is not blurred now.</w:t>
      </w:r>
    </w:p>
    <w:p>
      <w:pPr>
        <w:spacing w:after="90" w:before="90" w:line="280"/>
      </w:pPr>
      <w:r>
        <w:rPr>
          <w:rFonts w:ascii="Arial" w:cs="Arial" w:eastAsia="Arial" w:hAnsi="Arial"/>
          <w:b/>
          <w:bCs/>
          <w:color w:val="14181D"/>
          <w:sz w:val="20"/>
          <w:szCs w:val="20"/>
        </w:rPr>
        <w:t xml:space="preserve">It was performed as the accountable interface, not as self-delivery.</w:t>
      </w:r>
      <w:r>
        <w:rPr>
          <w:rFonts w:ascii="Arial" w:cs="Arial" w:eastAsia="Arial" w:hAnsi="Arial"/>
          <w:color w:val="14181D"/>
          <w:sz w:val="20"/>
          <w:szCs w:val="20"/>
        </w:rPr>
        <w:t xml:space="preserve"> The accommodation, welfare and utilities themselves were supplied and installed by specialist subcontractors, under terms he specified, procured and held. This company works the same way and does not present itself as a supplier of the plant. Section 8 describes the associate and subcontracting arrangements that carry it.</w:t>
      </w:r>
    </w:p>
    <w:p>
      <w:pPr>
        <w:spacing w:after="90" w:before="90" w:line="280"/>
      </w:pPr>
      <w:r>
        <w:rPr>
          <w:rFonts w:ascii="Arial" w:cs="Arial" w:eastAsia="Arial" w:hAnsi="Arial"/>
          <w:color w:val="14181D"/>
          <w:sz w:val="20"/>
          <w:szCs w:val="20"/>
        </w:rPr>
        <w:t xml:space="preserve">The full record is in the curriculum vitae at item [n] of the supplementary information, and in </w:t>
      </w:r>
      <w:r>
        <w:rPr>
          <w:rFonts w:ascii="Arial" w:cs="Arial" w:eastAsia="Arial" w:hAnsi="Arial"/>
          <w:i/>
          <w:iCs/>
          <w:color w:val="14181D"/>
          <w:sz w:val="20"/>
          <w:szCs w:val="20"/>
        </w:rPr>
        <w:t xml:space="preserve">Director's Relevant Experience</w:t>
      </w:r>
      <w:r>
        <w:rPr>
          <w:rFonts w:ascii="Arial" w:cs="Arial" w:eastAsia="Arial" w:hAnsi="Arial"/>
          <w:color w:val="14181D"/>
          <w:sz w:val="20"/>
          <w:szCs w:val="20"/>
        </w:rPr>
        <w:t xml:space="preserve">, which sets the scope out stage by stage and offers referees who can confirm it from the other side.</w:t>
      </w:r>
    </w:p>
    <w:p>
      <w:pPr>
        <w:pStyle w:val="Heading2"/>
        <w:keepNext/>
        <w:spacing w:after="110" w:before="260"/>
      </w:pPr>
      <w:r>
        <w:rPr>
          <w:rFonts w:ascii="Arial" w:cs="Arial" w:eastAsia="Arial" w:hAnsi="Arial"/>
          <w:b/>
          <w:bCs/>
          <w:color w:val="9C7A3C"/>
          <w:sz w:val="21"/>
          <w:szCs w:val="21"/>
        </w:rPr>
        <w:t xml:space="preserve">2.2 When one person is not enough</w:t>
      </w:r>
    </w:p>
    <w:p>
      <w:pPr>
        <w:spacing w:after="90" w:before="90" w:line="280"/>
      </w:pPr>
      <w:r>
        <w:rPr>
          <w:rFonts w:ascii="Arial" w:cs="Arial" w:eastAsia="Arial" w:hAnsi="Arial"/>
          <w:color w:val="14181D"/>
          <w:sz w:val="20"/>
          <w:szCs w:val="20"/>
        </w:rPr>
        <w:t xml:space="preserve">Where an engagement requires competence or capacity beyond one person, the company engages a named associate under section 8 and tells the client it has done so. It does not accept an engagement it cannot staff.</w:t>
      </w:r>
    </w:p>
    <w:p>
      <w:pPr>
        <w:pStyle w:val="Heading1"/>
        <w:keepNext/>
        <w:pBdr>
          <w:bottom w:val="single" w:color="9C7A3C" w:sz="8" w:space="6"/>
        </w:pBdr>
        <w:spacing w:after="150" w:before="380"/>
      </w:pPr>
      <w:r>
        <w:rPr>
          <w:rFonts w:ascii="Arial" w:cs="Arial" w:eastAsia="Arial" w:hAnsi="Arial"/>
          <w:b/>
          <w:bCs/>
          <w:color w:val="14181D"/>
          <w:sz w:val="26"/>
          <w:szCs w:val="26"/>
        </w:rPr>
        <w:t xml:space="preserve">3. Mobilisation — the first ten working days</w:t>
      </w:r>
    </w:p>
    <w:p>
      <w:pPr>
        <w:pStyle w:val="ListParagraph"/>
        <w:numPr>
          <w:ilvl w:val="0"/>
          <w:numId w:val="2"/>
        </w:numPr>
        <w:spacing w:after="50" w:before="50" w:line="280"/>
      </w:pPr>
      <w:r>
        <w:rPr>
          <w:rFonts w:ascii="Arial" w:cs="Arial" w:eastAsia="Arial" w:hAnsi="Arial"/>
          <w:b/>
          <w:bCs/>
          <w:color w:val="14181D"/>
          <w:sz w:val="20"/>
          <w:szCs w:val="20"/>
        </w:rPr>
        <w:t xml:space="preserve">1. </w:t>
      </w:r>
      <w:r>
        <w:rPr>
          <w:rFonts w:ascii="Arial" w:cs="Arial" w:eastAsia="Arial" w:hAnsi="Arial"/>
          <w:b/>
          <w:bCs/>
          <w:color w:val="14181D"/>
          <w:sz w:val="20"/>
          <w:szCs w:val="20"/>
        </w:rPr>
        <w:t xml:space="preserve">Written scope agreed.</w:t>
      </w:r>
      <w:r>
        <w:rPr>
          <w:rFonts w:ascii="Arial" w:cs="Arial" w:eastAsia="Arial" w:hAnsi="Arial"/>
          <w:color w:val="14181D"/>
          <w:sz w:val="20"/>
          <w:szCs w:val="20"/>
        </w:rPr>
        <w:t xml:space="preserve"> What is to be delivered, to whom, by when, on what information, and what is excluded. Nothing starts without it.</w:t>
      </w:r>
    </w:p>
    <w:p>
      <w:pPr>
        <w:pStyle w:val="ListParagraph"/>
        <w:numPr>
          <w:ilvl w:val="0"/>
          <w:numId w:val="2"/>
        </w:numPr>
        <w:spacing w:after="50" w:before="50" w:line="280"/>
      </w:pPr>
      <w:r>
        <w:rPr>
          <w:rFonts w:ascii="Arial" w:cs="Arial" w:eastAsia="Arial" w:hAnsi="Arial"/>
          <w:b/>
          <w:bCs/>
          <w:color w:val="14181D"/>
          <w:sz w:val="20"/>
          <w:szCs w:val="20"/>
        </w:rPr>
        <w:t xml:space="preserve">2. </w:t>
      </w:r>
      <w:r>
        <w:rPr>
          <w:rFonts w:ascii="Arial" w:cs="Arial" w:eastAsia="Arial" w:hAnsi="Arial"/>
          <w:b/>
          <w:bCs/>
          <w:color w:val="14181D"/>
          <w:sz w:val="20"/>
          <w:szCs w:val="20"/>
        </w:rPr>
        <w:t xml:space="preserve">Contract read in full.</w:t>
      </w:r>
      <w:r>
        <w:rPr>
          <w:rFonts w:ascii="Arial" w:cs="Arial" w:eastAsia="Arial" w:hAnsi="Arial"/>
          <w:color w:val="14181D"/>
          <w:sz w:val="20"/>
          <w:szCs w:val="20"/>
        </w:rPr>
        <w:t xml:space="preserve"> The executed contract, its amendments and its schedules — not the summary. Obligations, notice requirements and time bars are extracted into an obligations register on day one, because a time bar discovered in month three has usually already passed.</w:t>
      </w:r>
    </w:p>
    <w:p>
      <w:pPr>
        <w:pStyle w:val="ListParagraph"/>
        <w:numPr>
          <w:ilvl w:val="0"/>
          <w:numId w:val="2"/>
        </w:numPr>
        <w:spacing w:after="50" w:before="50" w:line="280"/>
      </w:pPr>
      <w:r>
        <w:rPr>
          <w:rFonts w:ascii="Arial" w:cs="Arial" w:eastAsia="Arial" w:hAnsi="Arial"/>
          <w:b/>
          <w:bCs/>
          <w:color w:val="14181D"/>
          <w:sz w:val="20"/>
          <w:szCs w:val="20"/>
        </w:rPr>
        <w:t xml:space="preserve">3. </w:t>
      </w:r>
      <w:r>
        <w:rPr>
          <w:rFonts w:ascii="Arial" w:cs="Arial" w:eastAsia="Arial" w:hAnsi="Arial"/>
          <w:b/>
          <w:bCs/>
          <w:color w:val="14181D"/>
          <w:sz w:val="20"/>
          <w:szCs w:val="20"/>
        </w:rPr>
        <w:t xml:space="preserve">Information received and logged</w:t>
      </w:r>
      <w:r>
        <w:rPr>
          <w:rFonts w:ascii="Arial" w:cs="Arial" w:eastAsia="Arial" w:hAnsi="Arial"/>
          <w:color w:val="14181D"/>
          <w:sz w:val="20"/>
          <w:szCs w:val="20"/>
        </w:rPr>
        <w:t xml:space="preserve">, with the date each item arrived. Gaps are raised in writing immediately rather than at the first report.</w:t>
      </w:r>
    </w:p>
    <w:p>
      <w:pPr>
        <w:pStyle w:val="ListParagraph"/>
        <w:numPr>
          <w:ilvl w:val="0"/>
          <w:numId w:val="2"/>
        </w:numPr>
        <w:spacing w:after="50" w:before="50" w:line="280"/>
      </w:pPr>
      <w:r>
        <w:rPr>
          <w:rFonts w:ascii="Arial" w:cs="Arial" w:eastAsia="Arial" w:hAnsi="Arial"/>
          <w:b/>
          <w:bCs/>
          <w:color w:val="14181D"/>
          <w:sz w:val="20"/>
          <w:szCs w:val="20"/>
        </w:rPr>
        <w:t xml:space="preserve">4. </w:t>
      </w:r>
      <w:r>
        <w:rPr>
          <w:rFonts w:ascii="Arial" w:cs="Arial" w:eastAsia="Arial" w:hAnsi="Arial"/>
          <w:b/>
          <w:bCs/>
          <w:color w:val="14181D"/>
          <w:sz w:val="20"/>
          <w:szCs w:val="20"/>
        </w:rPr>
        <w:t xml:space="preserve">Key dates diarised</w:t>
      </w:r>
      <w:r>
        <w:rPr>
          <w:rFonts w:ascii="Arial" w:cs="Arial" w:eastAsia="Arial" w:hAnsi="Arial"/>
          <w:color w:val="14181D"/>
          <w:sz w:val="20"/>
          <w:szCs w:val="20"/>
        </w:rPr>
        <w:t xml:space="preserve"> — payment notice dates, valuation dates, reporting dates, and every contractual deadline that carries a consequence.</w:t>
      </w:r>
    </w:p>
    <w:p>
      <w:pPr>
        <w:pStyle w:val="ListParagraph"/>
        <w:numPr>
          <w:ilvl w:val="0"/>
          <w:numId w:val="2"/>
        </w:numPr>
        <w:spacing w:after="50" w:before="50" w:line="280"/>
      </w:pPr>
      <w:r>
        <w:rPr>
          <w:rFonts w:ascii="Arial" w:cs="Arial" w:eastAsia="Arial" w:hAnsi="Arial"/>
          <w:b/>
          <w:bCs/>
          <w:color w:val="14181D"/>
          <w:sz w:val="20"/>
          <w:szCs w:val="20"/>
        </w:rPr>
        <w:t xml:space="preserve">5. </w:t>
      </w:r>
      <w:r>
        <w:rPr>
          <w:rFonts w:ascii="Arial" w:cs="Arial" w:eastAsia="Arial" w:hAnsi="Arial"/>
          <w:b/>
          <w:bCs/>
          <w:color w:val="14181D"/>
          <w:sz w:val="20"/>
          <w:szCs w:val="20"/>
        </w:rPr>
        <w:t xml:space="preserve">Site induction completed</w:t>
      </w:r>
      <w:r>
        <w:rPr>
          <w:rFonts w:ascii="Arial" w:cs="Arial" w:eastAsia="Arial" w:hAnsi="Arial"/>
          <w:color w:val="14181D"/>
          <w:sz w:val="20"/>
          <w:szCs w:val="20"/>
        </w:rPr>
        <w:t xml:space="preserve"> and the access regime agreed, before the first inspection.</w:t>
      </w:r>
    </w:p>
    <w:p>
      <w:pPr>
        <w:pStyle w:val="ListParagraph"/>
        <w:numPr>
          <w:ilvl w:val="0"/>
          <w:numId w:val="2"/>
        </w:numPr>
        <w:spacing w:after="50" w:before="50" w:line="280"/>
      </w:pPr>
      <w:r>
        <w:rPr>
          <w:rFonts w:ascii="Arial" w:cs="Arial" w:eastAsia="Arial" w:hAnsi="Arial"/>
          <w:b/>
          <w:bCs/>
          <w:color w:val="14181D"/>
          <w:sz w:val="20"/>
          <w:szCs w:val="20"/>
        </w:rPr>
        <w:t xml:space="preserve">6. </w:t>
      </w:r>
      <w:r>
        <w:rPr>
          <w:rFonts w:ascii="Arial" w:cs="Arial" w:eastAsia="Arial" w:hAnsi="Arial"/>
          <w:b/>
          <w:bCs/>
          <w:color w:val="14181D"/>
          <w:sz w:val="20"/>
          <w:szCs w:val="20"/>
        </w:rPr>
        <w:t xml:space="preserve">Communication protocol agreed</w:t>
      </w:r>
      <w:r>
        <w:rPr>
          <w:rFonts w:ascii="Arial" w:cs="Arial" w:eastAsia="Arial" w:hAnsi="Arial"/>
          <w:color w:val="14181D"/>
          <w:sz w:val="20"/>
          <w:szCs w:val="20"/>
        </w:rPr>
        <w:t xml:space="preserve"> — who instructs, who receives, what goes in writing, and how quickly.</w:t>
      </w:r>
    </w:p>
    <w:p>
      <w:pPr>
        <w:pStyle w:val="Heading1"/>
        <w:keepNext/>
        <w:pBdr>
          <w:bottom w:val="single" w:color="9C7A3C" w:sz="8" w:space="6"/>
        </w:pBdr>
        <w:spacing w:after="150" w:before="380"/>
      </w:pPr>
      <w:r>
        <w:rPr>
          <w:rFonts w:ascii="Arial" w:cs="Arial" w:eastAsia="Arial" w:hAnsi="Arial"/>
          <w:b/>
          <w:bCs/>
          <w:color w:val="14181D"/>
          <w:sz w:val="26"/>
          <w:szCs w:val="26"/>
        </w:rPr>
        <w:t xml:space="preserve">4. Project Manager</w:t>
      </w:r>
    </w:p>
    <w:p>
      <w:pPr>
        <w:spacing w:after="90" w:before="90" w:line="280"/>
      </w:pPr>
      <w:r>
        <w:rPr>
          <w:rFonts w:ascii="Arial" w:cs="Arial" w:eastAsia="Arial" w:hAnsi="Arial"/>
          <w:b/>
          <w:bCs/>
          <w:color w:val="14181D"/>
          <w:sz w:val="20"/>
          <w:szCs w:val="20"/>
        </w:rPr>
        <w:t xml:space="preserve">What the role does here.</w:t>
      </w:r>
      <w:r>
        <w:rPr>
          <w:rFonts w:ascii="Arial" w:cs="Arial" w:eastAsia="Arial" w:hAnsi="Arial"/>
          <w:color w:val="14181D"/>
          <w:sz w:val="20"/>
          <w:szCs w:val="20"/>
        </w:rPr>
        <w:t xml:space="preserve"> Administers the contract, controls time, cost and change, and gives the client a position they can act on rather than a narrative of what happened.</w:t>
      </w:r>
    </w:p>
    <w:p>
      <w:pPr>
        <w:spacing w:after="90" w:before="90" w:line="280"/>
      </w:pPr>
      <w:r>
        <w:rPr>
          <w:rFonts w:ascii="Arial" w:cs="Arial" w:eastAsia="Arial" w:hAnsi="Arial"/>
          <w:b/>
          <w:bCs/>
          <w:color w:val="14181D"/>
          <w:sz w:val="20"/>
          <w:szCs w:val="20"/>
        </w:rPr>
        <w:t xml:space="preserve">How it is delivered.</w:t>
      </w:r>
    </w:p>
    <w:p>
      <w:pPr>
        <w:pStyle w:val="ListParagraph"/>
        <w:numPr>
          <w:ilvl w:val="0"/>
          <w:numId w:val="2"/>
        </w:numPr>
        <w:spacing w:after="50" w:before="50" w:line="280"/>
      </w:pPr>
      <w:r>
        <w:rPr>
          <w:rFonts w:ascii="Arial" w:cs="Arial" w:eastAsia="Arial" w:hAnsi="Arial"/>
          <w:b/>
          <w:bCs/>
          <w:color w:val="14181D"/>
          <w:sz w:val="20"/>
          <w:szCs w:val="20"/>
        </w:rPr>
        <w:t xml:space="preserve">Programme.</w:t>
      </w:r>
      <w:r>
        <w:rPr>
          <w:rFonts w:ascii="Arial" w:cs="Arial" w:eastAsia="Arial" w:hAnsi="Arial"/>
          <w:color w:val="14181D"/>
          <w:sz w:val="20"/>
          <w:szCs w:val="20"/>
        </w:rPr>
        <w:t xml:space="preserve"> The contractor's programme is interrogated rather than received: logic checked for open ends and negative lag, critical path tested against the actual constraints, float ownership identified, and resource levels tested against the output rates the programme assumes. Findings are recorded and issued, and the same interrogation is repeated at each revision.</w:t>
      </w:r>
    </w:p>
    <w:p>
      <w:pPr>
        <w:pStyle w:val="ListParagraph"/>
        <w:numPr>
          <w:ilvl w:val="0"/>
          <w:numId w:val="2"/>
        </w:numPr>
        <w:spacing w:after="50" w:before="50" w:line="280"/>
      </w:pPr>
      <w:r>
        <w:rPr>
          <w:rFonts w:ascii="Arial" w:cs="Arial" w:eastAsia="Arial" w:hAnsi="Arial"/>
          <w:b/>
          <w:bCs/>
          <w:color w:val="14181D"/>
          <w:sz w:val="20"/>
          <w:szCs w:val="20"/>
        </w:rPr>
        <w:t xml:space="preserve">Change.</w:t>
      </w:r>
      <w:r>
        <w:rPr>
          <w:rFonts w:ascii="Arial" w:cs="Arial" w:eastAsia="Arial" w:hAnsi="Arial"/>
          <w:color w:val="14181D"/>
          <w:sz w:val="20"/>
          <w:szCs w:val="20"/>
        </w:rPr>
        <w:t xml:space="preserve"> Every instruction, variation and potential change is registered on the day it arises, with its contractual basis, its status and its notice position. Where a contract bars a claim that is not noticed within a period, the bar date is on the register and is checked weekly.</w:t>
      </w:r>
    </w:p>
    <w:p>
      <w:pPr>
        <w:pStyle w:val="ListParagraph"/>
        <w:numPr>
          <w:ilvl w:val="0"/>
          <w:numId w:val="2"/>
        </w:numPr>
        <w:spacing w:after="50" w:before="50" w:line="280"/>
      </w:pPr>
      <w:r>
        <w:rPr>
          <w:rFonts w:ascii="Arial" w:cs="Arial" w:eastAsia="Arial" w:hAnsi="Arial"/>
          <w:b/>
          <w:bCs/>
          <w:color w:val="14181D"/>
          <w:sz w:val="20"/>
          <w:szCs w:val="20"/>
        </w:rPr>
        <w:t xml:space="preserve">Cost.</w:t>
      </w:r>
      <w:r>
        <w:rPr>
          <w:rFonts w:ascii="Arial" w:cs="Arial" w:eastAsia="Arial" w:hAnsi="Arial"/>
          <w:color w:val="14181D"/>
          <w:sz w:val="20"/>
          <w:szCs w:val="20"/>
        </w:rPr>
        <w:t xml:space="preserve"> Committed cost, forecast final cost and the movement between reports are reported every period, with the reason for each movement stated. A forecast that moves without an explanation is not issued.</w:t>
      </w:r>
    </w:p>
    <w:p>
      <w:pPr>
        <w:pStyle w:val="ListParagraph"/>
        <w:numPr>
          <w:ilvl w:val="0"/>
          <w:numId w:val="2"/>
        </w:numPr>
        <w:spacing w:after="50" w:before="50" w:line="280"/>
      </w:pPr>
      <w:r>
        <w:rPr>
          <w:rFonts w:ascii="Arial" w:cs="Arial" w:eastAsia="Arial" w:hAnsi="Arial"/>
          <w:b/>
          <w:bCs/>
          <w:color w:val="14181D"/>
          <w:sz w:val="20"/>
          <w:szCs w:val="20"/>
        </w:rPr>
        <w:t xml:space="preserve">Risk.</w:t>
      </w:r>
      <w:r>
        <w:rPr>
          <w:rFonts w:ascii="Arial" w:cs="Arial" w:eastAsia="Arial" w:hAnsi="Arial"/>
          <w:color w:val="14181D"/>
          <w:sz w:val="20"/>
          <w:szCs w:val="20"/>
        </w:rPr>
        <w:t xml:space="preserve"> A live risk register with owner, mitigation and cost and time exposure, reviewed at every progress meeting, not refreshed before reports.</w:t>
      </w:r>
    </w:p>
    <w:p>
      <w:pPr>
        <w:pStyle w:val="ListParagraph"/>
        <w:numPr>
          <w:ilvl w:val="0"/>
          <w:numId w:val="2"/>
        </w:numPr>
        <w:spacing w:after="50" w:before="50" w:line="280"/>
      </w:pPr>
      <w:r>
        <w:rPr>
          <w:rFonts w:ascii="Arial" w:cs="Arial" w:eastAsia="Arial" w:hAnsi="Arial"/>
          <w:b/>
          <w:bCs/>
          <w:color w:val="14181D"/>
          <w:sz w:val="20"/>
          <w:szCs w:val="20"/>
        </w:rPr>
        <w:t xml:space="preserve">Reporting.</w:t>
      </w:r>
      <w:r>
        <w:rPr>
          <w:rFonts w:ascii="Arial" w:cs="Arial" w:eastAsia="Arial" w:hAnsi="Arial"/>
          <w:color w:val="14181D"/>
          <w:sz w:val="20"/>
          <w:szCs w:val="20"/>
        </w:rPr>
        <w:t xml:space="preserve"> A monthly report covering progress against programme, cost against budget, change, risk, and the decisions the client needs to make, with a date against each decision.</w:t>
      </w:r>
    </w:p>
    <w:p>
      <w:pPr>
        <w:pStyle w:val="Heading1"/>
        <w:keepNext/>
        <w:pBdr>
          <w:bottom w:val="single" w:color="9C7A3C" w:sz="8" w:space="6"/>
        </w:pBdr>
        <w:spacing w:after="150" w:before="380"/>
      </w:pPr>
      <w:r>
        <w:rPr>
          <w:rFonts w:ascii="Arial" w:cs="Arial" w:eastAsia="Arial" w:hAnsi="Arial"/>
          <w:b/>
          <w:bCs/>
          <w:color w:val="14181D"/>
          <w:sz w:val="26"/>
          <w:szCs w:val="26"/>
        </w:rPr>
        <w:t xml:space="preserve">5. Employer's Agent</w:t>
      </w:r>
    </w:p>
    <w:p>
      <w:pPr>
        <w:spacing w:after="90" w:before="90" w:line="280"/>
      </w:pPr>
      <w:r>
        <w:rPr>
          <w:rFonts w:ascii="Arial" w:cs="Arial" w:eastAsia="Arial" w:hAnsi="Arial"/>
          <w:b/>
          <w:bCs/>
          <w:color w:val="14181D"/>
          <w:sz w:val="20"/>
          <w:szCs w:val="20"/>
        </w:rPr>
        <w:t xml:space="preserve">What the role does here.</w:t>
      </w:r>
      <w:r>
        <w:rPr>
          <w:rFonts w:ascii="Arial" w:cs="Arial" w:eastAsia="Arial" w:hAnsi="Arial"/>
          <w:color w:val="14181D"/>
          <w:sz w:val="20"/>
          <w:szCs w:val="20"/>
        </w:rPr>
        <w:t xml:space="preserve"> Acts for the employer in the administration of a design and build contract, and protects the employer's position at the points where it is actually lost — the Employer's Requirements, the Contractor's Proposals, and payment.</w:t>
      </w:r>
    </w:p>
    <w:p>
      <w:pPr>
        <w:spacing w:after="90" w:before="90" w:line="280"/>
      </w:pPr>
      <w:r>
        <w:rPr>
          <w:rFonts w:ascii="Arial" w:cs="Arial" w:eastAsia="Arial" w:hAnsi="Arial"/>
          <w:b/>
          <w:bCs/>
          <w:color w:val="14181D"/>
          <w:sz w:val="20"/>
          <w:szCs w:val="20"/>
        </w:rPr>
        <w:t xml:space="preserve">How it is delivered.</w:t>
      </w:r>
    </w:p>
    <w:p>
      <w:pPr>
        <w:pStyle w:val="ListParagraph"/>
        <w:numPr>
          <w:ilvl w:val="0"/>
          <w:numId w:val="2"/>
        </w:numPr>
        <w:spacing w:after="50" w:before="50" w:line="280"/>
      </w:pPr>
      <w:r>
        <w:rPr>
          <w:rFonts w:ascii="Arial" w:cs="Arial" w:eastAsia="Arial" w:hAnsi="Arial"/>
          <w:b/>
          <w:bCs/>
          <w:color w:val="14181D"/>
          <w:sz w:val="20"/>
          <w:szCs w:val="20"/>
        </w:rPr>
        <w:t xml:space="preserve">Employer's Requirements against Contractor's Proposals.</w:t>
      </w:r>
      <w:r>
        <w:rPr>
          <w:rFonts w:ascii="Arial" w:cs="Arial" w:eastAsia="Arial" w:hAnsi="Arial"/>
          <w:color w:val="14181D"/>
          <w:sz w:val="20"/>
          <w:szCs w:val="20"/>
        </w:rPr>
        <w:t xml:space="preserve"> A line-by-line comparison, producing a schedule of divergences with the commercial consequence of each. Divergences are resolved before contract where possible and recorded where not. This is where design and build contracts are won or lost and it is done properly or not at all.</w:t>
      </w:r>
    </w:p>
    <w:p>
      <w:pPr>
        <w:pStyle w:val="ListParagraph"/>
        <w:numPr>
          <w:ilvl w:val="0"/>
          <w:numId w:val="2"/>
        </w:numPr>
        <w:spacing w:after="50" w:before="50" w:line="280"/>
      </w:pPr>
      <w:r>
        <w:rPr>
          <w:rFonts w:ascii="Arial" w:cs="Arial" w:eastAsia="Arial" w:hAnsi="Arial"/>
          <w:b/>
          <w:bCs/>
          <w:color w:val="14181D"/>
          <w:sz w:val="20"/>
          <w:szCs w:val="20"/>
        </w:rPr>
        <w:t xml:space="preserve">Payment.</w:t>
      </w:r>
      <w:r>
        <w:rPr>
          <w:rFonts w:ascii="Arial" w:cs="Arial" w:eastAsia="Arial" w:hAnsi="Arial"/>
          <w:color w:val="14181D"/>
          <w:sz w:val="20"/>
          <w:szCs w:val="20"/>
        </w:rPr>
        <w:t xml:space="preserve"> Interim valuations assessed against the contract's own mechanism, on the contract's dates. Payment notices and pay-less notices drafted to the contract's timetable, because a notice a day late has the same effect as no notice at all.</w:t>
      </w:r>
    </w:p>
    <w:p>
      <w:pPr>
        <w:pStyle w:val="ListParagraph"/>
        <w:numPr>
          <w:ilvl w:val="0"/>
          <w:numId w:val="2"/>
        </w:numPr>
        <w:spacing w:after="50" w:before="50" w:line="280"/>
      </w:pPr>
      <w:r>
        <w:rPr>
          <w:rFonts w:ascii="Arial" w:cs="Arial" w:eastAsia="Arial" w:hAnsi="Arial"/>
          <w:b/>
          <w:bCs/>
          <w:color w:val="14181D"/>
          <w:sz w:val="20"/>
          <w:szCs w:val="20"/>
        </w:rPr>
        <w:t xml:space="preserve">Instructions and change control.</w:t>
      </w:r>
      <w:r>
        <w:rPr>
          <w:rFonts w:ascii="Arial" w:cs="Arial" w:eastAsia="Arial" w:hAnsi="Arial"/>
          <w:color w:val="14181D"/>
          <w:sz w:val="20"/>
          <w:szCs w:val="20"/>
        </w:rPr>
        <w:t xml:space="preserve"> Instructions issued only where the contract empowers them, valued under the contract's own rules, and recorded.</w:t>
      </w:r>
    </w:p>
    <w:p>
      <w:pPr>
        <w:pStyle w:val="ListParagraph"/>
        <w:numPr>
          <w:ilvl w:val="0"/>
          <w:numId w:val="2"/>
        </w:numPr>
        <w:spacing w:after="50" w:before="50" w:line="280"/>
      </w:pPr>
      <w:r>
        <w:rPr>
          <w:rFonts w:ascii="Arial" w:cs="Arial" w:eastAsia="Arial" w:hAnsi="Arial"/>
          <w:b/>
          <w:bCs/>
          <w:color w:val="14181D"/>
          <w:sz w:val="20"/>
          <w:szCs w:val="20"/>
        </w:rPr>
        <w:t xml:space="preserve">Extensions of time.</w:t>
      </w:r>
      <w:r>
        <w:rPr>
          <w:rFonts w:ascii="Arial" w:cs="Arial" w:eastAsia="Arial" w:hAnsi="Arial"/>
          <w:color w:val="14181D"/>
          <w:sz w:val="20"/>
          <w:szCs w:val="20"/>
        </w:rPr>
        <w:t xml:space="preserve"> Assessed on the contractor's substantiation against the contract's relevant events, with the assessment reasoned in writing.</w:t>
      </w:r>
    </w:p>
    <w:p>
      <w:pPr>
        <w:pStyle w:val="ListParagraph"/>
        <w:numPr>
          <w:ilvl w:val="0"/>
          <w:numId w:val="2"/>
        </w:numPr>
        <w:spacing w:after="50" w:before="50" w:line="280"/>
      </w:pPr>
      <w:r>
        <w:rPr>
          <w:rFonts w:ascii="Arial" w:cs="Arial" w:eastAsia="Arial" w:hAnsi="Arial"/>
          <w:b/>
          <w:bCs/>
          <w:color w:val="14181D"/>
          <w:sz w:val="20"/>
          <w:szCs w:val="20"/>
        </w:rPr>
        <w:t xml:space="preserve">Completion and defects.</w:t>
      </w:r>
      <w:r>
        <w:rPr>
          <w:rFonts w:ascii="Arial" w:cs="Arial" w:eastAsia="Arial" w:hAnsi="Arial"/>
          <w:color w:val="14181D"/>
          <w:sz w:val="20"/>
          <w:szCs w:val="20"/>
        </w:rPr>
        <w:t xml:space="preserve"> Practical completion assessed against the contract's definition rather than against pressure; the defects list issued with the certificate; the rectification period administered to its end and the final certificate issued on evidence.</w:t>
      </w:r>
    </w:p>
    <w:p>
      <w:pPr>
        <w:pStyle w:val="Heading1"/>
        <w:keepNext/>
        <w:pBdr>
          <w:bottom w:val="single" w:color="9C7A3C" w:sz="8" w:space="6"/>
        </w:pBdr>
        <w:spacing w:after="150" w:before="380"/>
      </w:pPr>
      <w:r>
        <w:rPr>
          <w:rFonts w:ascii="Arial" w:cs="Arial" w:eastAsia="Arial" w:hAnsi="Arial"/>
          <w:b/>
          <w:bCs/>
          <w:color w:val="14181D"/>
          <w:sz w:val="26"/>
          <w:szCs w:val="26"/>
        </w:rPr>
        <w:t xml:space="preserve">6. Clerk of Works</w:t>
      </w:r>
    </w:p>
    <w:p>
      <w:pPr>
        <w:spacing w:after="90" w:before="90" w:line="280"/>
      </w:pPr>
      <w:r>
        <w:rPr>
          <w:rFonts w:ascii="Arial" w:cs="Arial" w:eastAsia="Arial" w:hAnsi="Arial"/>
          <w:b/>
          <w:bCs/>
          <w:color w:val="14181D"/>
          <w:sz w:val="20"/>
          <w:szCs w:val="20"/>
        </w:rPr>
        <w:t xml:space="preserve">What the role does here.</w:t>
      </w:r>
      <w:r>
        <w:rPr>
          <w:rFonts w:ascii="Arial" w:cs="Arial" w:eastAsia="Arial" w:hAnsi="Arial"/>
          <w:color w:val="14181D"/>
          <w:sz w:val="20"/>
          <w:szCs w:val="20"/>
        </w:rPr>
        <w:t xml:space="preserve"> Inspects the works on the employer's behalf and reports what is there. The value of the role is that the report is independent of the party building it.</w:t>
      </w:r>
    </w:p>
    <w:p>
      <w:pPr>
        <w:spacing w:after="90" w:before="90" w:line="280"/>
      </w:pPr>
      <w:r>
        <w:rPr>
          <w:rFonts w:ascii="Arial" w:cs="Arial" w:eastAsia="Arial" w:hAnsi="Arial"/>
          <w:b/>
          <w:bCs/>
          <w:color w:val="14181D"/>
          <w:sz w:val="20"/>
          <w:szCs w:val="20"/>
        </w:rPr>
        <w:t xml:space="preserve">How it is delivered.</w:t>
      </w:r>
    </w:p>
    <w:p>
      <w:pPr>
        <w:pStyle w:val="ListParagraph"/>
        <w:numPr>
          <w:ilvl w:val="0"/>
          <w:numId w:val="2"/>
        </w:numPr>
        <w:spacing w:after="50" w:before="50" w:line="280"/>
      </w:pPr>
      <w:r>
        <w:rPr>
          <w:rFonts w:ascii="Arial" w:cs="Arial" w:eastAsia="Arial" w:hAnsi="Arial"/>
          <w:b/>
          <w:bCs/>
          <w:color w:val="14181D"/>
          <w:sz w:val="20"/>
          <w:szCs w:val="20"/>
        </w:rPr>
        <w:t xml:space="preserve">Inspection regime agreed with the client</w:t>
      </w:r>
      <w:r>
        <w:rPr>
          <w:rFonts w:ascii="Arial" w:cs="Arial" w:eastAsia="Arial" w:hAnsi="Arial"/>
          <w:color w:val="14181D"/>
          <w:sz w:val="20"/>
          <w:szCs w:val="20"/>
        </w:rPr>
        <w:t xml:space="preserve"> at mobilisation: frequency, the hold and witness points, and what triggers an additional visit.</w:t>
      </w:r>
    </w:p>
    <w:p>
      <w:pPr>
        <w:pStyle w:val="ListParagraph"/>
        <w:numPr>
          <w:ilvl w:val="0"/>
          <w:numId w:val="2"/>
        </w:numPr>
        <w:spacing w:after="50" w:before="50" w:line="280"/>
      </w:pPr>
      <w:r>
        <w:rPr>
          <w:rFonts w:ascii="Arial" w:cs="Arial" w:eastAsia="Arial" w:hAnsi="Arial"/>
          <w:b/>
          <w:bCs/>
          <w:color w:val="14181D"/>
          <w:sz w:val="20"/>
          <w:szCs w:val="20"/>
        </w:rPr>
        <w:t xml:space="preserve">Inspection against the specification and approved drawings</w:t>
      </w:r>
      <w:r>
        <w:rPr>
          <w:rFonts w:ascii="Arial" w:cs="Arial" w:eastAsia="Arial" w:hAnsi="Arial"/>
          <w:color w:val="14181D"/>
          <w:sz w:val="20"/>
          <w:szCs w:val="20"/>
        </w:rPr>
        <w:t xml:space="preserve">, with the revision of each document recorded on the report, so that an inspection can be re-read years later against what was current on the day.</w:t>
      </w:r>
    </w:p>
    <w:p>
      <w:pPr>
        <w:pStyle w:val="ListParagraph"/>
        <w:numPr>
          <w:ilvl w:val="0"/>
          <w:numId w:val="2"/>
        </w:numPr>
        <w:spacing w:after="50" w:before="50" w:line="280"/>
      </w:pPr>
      <w:r>
        <w:rPr>
          <w:rFonts w:ascii="Arial" w:cs="Arial" w:eastAsia="Arial" w:hAnsi="Arial"/>
          <w:b/>
          <w:bCs/>
          <w:color w:val="14181D"/>
          <w:sz w:val="20"/>
          <w:szCs w:val="20"/>
        </w:rPr>
        <w:t xml:space="preserve">Records.</w:t>
      </w:r>
      <w:r>
        <w:rPr>
          <w:rFonts w:ascii="Arial" w:cs="Arial" w:eastAsia="Arial" w:hAnsi="Arial"/>
          <w:color w:val="14181D"/>
          <w:sz w:val="20"/>
          <w:szCs w:val="20"/>
        </w:rPr>
        <w:t xml:space="preserve"> Every visit produces a dated report with the weather, the operations in progress, the labour and plant on site, the work inspected, the observations made, photographs referenced to location, and the status of previous observations. Reports are issued within [two] working days of the visit — a site report issued a fortnight later has lost most of its use.</w:t>
      </w:r>
    </w:p>
    <w:p>
      <w:pPr>
        <w:pStyle w:val="ListParagraph"/>
        <w:numPr>
          <w:ilvl w:val="0"/>
          <w:numId w:val="2"/>
        </w:numPr>
        <w:spacing w:after="50" w:before="50" w:line="280"/>
      </w:pPr>
      <w:r>
        <w:rPr>
          <w:rFonts w:ascii="Arial" w:cs="Arial" w:eastAsia="Arial" w:hAnsi="Arial"/>
          <w:b/>
          <w:bCs/>
          <w:color w:val="14181D"/>
          <w:sz w:val="20"/>
          <w:szCs w:val="20"/>
        </w:rPr>
        <w:t xml:space="preserve">Non-conforming work</w:t>
      </w:r>
      <w:r>
        <w:rPr>
          <w:rFonts w:ascii="Arial" w:cs="Arial" w:eastAsia="Arial" w:hAnsi="Arial"/>
          <w:color w:val="14181D"/>
          <w:sz w:val="20"/>
          <w:szCs w:val="20"/>
        </w:rPr>
        <w:t xml:space="preserve"> is recorded, notified to the contractor and the client on the day, tracked to closure, and reported open until it is closed. It is not closed on a verbal assurance.</w:t>
      </w:r>
    </w:p>
    <w:p>
      <w:pPr>
        <w:pStyle w:val="ListParagraph"/>
        <w:numPr>
          <w:ilvl w:val="0"/>
          <w:numId w:val="2"/>
        </w:numPr>
        <w:spacing w:after="50" w:before="50" w:line="280"/>
      </w:pPr>
      <w:r>
        <w:rPr>
          <w:rFonts w:ascii="Arial" w:cs="Arial" w:eastAsia="Arial" w:hAnsi="Arial"/>
          <w:b/>
          <w:bCs/>
          <w:color w:val="14181D"/>
          <w:sz w:val="20"/>
          <w:szCs w:val="20"/>
        </w:rPr>
        <w:t xml:space="preserve">Health and safety observations</w:t>
      </w:r>
      <w:r>
        <w:rPr>
          <w:rFonts w:ascii="Arial" w:cs="Arial" w:eastAsia="Arial" w:hAnsi="Arial"/>
          <w:color w:val="14181D"/>
          <w:sz w:val="20"/>
          <w:szCs w:val="20"/>
        </w:rPr>
        <w:t xml:space="preserve"> are reported to the person in control of the site and recorded, under section 3.8 of the company's health and safety policy. The company inspects and reports; it does not direct other employers' operatives.</w:t>
      </w:r>
    </w:p>
    <w:p>
      <w:pPr>
        <w:pStyle w:val="ListParagraph"/>
        <w:numPr>
          <w:ilvl w:val="0"/>
          <w:numId w:val="2"/>
        </w:numPr>
        <w:spacing w:after="50" w:before="50" w:line="280"/>
      </w:pPr>
      <w:r>
        <w:rPr>
          <w:rFonts w:ascii="Arial" w:cs="Arial" w:eastAsia="Arial" w:hAnsi="Arial"/>
          <w:b/>
          <w:bCs/>
          <w:color w:val="14181D"/>
          <w:sz w:val="20"/>
          <w:szCs w:val="20"/>
        </w:rPr>
        <w:t xml:space="preserve">What the role does not do.</w:t>
      </w:r>
      <w:r>
        <w:rPr>
          <w:rFonts w:ascii="Arial" w:cs="Arial" w:eastAsia="Arial" w:hAnsi="Arial"/>
          <w:color w:val="14181D"/>
          <w:sz w:val="20"/>
          <w:szCs w:val="20"/>
        </w:rPr>
        <w:t xml:space="preserve"> The clerk of works does not instruct variations, does not accept work on the employer's behalf beyond the authority given in writing, and does not relieve the contractor of its own obligation to build to the specification. That is stated to every client at appointment.</w:t>
      </w:r>
    </w:p>
    <w:p>
      <w:pPr>
        <w:pStyle w:val="Heading1"/>
        <w:keepNext/>
        <w:pBdr>
          <w:bottom w:val="single" w:color="9C7A3C" w:sz="8" w:space="6"/>
        </w:pBdr>
        <w:spacing w:after="150" w:before="380"/>
      </w:pPr>
      <w:r>
        <w:rPr>
          <w:rFonts w:ascii="Arial" w:cs="Arial" w:eastAsia="Arial" w:hAnsi="Arial"/>
          <w:b/>
          <w:bCs/>
          <w:color w:val="14181D"/>
          <w:sz w:val="26"/>
          <w:szCs w:val="26"/>
        </w:rPr>
        <w:t xml:space="preserve">7. CDM Co-ordinator</w:t>
      </w:r>
    </w:p>
    <w:p>
      <w:pPr>
        <w:pStyle w:val="Heading2"/>
        <w:keepNext/>
        <w:spacing w:after="110" w:before="260"/>
      </w:pPr>
      <w:r>
        <w:rPr>
          <w:rFonts w:ascii="Arial" w:cs="Arial" w:eastAsia="Arial" w:hAnsi="Arial"/>
          <w:b/>
          <w:bCs/>
          <w:color w:val="9C7A3C"/>
          <w:sz w:val="21"/>
          <w:szCs w:val="21"/>
        </w:rPr>
        <w:t xml:space="preserve">7.1 What the title means now, and what is offered under it</w:t>
      </w:r>
    </w:p>
    <w:p>
      <w:pPr>
        <w:spacing w:after="90" w:before="90" w:line="280"/>
      </w:pPr>
      <w:r>
        <w:rPr>
          <w:rFonts w:ascii="Arial" w:cs="Arial" w:eastAsia="Arial" w:hAnsi="Arial"/>
          <w:color w:val="14181D"/>
          <w:sz w:val="20"/>
          <w:szCs w:val="20"/>
        </w:rPr>
        <w:t xml:space="preserve">The CDM Co-ordinator was a duty holder under the Construction (Design and Management) Regulations 2007. </w:t>
      </w:r>
      <w:r>
        <w:rPr>
          <w:rFonts w:ascii="Arial" w:cs="Arial" w:eastAsia="Arial" w:hAnsi="Arial"/>
          <w:b/>
          <w:bCs/>
          <w:color w:val="14181D"/>
          <w:sz w:val="20"/>
          <w:szCs w:val="20"/>
        </w:rPr>
        <w:t xml:space="preserve">That role was abolished on 6 April 2015</w:t>
      </w:r>
      <w:r>
        <w:rPr>
          <w:rFonts w:ascii="Arial" w:cs="Arial" w:eastAsia="Arial" w:hAnsi="Arial"/>
          <w:color w:val="14181D"/>
          <w:sz w:val="20"/>
          <w:szCs w:val="20"/>
        </w:rPr>
        <w:t xml:space="preserve">, when CDM 2015 replaced it with the Principal Designer. The category heading retains the older title, so this statement says plainly what is offered under it rather than leaving the client to assume.</w:t>
      </w:r>
    </w:p>
    <w:p>
      <w:pPr>
        <w:spacing w:after="90" w:before="90" w:line="280"/>
      </w:pPr>
      <w:r>
        <w:rPr>
          <w:rFonts w:ascii="Arial" w:cs="Arial" w:eastAsia="Arial" w:hAnsi="Arial"/>
          <w:color w:val="14181D"/>
          <w:sz w:val="20"/>
          <w:szCs w:val="20"/>
        </w:rPr>
        <w:t xml:space="preserve">Three distinct things sit under that heading, and they are not interchangeable:</w:t>
      </w:r>
    </w:p>
    <w:p>
      <w:pPr>
        <w:spacing w:after="90" w:before="90" w:line="280"/>
      </w:pPr>
      <w:r>
        <w:rPr>
          <w:rFonts w:ascii="Arial" w:cs="Arial" w:eastAsia="Arial" w:hAnsi="Arial"/>
          <w:b/>
          <w:bCs/>
          <w:color w:val="14181D"/>
          <w:sz w:val="20"/>
          <w:szCs w:val="20"/>
        </w:rPr>
        <w:t xml:space="preserve">(a) Principal Designer.</w:t>
      </w:r>
      <w:r>
        <w:rPr>
          <w:rFonts w:ascii="Arial" w:cs="Arial" w:eastAsia="Arial" w:hAnsi="Arial"/>
          <w:color w:val="14181D"/>
          <w:sz w:val="20"/>
          <w:szCs w:val="20"/>
        </w:rPr>
        <w:t xml:space="preserve"> A duty holder role under regulations 11 and 12 of CDM 2015, accepted only by express written appointment, only where the company passes the competence test at 7.2 for that particular scheme, and only where it is priced for the design co-ordination the role actually requires.</w:t>
      </w:r>
    </w:p>
    <w:p>
      <w:pPr>
        <w:spacing w:after="90" w:before="90" w:line="280"/>
      </w:pPr>
      <w:r>
        <w:rPr>
          <w:rFonts w:ascii="Arial" w:cs="Arial" w:eastAsia="Arial" w:hAnsi="Arial"/>
          <w:b/>
          <w:bCs/>
          <w:color w:val="14181D"/>
          <w:sz w:val="20"/>
          <w:szCs w:val="20"/>
        </w:rPr>
        <w:t xml:space="preserve">(b) CDM adviser to the client.</w:t>
      </w:r>
      <w:r>
        <w:rPr>
          <w:rFonts w:ascii="Arial" w:cs="Arial" w:eastAsia="Arial" w:hAnsi="Arial"/>
          <w:color w:val="14181D"/>
          <w:sz w:val="20"/>
          <w:szCs w:val="20"/>
        </w:rPr>
        <w:t xml:space="preserve"> Supporting the client in discharging its own duties under regulation 4 — making suitable arrangements, allowing adequate time and resource, and providing pre-construction information. This is advice, not a duty-holder role, and it does not move the client's duties to us.</w:t>
      </w:r>
    </w:p>
    <w:p>
      <w:pPr>
        <w:spacing w:after="90" w:before="90" w:line="280"/>
      </w:pPr>
      <w:r>
        <w:rPr>
          <w:rFonts w:ascii="Arial" w:cs="Arial" w:eastAsia="Arial" w:hAnsi="Arial"/>
          <w:b/>
          <w:bCs/>
          <w:color w:val="14181D"/>
          <w:sz w:val="20"/>
          <w:szCs w:val="20"/>
        </w:rPr>
        <w:t xml:space="preserve">(c) CDM administration within a project management or employer's agent appointment.</w:t>
      </w:r>
      <w:r>
        <w:rPr>
          <w:rFonts w:ascii="Arial" w:cs="Arial" w:eastAsia="Arial" w:hAnsi="Arial"/>
          <w:color w:val="14181D"/>
          <w:sz w:val="20"/>
          <w:szCs w:val="20"/>
        </w:rPr>
        <w:t xml:space="preserve"> Assembling pre-construction information, confirming the construction phase plan exists and is suitable before work starts, and confirming the health and safety file is prepared and handed over.</w:t>
      </w:r>
    </w:p>
    <w:p>
      <w:pPr>
        <w:spacing w:after="90" w:before="90" w:line="280"/>
      </w:pPr>
      <w:r>
        <w:rPr>
          <w:rFonts w:ascii="Arial" w:cs="Arial" w:eastAsia="Arial" w:hAnsi="Arial"/>
          <w:color w:val="14181D"/>
          <w:sz w:val="20"/>
          <w:szCs w:val="20"/>
        </w:rPr>
        <w:t xml:space="preserve">Every appointment states which of the three it is. </w:t>
      </w:r>
      <w:r>
        <w:rPr>
          <w:rFonts w:ascii="Arial" w:cs="Arial" w:eastAsia="Arial" w:hAnsi="Arial"/>
          <w:b/>
          <w:bCs/>
          <w:color w:val="14181D"/>
          <w:sz w:val="20"/>
          <w:szCs w:val="20"/>
        </w:rPr>
        <w:t xml:space="preserve">The company does not accept Principal Designer duties by implication, by conduct or by silence</w:t>
      </w:r>
      <w:r>
        <w:rPr>
          <w:rFonts w:ascii="Arial" w:cs="Arial" w:eastAsia="Arial" w:hAnsi="Arial"/>
          <w:color w:val="14181D"/>
          <w:sz w:val="20"/>
          <w:szCs w:val="20"/>
        </w:rPr>
        <w:t xml:space="preserve">, and it does not accept Principal Contractor duties under any of the three.</w:t>
      </w:r>
    </w:p>
    <w:p>
      <w:pPr>
        <w:pStyle w:val="Heading2"/>
        <w:keepNext/>
        <w:spacing w:after="110" w:before="260"/>
      </w:pPr>
      <w:r>
        <w:rPr>
          <w:rFonts w:ascii="Arial" w:cs="Arial" w:eastAsia="Arial" w:hAnsi="Arial"/>
          <w:b/>
          <w:bCs/>
          <w:color w:val="9C7A3C"/>
          <w:sz w:val="21"/>
          <w:szCs w:val="21"/>
        </w:rPr>
        <w:t xml:space="preserve">7.2 Competence — the test that governs whether we accept</w:t>
      </w:r>
    </w:p>
    <w:p>
      <w:pPr>
        <w:spacing w:after="90" w:before="90" w:line="280"/>
      </w:pPr>
      <w:r>
        <w:rPr>
          <w:rFonts w:ascii="Arial" w:cs="Arial" w:eastAsia="Arial" w:hAnsi="Arial"/>
          <w:color w:val="14181D"/>
          <w:sz w:val="20"/>
          <w:szCs w:val="20"/>
        </w:rPr>
        <w:t xml:space="preserve">Regulation 8(1) of CDM 2015 provides that a designer, including a principal designer, must not accept an appointment unless they have the skills, knowledge and experience to fulfil it, and where an organisation, the organisational capability. That is a legal bar on acceptance, not a matter of preference, and this company applies it scheme by scheme.</w:t>
      </w:r>
    </w:p>
    <w:p>
      <w:pPr>
        <w:spacing w:after="90" w:before="90" w:line="280"/>
      </w:pPr>
      <w:r>
        <w:rPr>
          <w:rFonts w:ascii="Arial" w:cs="Arial" w:eastAsia="Arial" w:hAnsi="Arial"/>
          <w:color w:val="14181D"/>
          <w:sz w:val="20"/>
          <w:szCs w:val="20"/>
        </w:rPr>
        <w:t xml:space="preserve">Before accepting any appointment under 7.1(a), the company tests: whether the design is within the types of construction work it understands; whether the scheme's complexity and its interfaces are within what it has co-ordinated before; and whether it has the capacity to run design risk management for the whole pre-construction phase rather than attend it. Where any answer is no, the appointment is declined or accepted only in the (b) or (c) form, and the client is told why.</w:t>
      </w:r>
    </w:p>
    <w:p>
      <w:pPr>
        <w:spacing w:after="90" w:before="90" w:line="280"/>
      </w:pPr>
      <w:r>
        <w:rPr>
          <w:rFonts w:ascii="Arial" w:cs="Arial" w:eastAsia="Arial" w:hAnsi="Arial"/>
          <w:b/>
          <w:bCs/>
          <w:color w:val="14181D"/>
          <w:sz w:val="20"/>
          <w:szCs w:val="20"/>
        </w:rPr>
        <w:t xml:space="preserve">The competence file.</w:t>
      </w:r>
      <w:r>
        <w:rPr>
          <w:rFonts w:ascii="Arial" w:cs="Arial" w:eastAsia="Arial" w:hAnsi="Arial"/>
          <w:color w:val="14181D"/>
          <w:sz w:val="20"/>
          <w:szCs w:val="20"/>
        </w:rPr>
        <w:t xml:space="preserve"> The company's CDM competence file records: the qualifications and CDM-specific training held, the CDM experience relied on with the projects it was gained on, the procedures at 7.3, and the continuing professional development undertaken.</w:t>
      </w:r>
    </w:p>
    <w:p>
      <w:pPr>
        <w:spacing w:after="90" w:before="90" w:line="280"/>
      </w:pPr>
      <w:r>
        <w:rPr>
          <w:rFonts w:ascii="Arial" w:cs="Arial" w:eastAsia="Arial" w:hAnsi="Arial"/>
          <w:color w:val="14181D"/>
          <w:sz w:val="20"/>
          <w:szCs w:val="20"/>
        </w:rPr>
        <w:t xml:space="preserve">Current position — [complete this honestly before submission, and leave nothing aspirational in it]:</w:t>
      </w:r>
    </w:p>
    <w:p>
      <w:pPr>
        <w:pStyle w:val="ListParagraph"/>
        <w:numPr>
          <w:ilvl w:val="0"/>
          <w:numId w:val="2"/>
        </w:numPr>
        <w:spacing w:after="50" w:before="50" w:line="280"/>
      </w:pPr>
      <w:r>
        <w:rPr>
          <w:rFonts w:ascii="Arial" w:cs="Arial" w:eastAsia="Arial" w:hAnsi="Arial"/>
          <w:color w:val="14181D"/>
          <w:sz w:val="20"/>
          <w:szCs w:val="20"/>
        </w:rPr>
        <w:t xml:space="preserve">CDM 2015 training held: [course, provider, date]. If none has been completed, say so and give the booked date.</w:t>
      </w:r>
    </w:p>
    <w:p>
      <w:pPr>
        <w:pStyle w:val="ListParagraph"/>
        <w:numPr>
          <w:ilvl w:val="0"/>
          <w:numId w:val="2"/>
        </w:numPr>
        <w:spacing w:after="50" w:before="50" w:line="280"/>
      </w:pPr>
      <w:r>
        <w:rPr>
          <w:rFonts w:ascii="Arial" w:cs="Arial" w:eastAsia="Arial" w:hAnsi="Arial"/>
          <w:color w:val="14181D"/>
          <w:sz w:val="20"/>
          <w:szCs w:val="20"/>
        </w:rPr>
        <w:t xml:space="preserve">Professional membership relevant to the role: [body, grade, membership number, or state none held].</w:t>
      </w:r>
    </w:p>
    <w:p>
      <w:pPr>
        <w:pStyle w:val="ListParagraph"/>
        <w:numPr>
          <w:ilvl w:val="0"/>
          <w:numId w:val="2"/>
        </w:numPr>
        <w:spacing w:after="50" w:before="50" w:line="280"/>
      </w:pPr>
      <w:r>
        <w:rPr>
          <w:rFonts w:ascii="Arial" w:cs="Arial" w:eastAsia="Arial" w:hAnsi="Arial"/>
          <w:color w:val="14181D"/>
          <w:sz w:val="20"/>
          <w:szCs w:val="20"/>
        </w:rPr>
        <w:t xml:space="preserve">CDM experience: [the projects, the role held on each, the design co-ordination actually performed].</w:t>
      </w:r>
    </w:p>
    <w:p>
      <w:pPr>
        <w:pStyle w:val="ListParagraph"/>
        <w:numPr>
          <w:ilvl w:val="0"/>
          <w:numId w:val="2"/>
        </w:numPr>
        <w:spacing w:after="50" w:before="50" w:line="280"/>
      </w:pPr>
      <w:r>
        <w:rPr>
          <w:rFonts w:ascii="Arial" w:cs="Arial" w:eastAsia="Arial" w:hAnsi="Arial"/>
          <w:color w:val="14181D"/>
          <w:sz w:val="20"/>
          <w:szCs w:val="20"/>
        </w:rPr>
        <w:t xml:space="preserve">Where competence is supplemented: [the named CDM specialist retained under section 8, with their qualifications].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 competence file that overstates is the worst document in the pack. It is the one an assessor can check against a professional register in ninety seconds, and it is the one a claimant's solicitor reads first after an incident.</w:t>
      </w:r>
    </w:p>
    <w:p>
      <w:pPr>
        <w:pStyle w:val="Heading2"/>
        <w:keepNext/>
        <w:spacing w:after="110" w:before="260"/>
      </w:pPr>
      <w:r>
        <w:rPr>
          <w:rFonts w:ascii="Arial" w:cs="Arial" w:eastAsia="Arial" w:hAnsi="Arial"/>
          <w:b/>
          <w:bCs/>
          <w:color w:val="9C7A3C"/>
          <w:sz w:val="21"/>
          <w:szCs w:val="21"/>
        </w:rPr>
        <w:t xml:space="preserve">7.3 How the work is delivered</w:t>
      </w:r>
    </w:p>
    <w:p>
      <w:pPr>
        <w:pStyle w:val="ListParagraph"/>
        <w:numPr>
          <w:ilvl w:val="0"/>
          <w:numId w:val="2"/>
        </w:numPr>
        <w:spacing w:after="50" w:before="50" w:line="280"/>
      </w:pPr>
      <w:r>
        <w:rPr>
          <w:rFonts w:ascii="Arial" w:cs="Arial" w:eastAsia="Arial" w:hAnsi="Arial"/>
          <w:b/>
          <w:bCs/>
          <w:color w:val="14181D"/>
          <w:sz w:val="20"/>
          <w:szCs w:val="20"/>
        </w:rPr>
        <w:t xml:space="preserve">1. </w:t>
      </w:r>
      <w:r>
        <w:rPr>
          <w:rFonts w:ascii="Arial" w:cs="Arial" w:eastAsia="Arial" w:hAnsi="Arial"/>
          <w:b/>
          <w:bCs/>
          <w:color w:val="14181D"/>
          <w:sz w:val="20"/>
          <w:szCs w:val="20"/>
        </w:rPr>
        <w:t xml:space="preserve">Client duties briefing at the outset.</w:t>
      </w:r>
      <w:r>
        <w:rPr>
          <w:rFonts w:ascii="Arial" w:cs="Arial" w:eastAsia="Arial" w:hAnsi="Arial"/>
          <w:color w:val="14181D"/>
          <w:sz w:val="20"/>
          <w:szCs w:val="20"/>
        </w:rPr>
        <w:t xml:space="preserve"> The client is told, in writing and before appointment, what regulation 4 requires of it and what this company is and is not taking on. A client that does not understand it holds duties is the single most common cause of CDM failing on a project.</w:t>
      </w:r>
    </w:p>
    <w:p>
      <w:pPr>
        <w:pStyle w:val="ListParagraph"/>
        <w:numPr>
          <w:ilvl w:val="0"/>
          <w:numId w:val="2"/>
        </w:numPr>
        <w:spacing w:after="50" w:before="50" w:line="280"/>
      </w:pPr>
      <w:r>
        <w:rPr>
          <w:rFonts w:ascii="Arial" w:cs="Arial" w:eastAsia="Arial" w:hAnsi="Arial"/>
          <w:b/>
          <w:bCs/>
          <w:color w:val="14181D"/>
          <w:sz w:val="20"/>
          <w:szCs w:val="20"/>
        </w:rPr>
        <w:t xml:space="preserve">2. </w:t>
      </w:r>
      <w:r>
        <w:rPr>
          <w:rFonts w:ascii="Arial" w:cs="Arial" w:eastAsia="Arial" w:hAnsi="Arial"/>
          <w:b/>
          <w:bCs/>
          <w:color w:val="14181D"/>
          <w:sz w:val="20"/>
          <w:szCs w:val="20"/>
        </w:rPr>
        <w:t xml:space="preserve">Pre-construction information.</w:t>
      </w:r>
      <w:r>
        <w:rPr>
          <w:rFonts w:ascii="Arial" w:cs="Arial" w:eastAsia="Arial" w:hAnsi="Arial"/>
          <w:color w:val="14181D"/>
          <w:sz w:val="20"/>
          <w:szCs w:val="20"/>
        </w:rPr>
        <w:t xml:space="preserve"> Assembled from what the client holds, reviewed for what is missing — asbestos survey, ground conditions, existing services, structural information, adjacent occupier constraints — and the gaps reported to the client as findings with the surveys needed to close them. It is issued to every designer and contractor who needs it, and a log records what went to whom and on what date.</w:t>
      </w:r>
    </w:p>
    <w:p>
      <w:pPr>
        <w:pStyle w:val="ListParagraph"/>
        <w:numPr>
          <w:ilvl w:val="0"/>
          <w:numId w:val="2"/>
        </w:numPr>
        <w:spacing w:after="50" w:before="50" w:line="280"/>
      </w:pPr>
      <w:r>
        <w:rPr>
          <w:rFonts w:ascii="Arial" w:cs="Arial" w:eastAsia="Arial" w:hAnsi="Arial"/>
          <w:b/>
          <w:bCs/>
          <w:color w:val="14181D"/>
          <w:sz w:val="20"/>
          <w:szCs w:val="20"/>
        </w:rPr>
        <w:t xml:space="preserve">3. </w:t>
      </w:r>
      <w:r>
        <w:rPr>
          <w:rFonts w:ascii="Arial" w:cs="Arial" w:eastAsia="Arial" w:hAnsi="Arial"/>
          <w:b/>
          <w:bCs/>
          <w:color w:val="14181D"/>
          <w:sz w:val="20"/>
          <w:szCs w:val="20"/>
        </w:rPr>
        <w:t xml:space="preserve">Design risk management.</w:t>
      </w:r>
      <w:r>
        <w:rPr>
          <w:rFonts w:ascii="Arial" w:cs="Arial" w:eastAsia="Arial" w:hAnsi="Arial"/>
          <w:color w:val="14181D"/>
          <w:sz w:val="20"/>
          <w:szCs w:val="20"/>
        </w:rPr>
        <w:t xml:space="preserve"> Designers are co-ordinated through recorded design risk reviews, not through a circulated spreadsheet. The general principles of prevention are applied in order: eliminate the hazard, then reduce it at source, then control it, and only then rely on information and protective equipment. Significant residual risks that cannot be designed out are recorded and communicated to those who need them, and no others — a risk register that lists every hazard on a site buries the three that matter.</w:t>
      </w:r>
    </w:p>
    <w:p>
      <w:pPr>
        <w:pStyle w:val="ListParagraph"/>
        <w:numPr>
          <w:ilvl w:val="0"/>
          <w:numId w:val="2"/>
        </w:numPr>
        <w:spacing w:after="50" w:before="50" w:line="280"/>
      </w:pPr>
      <w:r>
        <w:rPr>
          <w:rFonts w:ascii="Arial" w:cs="Arial" w:eastAsia="Arial" w:hAnsi="Arial"/>
          <w:b/>
          <w:bCs/>
          <w:color w:val="14181D"/>
          <w:sz w:val="20"/>
          <w:szCs w:val="20"/>
        </w:rPr>
        <w:t xml:space="preserve">4. </w:t>
      </w:r>
      <w:r>
        <w:rPr>
          <w:rFonts w:ascii="Arial" w:cs="Arial" w:eastAsia="Arial" w:hAnsi="Arial"/>
          <w:b/>
          <w:bCs/>
          <w:color w:val="14181D"/>
          <w:sz w:val="20"/>
          <w:szCs w:val="20"/>
        </w:rPr>
        <w:t xml:space="preserve">Notification.</w:t>
      </w:r>
      <w:r>
        <w:rPr>
          <w:rFonts w:ascii="Arial" w:cs="Arial" w:eastAsia="Arial" w:hAnsi="Arial"/>
          <w:color w:val="14181D"/>
          <w:sz w:val="20"/>
          <w:szCs w:val="20"/>
        </w:rPr>
        <w:t xml:space="preserve"> Where the thresholds in regulation 6 are met, the company prepares the F10 and advises the client, who is the party that notifies the Health and Safety Executive. The company confirms the notification was made and records the reference.</w:t>
      </w:r>
    </w:p>
    <w:p>
      <w:pPr>
        <w:pStyle w:val="ListParagraph"/>
        <w:numPr>
          <w:ilvl w:val="0"/>
          <w:numId w:val="2"/>
        </w:numPr>
        <w:spacing w:after="50" w:before="50" w:line="280"/>
      </w:pPr>
      <w:r>
        <w:rPr>
          <w:rFonts w:ascii="Arial" w:cs="Arial" w:eastAsia="Arial" w:hAnsi="Arial"/>
          <w:b/>
          <w:bCs/>
          <w:color w:val="14181D"/>
          <w:sz w:val="20"/>
          <w:szCs w:val="20"/>
        </w:rPr>
        <w:t xml:space="preserve">5. </w:t>
      </w:r>
      <w:r>
        <w:rPr>
          <w:rFonts w:ascii="Arial" w:cs="Arial" w:eastAsia="Arial" w:hAnsi="Arial"/>
          <w:b/>
          <w:bCs/>
          <w:color w:val="14181D"/>
          <w:sz w:val="20"/>
          <w:szCs w:val="20"/>
        </w:rPr>
        <w:t xml:space="preserve">Construction phase plan.</w:t>
      </w:r>
      <w:r>
        <w:rPr>
          <w:rFonts w:ascii="Arial" w:cs="Arial" w:eastAsia="Arial" w:hAnsi="Arial"/>
          <w:color w:val="14181D"/>
          <w:sz w:val="20"/>
          <w:szCs w:val="20"/>
        </w:rPr>
        <w:t xml:space="preserve"> Before construction begins, the company confirms a plan exists and reviews it for suitability against the work, reporting to the client where it is generic, incomplete or does not address the significant risks identified in the design.</w:t>
      </w:r>
    </w:p>
    <w:p>
      <w:pPr>
        <w:pStyle w:val="ListParagraph"/>
        <w:numPr>
          <w:ilvl w:val="0"/>
          <w:numId w:val="2"/>
        </w:numPr>
        <w:spacing w:after="50" w:before="50" w:line="280"/>
      </w:pPr>
      <w:r>
        <w:rPr>
          <w:rFonts w:ascii="Arial" w:cs="Arial" w:eastAsia="Arial" w:hAnsi="Arial"/>
          <w:b/>
          <w:bCs/>
          <w:color w:val="14181D"/>
          <w:sz w:val="20"/>
          <w:szCs w:val="20"/>
        </w:rPr>
        <w:t xml:space="preserve">6. </w:t>
      </w:r>
      <w:r>
        <w:rPr>
          <w:rFonts w:ascii="Arial" w:cs="Arial" w:eastAsia="Arial" w:hAnsi="Arial"/>
          <w:b/>
          <w:bCs/>
          <w:color w:val="14181D"/>
          <w:sz w:val="20"/>
          <w:szCs w:val="20"/>
        </w:rPr>
        <w:t xml:space="preserve">Health and safety file.</w:t>
      </w:r>
      <w:r>
        <w:rPr>
          <w:rFonts w:ascii="Arial" w:cs="Arial" w:eastAsia="Arial" w:hAnsi="Arial"/>
          <w:color w:val="14181D"/>
          <w:sz w:val="20"/>
          <w:szCs w:val="20"/>
        </w:rPr>
        <w:t xml:space="preserve"> Prepared and kept current through the pre-construction phase, reviewed and updated as design changes, and handed to the client at the end with confirmation of what it contains. Where the company is appointed after work has started, the state of the file at handover to us is recorded.</w:t>
      </w:r>
    </w:p>
    <w:p>
      <w:pPr>
        <w:pStyle w:val="ListParagraph"/>
        <w:numPr>
          <w:ilvl w:val="0"/>
          <w:numId w:val="2"/>
        </w:numPr>
        <w:spacing w:after="50" w:before="50" w:line="280"/>
      </w:pPr>
      <w:r>
        <w:rPr>
          <w:rFonts w:ascii="Arial" w:cs="Arial" w:eastAsia="Arial" w:hAnsi="Arial"/>
          <w:b/>
          <w:bCs/>
          <w:color w:val="14181D"/>
          <w:sz w:val="20"/>
          <w:szCs w:val="20"/>
        </w:rPr>
        <w:t xml:space="preserve">7. </w:t>
      </w:r>
      <w:r>
        <w:rPr>
          <w:rFonts w:ascii="Arial" w:cs="Arial" w:eastAsia="Arial" w:hAnsi="Arial"/>
          <w:b/>
          <w:bCs/>
          <w:color w:val="14181D"/>
          <w:sz w:val="20"/>
          <w:szCs w:val="20"/>
        </w:rPr>
        <w:t xml:space="preserve">Records.</w:t>
      </w:r>
      <w:r>
        <w:rPr>
          <w:rFonts w:ascii="Arial" w:cs="Arial" w:eastAsia="Arial" w:hAnsi="Arial"/>
          <w:color w:val="14181D"/>
          <w:sz w:val="20"/>
          <w:szCs w:val="20"/>
        </w:rPr>
        <w:t xml:space="preserve"> Every issue, every review and every gap reported is dated and retained for twelve years under section 9.</w:t>
      </w:r>
    </w:p>
    <w:p>
      <w:pPr>
        <w:pStyle w:val="Heading2"/>
        <w:keepNext/>
        <w:spacing w:after="110" w:before="260"/>
      </w:pPr>
      <w:r>
        <w:rPr>
          <w:rFonts w:ascii="Arial" w:cs="Arial" w:eastAsia="Arial" w:hAnsi="Arial"/>
          <w:b/>
          <w:bCs/>
          <w:color w:val="9C7A3C"/>
          <w:sz w:val="21"/>
          <w:szCs w:val="21"/>
        </w:rPr>
        <w:t xml:space="preserve">7.4 What this role does not do</w:t>
      </w:r>
    </w:p>
    <w:p>
      <w:pPr>
        <w:spacing w:after="90" w:before="90" w:line="280"/>
      </w:pPr>
      <w:r>
        <w:rPr>
          <w:rFonts w:ascii="Arial" w:cs="Arial" w:eastAsia="Arial" w:hAnsi="Arial"/>
          <w:color w:val="14181D"/>
          <w:sz w:val="20"/>
          <w:szCs w:val="20"/>
        </w:rPr>
        <w:t xml:space="preserve">It does not manage or control the way construction work is carried out. It does not make the company the Principal Contractor or a contractor. It does not relieve the client, the designers or the contractors of their own duties under CDM 2015. And it does not make the company responsible for a design it did not prepare — the designer who prepares a design remains the duty holder for it under regulation 9.</w:t>
      </w:r>
    </w:p>
    <w:p>
      <w:pPr>
        <w:pStyle w:val="Heading1"/>
        <w:keepNext/>
        <w:pBdr>
          <w:bottom w:val="single" w:color="9C7A3C" w:sz="8" w:space="6"/>
        </w:pBdr>
        <w:spacing w:after="150" w:before="380"/>
      </w:pPr>
      <w:r>
        <w:rPr>
          <w:rFonts w:ascii="Arial" w:cs="Arial" w:eastAsia="Arial" w:hAnsi="Arial"/>
          <w:b/>
          <w:bCs/>
          <w:color w:val="14181D"/>
          <w:sz w:val="26"/>
          <w:szCs w:val="26"/>
        </w:rPr>
        <w:t xml:space="preserve">8. Associates and subcontracting</w:t>
      </w:r>
    </w:p>
    <w:p>
      <w:pPr>
        <w:spacing w:after="90" w:before="90" w:line="280"/>
      </w:pPr>
      <w:r>
        <w:rPr>
          <w:rFonts w:ascii="Arial" w:cs="Arial" w:eastAsia="Arial" w:hAnsi="Arial"/>
          <w:color w:val="14181D"/>
          <w:sz w:val="20"/>
          <w:szCs w:val="20"/>
        </w:rPr>
        <w:t xml:space="preserve">CHIC accepts suppliers who subcontract, provided the submission describes how those relationships are managed. The company's arrangement:</w:t>
      </w:r>
    </w:p>
    <w:p>
      <w:pPr>
        <w:pStyle w:val="ListParagraph"/>
        <w:numPr>
          <w:ilvl w:val="0"/>
          <w:numId w:val="2"/>
        </w:numPr>
        <w:spacing w:after="50" w:before="50" w:line="280"/>
      </w:pPr>
      <w:r>
        <w:rPr>
          <w:rFonts w:ascii="Arial" w:cs="Arial" w:eastAsia="Arial" w:hAnsi="Arial"/>
          <w:color w:val="14181D"/>
          <w:sz w:val="20"/>
          <w:szCs w:val="20"/>
        </w:rPr>
        <w:t xml:space="preserve">Associates are engaged by name, against evidenced competence, professional indemnity cover and record — never on availability alone.</w:t>
      </w:r>
    </w:p>
    <w:p>
      <w:pPr>
        <w:pStyle w:val="ListParagraph"/>
        <w:numPr>
          <w:ilvl w:val="0"/>
          <w:numId w:val="2"/>
        </w:numPr>
        <w:spacing w:after="50" w:before="50" w:line="280"/>
      </w:pPr>
      <w:r>
        <w:rPr>
          <w:rFonts w:ascii="Arial" w:cs="Arial" w:eastAsia="Arial" w:hAnsi="Arial"/>
          <w:color w:val="14181D"/>
          <w:sz w:val="20"/>
          <w:szCs w:val="20"/>
        </w:rPr>
        <w:t xml:space="preserve">The associate receives the same written scope the client received.</w:t>
      </w:r>
    </w:p>
    <w:p>
      <w:pPr>
        <w:pStyle w:val="ListParagraph"/>
        <w:numPr>
          <w:ilvl w:val="0"/>
          <w:numId w:val="2"/>
        </w:numPr>
        <w:spacing w:after="50" w:before="50" w:line="280"/>
      </w:pPr>
      <w:r>
        <w:rPr>
          <w:rFonts w:ascii="Arial" w:cs="Arial" w:eastAsia="Arial" w:hAnsi="Arial"/>
          <w:color w:val="14181D"/>
          <w:sz w:val="20"/>
          <w:szCs w:val="20"/>
        </w:rPr>
        <w:t xml:space="preserve">Every output an associate produces is checked by the company before issue, under section 3.3 of the quality management arrangements. The company's name on a document means the company has checked it.</w:t>
      </w:r>
    </w:p>
    <w:p>
      <w:pPr>
        <w:pStyle w:val="ListParagraph"/>
        <w:numPr>
          <w:ilvl w:val="0"/>
          <w:numId w:val="2"/>
        </w:numPr>
        <w:spacing w:after="50" w:before="50" w:line="280"/>
      </w:pPr>
      <w:r>
        <w:rPr>
          <w:rFonts w:ascii="Arial" w:cs="Arial" w:eastAsia="Arial" w:hAnsi="Arial"/>
          <w:color w:val="14181D"/>
          <w:sz w:val="20"/>
          <w:szCs w:val="20"/>
        </w:rPr>
        <w:t xml:space="preserve">The client is told when an associate is used and who it is. The company does not present another party's work as its own.</w:t>
      </w:r>
    </w:p>
    <w:p>
      <w:pPr>
        <w:pStyle w:val="ListParagraph"/>
        <w:numPr>
          <w:ilvl w:val="0"/>
          <w:numId w:val="2"/>
        </w:numPr>
        <w:spacing w:after="50" w:before="50" w:line="280"/>
      </w:pPr>
      <w:r>
        <w:rPr>
          <w:rFonts w:ascii="Arial" w:cs="Arial" w:eastAsia="Arial" w:hAnsi="Arial"/>
          <w:color w:val="14181D"/>
          <w:sz w:val="20"/>
          <w:szCs w:val="20"/>
        </w:rPr>
        <w:t xml:space="preserve">The company remains the contracting party and carries the liability. A client has one point of responsibility.</w:t>
      </w:r>
    </w:p>
    <w:p>
      <w:pPr>
        <w:pStyle w:val="Heading1"/>
        <w:keepNext/>
        <w:pBdr>
          <w:bottom w:val="single" w:color="9C7A3C" w:sz="8" w:space="6"/>
        </w:pBdr>
        <w:spacing w:after="150" w:before="380"/>
      </w:pPr>
      <w:r>
        <w:rPr>
          <w:rFonts w:ascii="Arial" w:cs="Arial" w:eastAsia="Arial" w:hAnsi="Arial"/>
          <w:b/>
          <w:bCs/>
          <w:color w:val="14181D"/>
          <w:sz w:val="26"/>
          <w:szCs w:val="26"/>
        </w:rPr>
        <w:t xml:space="preserve">9. Records, confidentiality and handover</w:t>
      </w:r>
    </w:p>
    <w:p>
      <w:pPr>
        <w:spacing w:after="90" w:before="90" w:line="280"/>
      </w:pPr>
      <w:r>
        <w:rPr>
          <w:rFonts w:ascii="Arial" w:cs="Arial" w:eastAsia="Arial" w:hAnsi="Arial"/>
          <w:color w:val="14181D"/>
          <w:sz w:val="20"/>
          <w:szCs w:val="20"/>
        </w:rPr>
        <w:t xml:space="preserve">All project records are held for twelve years, covering the limitation period for a contract executed as a deed, and are backed up rather than held on a single device. Client information is treated as confidential and is not used on another engagement. On completion or termination, the complete record is handed over in a usable format at no additional charge — a client's own project information is theirs.</w:t>
      </w:r>
    </w:p>
    <w:p>
      <w:pPr>
        <w:pStyle w:val="Heading1"/>
        <w:keepNext/>
        <w:pBdr>
          <w:bottom w:val="single" w:color="9C7A3C" w:sz="8" w:space="6"/>
        </w:pBdr>
        <w:spacing w:after="150" w:before="380"/>
      </w:pPr>
      <w:r>
        <w:rPr>
          <w:rFonts w:ascii="Arial" w:cs="Arial" w:eastAsia="Arial" w:hAnsi="Arial"/>
          <w:b/>
          <w:bCs/>
          <w:color w:val="14181D"/>
          <w:sz w:val="26"/>
          <w:szCs w:val="26"/>
        </w:rPr>
        <w:t xml:space="preserve">10. Capacity, and when the company will decline</w:t>
      </w:r>
    </w:p>
    <w:p>
      <w:pPr>
        <w:spacing w:after="90" w:before="90" w:line="280"/>
      </w:pPr>
      <w:r>
        <w:rPr>
          <w:rFonts w:ascii="Arial" w:cs="Arial" w:eastAsia="Arial" w:hAnsi="Arial"/>
          <w:color w:val="14181D"/>
          <w:sz w:val="20"/>
          <w:szCs w:val="20"/>
        </w:rPr>
        <w:t xml:space="preserve">The company will decline an engagement where it cannot staff it, where it is not competent to deliver it, or where accepting it would prevent it from delivering an existing commitment. It will say so at the point of enquiry rather than accepting and under-delivering.</w:t>
      </w:r>
    </w:p>
    <w:p>
      <w:pPr>
        <w:spacing w:after="90" w:before="90" w:line="280"/>
      </w:pPr>
      <w:r>
        <w:rPr>
          <w:rFonts w:ascii="Arial" w:cs="Arial" w:eastAsia="Arial" w:hAnsi="Arial"/>
          <w:color w:val="14181D"/>
          <w:sz w:val="20"/>
          <w:szCs w:val="20"/>
        </w:rPr>
        <w:t xml:space="preserve">This is stated because a one-person company that claims unlimited capacity tells an assessor either that it has not thought about capacity or that it will say what it needs to say to win work. Neither is a good answer, and the honest one is more useful to CHIC than either.</w:t>
      </w:r>
    </w:p>
    <w:p>
      <w:pPr>
        <w:spacing w:after="90" w:before="90" w:line="280"/>
      </w:pPr>
      <w:r>
        <w:rPr>
          <w:rFonts w:ascii="Arial" w:cs="Arial" w:eastAsia="Arial" w:hAnsi="Arial"/>
          <w:color w:val="14181D"/>
          <w:sz w:val="20"/>
          <w:szCs w:val="20"/>
        </w:rPr>
        <w:t xml:space="preserve">Signed ............................................  Date ....................</w:t>
      </w:r>
    </w:p>
    <w:p>
      <w:pPr>
        <w:spacing w:after="90" w:before="90" w:line="280"/>
      </w:pPr>
      <w:r>
        <w:rPr>
          <w:rFonts w:ascii="Arial" w:cs="Arial" w:eastAsia="Arial" w:hAnsi="Arial"/>
          <w:color w:val="14181D"/>
          <w:sz w:val="20"/>
          <w:szCs w:val="20"/>
        </w:rPr>
        <w:t xml:space="preserve">Justin Ngolu Nseya MCIOB, Managing Director</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Method Statement — Category 1 Consultancy Services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 STATEMENT — CATEGORY 1 CONSULTANCY SERVICES</dc:title>
  <dc:creator>ETABLIX — Integrated Site Services</dc:creator>
  <dc:description>ETABLIX METHOD STATEMENT — CATEGORY 1 CONSULTANCY SERVICES</dc:description>
  <cp:lastModifiedBy>Un-named</cp:lastModifiedBy>
  <cp:revision>1</cp:revision>
  <dcterms:created xsi:type="dcterms:W3CDTF">2026-09-30T11:04:46.825Z</dcterms:created>
  <dcterms:modified xsi:type="dcterms:W3CDTF">2026-09-30T11:04:46.825Z</dcterms:modified>
</cp:coreProperties>
</file>

<file path=docProps/custom.xml><?xml version="1.0" encoding="utf-8"?>
<Properties xmlns="http://schemas.openxmlformats.org/officeDocument/2006/custom-properties" xmlns:vt="http://schemas.openxmlformats.org/officeDocument/2006/docPropsVTypes"/>
</file>