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REPLY — ILI GROUP (INTELLIGENT LAND INVESTMENTS)</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 ILI Group (Intelligent Land Investments)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business/marketing/ili-group-reply.md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From:</w:t>
      </w:r>
      <w:r>
        <w:rPr>
          <w:rFonts w:ascii="Arial" w:cs="Arial" w:eastAsia="Arial" w:hAnsi="Arial"/>
          <w:color w:val="14181D"/>
          <w:sz w:val="20"/>
          <w:szCs w:val="20"/>
        </w:rPr>
        <w:t xml:space="preserve"> Chris McCearney, Operations Manager, ILI Group </w:t>
      </w:r>
      <w:r>
        <w:rPr>
          <w:rFonts w:ascii="Arial" w:cs="Arial" w:eastAsia="Arial" w:hAnsi="Arial"/>
          <w:b/>
          <w:bCs/>
          <w:color w:val="14181D"/>
          <w:sz w:val="20"/>
          <w:szCs w:val="20"/>
        </w:rPr>
        <w:t xml:space="preserve">Replying to:</w:t>
      </w:r>
      <w:r>
        <w:rPr>
          <w:rFonts w:ascii="Arial" w:cs="Arial" w:eastAsia="Arial" w:hAnsi="Arial"/>
          <w:color w:val="14181D"/>
          <w:sz w:val="20"/>
          <w:szCs w:val="20"/>
        </w:rPr>
        <w:t xml:space="preserve"> the supply-chain introduction sent 29 September 2026 </w:t>
      </w:r>
      <w:r>
        <w:rPr>
          <w:rFonts w:ascii="Arial" w:cs="Arial" w:eastAsia="Arial" w:hAnsi="Arial"/>
          <w:b/>
          <w:bCs/>
          <w:color w:val="14181D"/>
          <w:sz w:val="20"/>
          <w:szCs w:val="20"/>
        </w:rPr>
        <w:t xml:space="preserve">His position:</w:t>
      </w:r>
      <w:r>
        <w:rPr>
          <w:rFonts w:ascii="Arial" w:cs="Arial" w:eastAsia="Arial" w:hAnsi="Arial"/>
          <w:color w:val="14181D"/>
          <w:sz w:val="20"/>
          <w:szCs w:val="20"/>
        </w:rPr>
        <w:t xml:space="preserve"> ILI is a pre-construction developer and unlikely to be involved in the construction phase; happy to register the interest and pass the details on when the time comes; watch the industry press for announcements </w:t>
      </w:r>
      <w:r>
        <w:rPr>
          <w:rFonts w:ascii="Arial" w:cs="Arial" w:eastAsia="Arial" w:hAnsi="Arial"/>
          <w:b/>
          <w:bCs/>
          <w:color w:val="14181D"/>
          <w:sz w:val="20"/>
          <w:szCs w:val="20"/>
        </w:rPr>
        <w:t xml:space="preserve">Date:</w:t>
      </w:r>
      <w:r>
        <w:rPr>
          <w:rFonts w:ascii="Arial" w:cs="Arial" w:eastAsia="Arial" w:hAnsi="Arial"/>
          <w:color w:val="14181D"/>
          <w:sz w:val="20"/>
          <w:szCs w:val="20"/>
        </w:rPr>
        <w:t xml:space="preserve"> 13 October 2026</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ILI actually is, from the public record</w:t>
      </w:r>
    </w:p>
    <w:p>
      <w:pPr>
        <w:spacing w:after="90" w:before="90" w:line="280"/>
      </w:pPr>
      <w:r>
        <w:rPr>
          <w:rFonts w:ascii="Arial" w:cs="Arial" w:eastAsia="Arial" w:hAnsi="Arial"/>
          <w:color w:val="14181D"/>
          <w:sz w:val="20"/>
          <w:szCs w:val="20"/>
        </w:rPr>
        <w:t xml:space="preserve">A Scottish developer that takes energy storage schemes through land rights, consent and grid connection, and then sells them. Pumped storage hydro and utility-scale battery. The pattern is visible in their own announcements: the 450 MW Red John scheme at Loch Ness, later Loch na Cathrach, consented in 2021 and sold to Statkraft; 50 MW battery sites sold to Eelpower, to Field, and to JLEN with Foresight; a second tranche of around 350 MW of Scottish battery sites released for sale in 2025 with connection dates from 2026 to 2028. The largest in the portfolio is Balliemeanoch at Loch Awe, a Section 36 application for around 1.5 GW with a five-year construction programme, AECOM engaged as technical consultants.</w:t>
      </w:r>
    </w:p>
    <w:p>
      <w:pPr>
        <w:spacing w:after="90" w:before="90" w:line="280"/>
      </w:pPr>
      <w:r>
        <w:rPr>
          <w:rFonts w:ascii="Arial" w:cs="Arial" w:eastAsia="Arial" w:hAnsi="Arial"/>
          <w:b/>
          <w:bCs/>
          <w:color w:val="14181D"/>
          <w:sz w:val="20"/>
          <w:szCs w:val="20"/>
        </w:rPr>
        <w:t xml:space="preserve">So Chris is correct, and the introduction was aimed at the wrong stage.</w:t>
      </w:r>
      <w:r>
        <w:rPr>
          <w:rFonts w:ascii="Arial" w:cs="Arial" w:eastAsia="Arial" w:hAnsi="Arial"/>
          <w:color w:val="14181D"/>
          <w:sz w:val="20"/>
          <w:szCs w:val="20"/>
        </w:rPr>
        <w:t xml:space="preserve"> The original email described three ways to engage on a construction-phase scope. ILI does not hold a construction-phase scope. Arguing with him would be both wrong and obvious.</w:t>
      </w:r>
    </w:p>
    <w:p>
      <w:pPr>
        <w:spacing w:after="90" w:before="90" w:line="280"/>
      </w:pPr>
      <w:r>
        <w:rPr>
          <w:rFonts w:ascii="Arial" w:cs="Arial" w:eastAsia="Arial" w:hAnsi="Arial"/>
          <w:b/>
          <w:bCs/>
          <w:color w:val="14181D"/>
          <w:sz w:val="20"/>
          <w:szCs w:val="20"/>
        </w:rPr>
        <w:t xml:space="preserve">But the thread is not closed, for two reasons.</w:t>
      </w:r>
      <w:r>
        <w:rPr>
          <w:rFonts w:ascii="Arial" w:cs="Arial" w:eastAsia="Arial" w:hAnsi="Arial"/>
          <w:color w:val="14181D"/>
          <w:sz w:val="20"/>
          <w:szCs w:val="20"/>
        </w:rPr>
        <w:t xml:space="preserve"> First, ILI is not the buyer — the acquirer is, and the acquirers are a matter of public record. Second, there is one piece of ETABLIX work that genuinely belongs at the development stage rather than the construction stage, and it is worth one short paragraph.</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reply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Subject: Re: ETABLIX — supply chain introduction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Dear Chris,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Thank you for the straight answer, and for taking the time to give one. You are right, and my original email was aimed at the wrong stage of your business. It was written for the construction phase, which as you say is not yours.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Please do register the interest, and I would be glad of a note if something moves.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One thing I would offer, because it sits at your stage rather than a contractor's. On a long-duration scheme in a remote location with a multi-year build, the construction accommodation and site establishment strategy is a development question before it is a construction one. It appears in the environmental statement, the construction method statement and the construction traffic management plan, and it sits inside the capital cost estimate an acquirer prices. A scheme that reaches transfer without a worked answer to where the construction workforce lives for the duration, and what the compound and access actually require, tends to have that gap priced against it by the party taking it on. Defining it is advisory work — fixed scope, fixed fee, and you would retain every contract. It is the only one of the three routes in my first email that makes any sense for a developer, and I should have led with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And one question, which would be worth more to me than a register entry. Your consented schemes transfer to owners who then build them. Is the acquirer the party I should be approaching directly, and is there a point in your process where a transfer becomes public and you would be willing to flag it? I am not asking you to pre-empt anything commercially sensitive — only whether I am knocking on the right door.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will keep an eye on the press, as you suggest.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Kind regards,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Justin Ngolu Nseya MCIOB Managing Director, ETABLIX Limited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it is written this way</w:t>
      </w:r>
    </w:p>
    <w:p>
      <w:pPr>
        <w:spacing w:after="90" w:before="90" w:line="280"/>
      </w:pPr>
      <w:r>
        <w:rPr>
          <w:rFonts w:ascii="Arial" w:cs="Arial" w:eastAsia="Arial" w:hAnsi="Arial"/>
          <w:b/>
          <w:bCs/>
          <w:color w:val="14181D"/>
          <w:sz w:val="20"/>
          <w:szCs w:val="20"/>
        </w:rPr>
        <w:t xml:space="preserve">Conceding the point in the first line buys the rest of the email.</w:t>
      </w:r>
      <w:r>
        <w:rPr>
          <w:rFonts w:ascii="Arial" w:cs="Arial" w:eastAsia="Arial" w:hAnsi="Arial"/>
          <w:color w:val="14181D"/>
          <w:sz w:val="20"/>
          <w:szCs w:val="20"/>
        </w:rPr>
        <w:t xml:space="preserve"> He gave a courteous brush-off to a message that misread his business. A reply that argues, or that re-sends the three models, confirms he was right to brush it off. A reply that says </w:t>
      </w:r>
      <w:r>
        <w:rPr>
          <w:rFonts w:ascii="Arial" w:cs="Arial" w:eastAsia="Arial" w:hAnsi="Arial"/>
          <w:i/>
          <w:iCs/>
          <w:color w:val="14181D"/>
          <w:sz w:val="20"/>
          <w:szCs w:val="20"/>
        </w:rPr>
        <w:t xml:space="preserve">you are right and I aimed at the wrong stage</w:t>
      </w:r>
      <w:r>
        <w:rPr>
          <w:rFonts w:ascii="Arial" w:cs="Arial" w:eastAsia="Arial" w:hAnsi="Arial"/>
          <w:color w:val="14181D"/>
          <w:sz w:val="20"/>
          <w:szCs w:val="20"/>
        </w:rPr>
        <w:t xml:space="preserve"> earns the one paragraph that follows.</w:t>
      </w:r>
    </w:p>
    <w:p>
      <w:pPr>
        <w:spacing w:after="90" w:before="90" w:line="280"/>
      </w:pPr>
      <w:r>
        <w:rPr>
          <w:rFonts w:ascii="Arial" w:cs="Arial" w:eastAsia="Arial" w:hAnsi="Arial"/>
          <w:b/>
          <w:bCs/>
          <w:color w:val="14181D"/>
          <w:sz w:val="20"/>
          <w:szCs w:val="20"/>
        </w:rPr>
        <w:t xml:space="preserve">Only Model 01 appears.</w:t>
      </w:r>
      <w:r>
        <w:rPr>
          <w:rFonts w:ascii="Arial" w:cs="Arial" w:eastAsia="Arial" w:hAnsi="Arial"/>
          <w:color w:val="14181D"/>
          <w:sz w:val="20"/>
          <w:szCs w:val="20"/>
        </w:rPr>
        <w:t xml:space="preserve"> Advisory is the only one of the three that a pre-construction developer can buy, because it is the only one that does not require a construction contract to exist. Repeating Models 02 and 03 to a developer is the original mistake made twice.</w:t>
      </w:r>
    </w:p>
    <w:p>
      <w:pPr>
        <w:spacing w:after="90" w:before="90" w:line="280"/>
      </w:pPr>
      <w:r>
        <w:rPr>
          <w:rFonts w:ascii="Arial" w:cs="Arial" w:eastAsia="Arial" w:hAnsi="Arial"/>
          <w:b/>
          <w:bCs/>
          <w:color w:val="14181D"/>
          <w:sz w:val="20"/>
          <w:szCs w:val="20"/>
        </w:rPr>
        <w:t xml:space="preserve">The real prize is the question at the end, not the offer in the middle.</w:t>
      </w:r>
      <w:r>
        <w:rPr>
          <w:rFonts w:ascii="Arial" w:cs="Arial" w:eastAsia="Arial" w:hAnsi="Arial"/>
          <w:color w:val="14181D"/>
          <w:sz w:val="20"/>
          <w:szCs w:val="20"/>
        </w:rPr>
        <w:t xml:space="preserve"> ILI develops and sells; the acquirer builds. Statkraft, Field, Eelpower, JLEN and Foresight have all taken ILI schemes on, and every one of them is a better prospect for ETABLIX than ILI itself. Chris can answer the question honestly without disclosing anything, and the answer reorganises the whole pipeline entry: the developer is a signpost, not a customer.</w:t>
      </w:r>
    </w:p>
    <w:p>
      <w:pPr>
        <w:spacing w:after="90" w:before="90" w:line="280"/>
      </w:pPr>
      <w:r>
        <w:rPr>
          <w:rFonts w:ascii="Arial" w:cs="Arial" w:eastAsia="Arial" w:hAnsi="Arial"/>
          <w:b/>
          <w:bCs/>
          <w:color w:val="14181D"/>
          <w:sz w:val="20"/>
          <w:szCs w:val="20"/>
        </w:rPr>
        <w:t xml:space="preserve">The accommodation argument is made as a valuation point, not a safety or compliance point.</w:t>
      </w:r>
      <w:r>
        <w:rPr>
          <w:rFonts w:ascii="Arial" w:cs="Arial" w:eastAsia="Arial" w:hAnsi="Arial"/>
          <w:color w:val="14181D"/>
          <w:sz w:val="20"/>
          <w:szCs w:val="20"/>
        </w:rPr>
        <w:t xml:space="preserve"> A developer whose entire business is the sale price of a consented scheme cares about what an acquirer deducts for. That is the register his attention is in.</w:t>
      </w:r>
    </w:p>
    <w:p>
      <w:pPr>
        <w:spacing w:after="90" w:before="90" w:line="280"/>
      </w:pPr>
      <w:r>
        <w:rPr>
          <w:rFonts w:ascii="Arial" w:cs="Arial" w:eastAsia="Arial" w:hAnsi="Arial"/>
          <w:b/>
          <w:bCs/>
          <w:color w:val="14181D"/>
          <w:sz w:val="20"/>
          <w:szCs w:val="20"/>
        </w:rPr>
        <w:t xml:space="preserve">What the reply withholds.</w:t>
      </w:r>
      <w:r>
        <w:rPr>
          <w:rFonts w:ascii="Arial" w:cs="Arial" w:eastAsia="Arial" w:hAnsi="Arial"/>
          <w:color w:val="14181D"/>
          <w:sz w:val="20"/>
          <w:szCs w:val="20"/>
        </w:rPr>
        <w:t xml:space="preserve"> No price. No statistic and no case study — the cost-of-a-gap argument is stated as a tendency, not a number, because no number exists that can be stood behind. No client, scheme or former employer of the director is named. No accreditation is claimed. Nothing implies a Principal Designer or Principal Contractor appointment, and the advisory route is stated as leaving every contract with the buyer precisely so it cannot be read that way. Their own projects are referred to only in the terms they have themselves announced publicly.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to do after sending</w:t>
      </w:r>
    </w:p>
    <w:p>
      <w:pPr>
        <w:spacing w:after="90" w:before="90" w:line="280"/>
      </w:pPr>
      <w:r>
        <w:rPr>
          <w:rFonts w:ascii="Arial" w:cs="Arial" w:eastAsia="Arial" w:hAnsi="Arial"/>
          <w:color w:val="14181D"/>
          <w:sz w:val="20"/>
          <w:szCs w:val="20"/>
        </w:rPr>
        <w:t xml:space="preserve">Treat ILI as a signpost and work the acquirers directly, whatever Chris answers. The parties who have bought ILI schemes are public, and an owner who has just acquired a consented multi-year build in a remote location is at exactly the moment when the site establishment question becomes theirs and nobody has yet answered it. That is a better-aimed approach than the one that produced this reply, and it came out of a message that failed.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He answered it — 14 October 2026</w:t>
      </w:r>
    </w:p>
    <w:p>
      <w:pPr>
        <w:spacing w:after="90" w:before="90" w:line="280"/>
      </w:pPr>
      <w:r>
        <w:rPr>
          <w:rFonts w:ascii="Arial" w:cs="Arial" w:eastAsia="Arial" w:hAnsi="Arial"/>
          <w:color w:val="14181D"/>
          <w:sz w:val="20"/>
          <w:szCs w:val="20"/>
        </w:rPr>
        <w:t xml:space="preserve">Chris came back on every point, and gave more than was asked: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"Yes the acquiring party is the one that will be dealing with this. We pass our register to the acquiring party for all our developments, which will include you in this case, but I would recommend that you also contact them directly after any transfer has taken place. We are bound by an NDA before completion; however, we will announce the transfer via a press release shortly after it takes place. In the past, these announcements are always picked up by the industry press so I would recommend you keep an eye on them. That said taking the significance of these projects into account, I suspect the wider press will also take an interest."</w:t>
      </w:r>
    </w:p>
    <w:p>
      <w:pPr>
        <w:spacing w:after="90" w:before="90" w:line="280"/>
      </w:pPr>
      <w:r>
        <w:rPr>
          <w:rFonts w:ascii="Arial" w:cs="Arial" w:eastAsia="Arial" w:hAnsi="Arial"/>
          <w:b/>
          <w:bCs/>
          <w:color w:val="14181D"/>
          <w:sz w:val="20"/>
          <w:szCs w:val="20"/>
        </w:rPr>
        <w:t xml:space="preserve">What this is worth.</w:t>
      </w:r>
      <w:r>
        <w:rPr>
          <w:rFonts w:ascii="Arial" w:cs="Arial" w:eastAsia="Arial" w:hAnsi="Arial"/>
          <w:color w:val="14181D"/>
          <w:sz w:val="20"/>
          <w:szCs w:val="20"/>
        </w:rPr>
        <w:t xml:space="preserve"> Three things, and the first is the one that matters. ETABLIX goes onto the register ILI hands to the acquiring party, which means the introduction arrives from the developer rather than cold from us. He confirmed the acquirer is the construction counterparty, so the pipeline entry is now correctly aimed. And he has told us how we will find out: a press release shortly after completion, which the trade press always carries.</w:t>
      </w:r>
    </w:p>
    <w:p>
      <w:pPr>
        <w:spacing w:after="90" w:before="90" w:line="280"/>
      </w:pPr>
      <w:r>
        <w:rPr>
          <w:rFonts w:ascii="Arial" w:cs="Arial" w:eastAsia="Arial" w:hAnsi="Arial"/>
          <w:b/>
          <w:bCs/>
          <w:color w:val="14181D"/>
          <w:sz w:val="20"/>
          <w:szCs w:val="20"/>
        </w:rPr>
        <w:t xml:space="preserve">What he cannot do, and must not be asked to do.</w:t>
      </w:r>
      <w:r>
        <w:rPr>
          <w:rFonts w:ascii="Arial" w:cs="Arial" w:eastAsia="Arial" w:hAnsi="Arial"/>
          <w:color w:val="14181D"/>
          <w:sz w:val="20"/>
          <w:szCs w:val="20"/>
        </w:rPr>
        <w:t xml:space="preserve"> ILI is bound by an NDA until completion. He volunteered that, which means he is being straight rather than evasive, and the reply must visibly respect it. Asking him to hint at who or when — even softly, even as a favour — would ask him to breach a confidentiality undertaking, and he would be right to stop replying. Nothing is asked for before completion.</w:t>
      </w:r>
    </w:p>
    <w:p>
      <w:pPr>
        <w:spacing w:after="90" w:before="90" w:line="280"/>
      </w:pPr>
      <w:r>
        <w:rPr>
          <w:rFonts w:ascii="Arial" w:cs="Arial" w:eastAsia="Arial" w:hAnsi="Arial"/>
          <w:b/>
          <w:bCs/>
          <w:color w:val="14181D"/>
          <w:sz w:val="20"/>
          <w:szCs w:val="20"/>
        </w:rPr>
        <w:t xml:space="preserve">So the ask sits entirely on the public side of the line.</w:t>
      </w:r>
      <w:r>
        <w:rPr>
          <w:rFonts w:ascii="Arial" w:cs="Arial" w:eastAsia="Arial" w:hAnsi="Arial"/>
          <w:color w:val="14181D"/>
          <w:sz w:val="20"/>
          <w:szCs w:val="20"/>
        </w:rPr>
        <w:t xml:space="preserve"> Once the press release is out the information is public, and a one-line note or a place on the release distribution costs him a click and no risk at all. That is a request he can grant immediately without consulting anybody, which is the only kind worth making of somebody who has just explained his constraint.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reply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Subject: Re: ETABLIX — supply chain introduction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Dear Chris,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That is exactly what I needed to know, and more than I asked for. Thank you.</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Understood on the NDA, and I am not asking you to work around it — nothing before completion. The register passing to the acquiring party is genuinely useful, and I will also approach them directly once a transfer is public, as you suggest.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One small thing, if it is no trouble. When the press release goes out, a single line to this address, or a place on the release distribution, would mean I act on the day rather than whenever I happen to catch the coverage. It is public by then, so there is nothing in it for you to weigh.</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Timing is most of the value for me. The construction accommodation and site establishment question is at its most useful in the weeks just after a transfer, while the new owner is still setting the delivery strategy and before the contractor is appointed. A month later it has already become somebody's inherited problem, and the answer costs more.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will keep an eye on the press either way. Good luck with the completion.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Kind regards,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Justin Ngolu Nseya MCIOB Managing Director, ETABLIX Limited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it is written this way</w:t>
      </w:r>
    </w:p>
    <w:p>
      <w:pPr>
        <w:spacing w:after="90" w:before="90" w:line="280"/>
      </w:pPr>
      <w:r>
        <w:rPr>
          <w:rFonts w:ascii="Arial" w:cs="Arial" w:eastAsia="Arial" w:hAnsi="Arial"/>
          <w:b/>
          <w:bCs/>
          <w:color w:val="14181D"/>
          <w:sz w:val="20"/>
          <w:szCs w:val="20"/>
        </w:rPr>
        <w:t xml:space="preserve">The NDA sentence is the most important line in the email.</w:t>
      </w:r>
      <w:r>
        <w:rPr>
          <w:rFonts w:ascii="Arial" w:cs="Arial" w:eastAsia="Arial" w:hAnsi="Arial"/>
          <w:color w:val="14181D"/>
          <w:sz w:val="20"/>
          <w:szCs w:val="20"/>
        </w:rPr>
        <w:t xml:space="preserve"> He raised a confidentiality obligation unprompted. Naming it back, and saying plainly that nothing is wanted before completion, is what makes the request that follows easy to grant. A reply that skated past it would have read as someone looking for a way round.</w:t>
      </w:r>
    </w:p>
    <w:p>
      <w:pPr>
        <w:spacing w:after="90" w:before="90" w:line="280"/>
      </w:pPr>
      <w:r>
        <w:rPr>
          <w:rFonts w:ascii="Arial" w:cs="Arial" w:eastAsia="Arial" w:hAnsi="Arial"/>
          <w:b/>
          <w:bCs/>
          <w:color w:val="14181D"/>
          <w:sz w:val="20"/>
          <w:szCs w:val="20"/>
        </w:rPr>
        <w:t xml:space="preserve">The ask is deliberately trivial.</w:t>
      </w:r>
      <w:r>
        <w:rPr>
          <w:rFonts w:ascii="Arial" w:cs="Arial" w:eastAsia="Arial" w:hAnsi="Arial"/>
          <w:color w:val="14181D"/>
          <w:sz w:val="20"/>
          <w:szCs w:val="20"/>
        </w:rPr>
        <w:t xml:space="preserve"> A line to an address, or a name on a distribution list. No meeting, no call, no introduction to arrange, no judgement for him to make about whether we are any good. He can do it without asking permission, which is why he probably will.</w:t>
      </w:r>
    </w:p>
    <w:p>
      <w:pPr>
        <w:spacing w:after="90" w:before="90" w:line="280"/>
      </w:pPr>
      <w:r>
        <w:rPr>
          <w:rFonts w:ascii="Arial" w:cs="Arial" w:eastAsia="Arial" w:hAnsi="Arial"/>
          <w:b/>
          <w:bCs/>
          <w:color w:val="14181D"/>
          <w:sz w:val="20"/>
          <w:szCs w:val="20"/>
        </w:rPr>
        <w:t xml:space="preserve">The timing paragraph is the only selling in the letter, and it is aimed at him, not at the acquirer.</w:t>
      </w:r>
      <w:r>
        <w:rPr>
          <w:rFonts w:ascii="Arial" w:cs="Arial" w:eastAsia="Arial" w:hAnsi="Arial"/>
          <w:color w:val="14181D"/>
          <w:sz w:val="20"/>
          <w:szCs w:val="20"/>
        </w:rPr>
        <w:t xml:space="preserve"> It tells him why the favour is worth doing — the window is weeks, not months — without claiming anything about ETABLIX. It is also true: once a contractor is appointed, the site establishment is inside somebody else's contract and the conversation is a different, worse one.</w:t>
      </w:r>
    </w:p>
    <w:p>
      <w:pPr>
        <w:spacing w:after="90" w:before="90" w:line="280"/>
      </w:pPr>
      <w:r>
        <w:rPr>
          <w:rFonts w:ascii="Arial" w:cs="Arial" w:eastAsia="Arial" w:hAnsi="Arial"/>
          <w:b/>
          <w:bCs/>
          <w:color w:val="14181D"/>
          <w:sz w:val="20"/>
          <w:szCs w:val="20"/>
        </w:rPr>
        <w:t xml:space="preserve">What it withholds.</w:t>
      </w:r>
      <w:r>
        <w:rPr>
          <w:rFonts w:ascii="Arial" w:cs="Arial" w:eastAsia="Arial" w:hAnsi="Arial"/>
          <w:color w:val="14181D"/>
          <w:sz w:val="20"/>
          <w:szCs w:val="20"/>
        </w:rPr>
        <w:t xml:space="preserve"> No price. No acquirer named, even though the past ones are public, because showing homework at this point would look like we are working around his NDA rather than respecting it. No promise and no pipeline claim. No accreditation. Nothing implying a CDM duty holder appointment.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standing watch this creates</w:t>
      </w:r>
    </w:p>
    <w:p>
      <w:pPr>
        <w:spacing w:after="90" w:before="90" w:line="280"/>
      </w:pPr>
      <w:r>
        <w:rPr>
          <w:rFonts w:ascii="Arial" w:cs="Arial" w:eastAsia="Arial" w:hAnsi="Arial"/>
          <w:color w:val="14181D"/>
          <w:sz w:val="20"/>
          <w:szCs w:val="20"/>
        </w:rPr>
        <w:t xml:space="preserve">This thread is now a dated trigger rather than a conversation.</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Watch the trade press</w:t>
      </w:r>
      <w:r>
        <w:rPr>
          <w:rFonts w:ascii="Arial" w:cs="Arial" w:eastAsia="Arial" w:hAnsi="Arial"/>
          <w:color w:val="14181D"/>
          <w:sz w:val="20"/>
          <w:szCs w:val="20"/>
        </w:rPr>
        <w:t xml:space="preserve"> for an ILI transfer announcement — the pumped storage schemes and the battery tranches both. He has said the wider press may carry it too.</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On the day it appears</w:t>
      </w:r>
      <w:r>
        <w:rPr>
          <w:rFonts w:ascii="Arial" w:cs="Arial" w:eastAsia="Arial" w:hAnsi="Arial"/>
          <w:color w:val="14181D"/>
          <w:sz w:val="20"/>
          <w:szCs w:val="20"/>
        </w:rPr>
        <w:t xml:space="preserve">, approach the acquirer directly. Do not wait for the register to arrive from ILI; the register is a second, slower route to the same door and both should be used.</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Do not chase Chris in the meantime.</w:t>
      </w:r>
      <w:r>
        <w:rPr>
          <w:rFonts w:ascii="Arial" w:cs="Arial" w:eastAsia="Arial" w:hAnsi="Arial"/>
          <w:color w:val="14181D"/>
          <w:sz w:val="20"/>
          <w:szCs w:val="20"/>
        </w:rPr>
        <w:t xml:space="preserve"> He has given everything he can give before completion, and a follow-up asking for more would spend the goodwill this exchange earned.</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Work the acquirers that already hold ILI schemes now</w:t>
      </w:r>
      <w:r>
        <w:rPr>
          <w:rFonts w:ascii="Arial" w:cs="Arial" w:eastAsia="Arial" w:hAnsi="Arial"/>
          <w:color w:val="14181D"/>
          <w:sz w:val="20"/>
          <w:szCs w:val="20"/>
        </w:rPr>
        <w:t xml:space="preserve">, independently of any new transfer. That was the conclusion of the first reply and nothing here changes it — the developer is a signpost, not a customer.</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Reply — ILI Group (Intelligent Land Investments)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REPLY — ILI GROUP (INTELLIGENT LAND INVESTMENTS)</dc:title>
  <dc:creator>ETABLIX — Integrated Site Services</dc:creator>
  <dc:description>ETABLIX REPLY — ILI GROUP (INTELLIGENT LAND INVESTMENTS)</dc:description>
  <cp:lastModifiedBy>Un-named</cp:lastModifiedBy>
  <cp:revision>1</cp:revision>
  <dcterms:created xsi:type="dcterms:W3CDTF">2026-10-14T11:35:32.669Z</dcterms:created>
  <dcterms:modified xsi:type="dcterms:W3CDTF">2026-10-14T11:35:32.669Z</dcterms:modified>
</cp:coreProperties>
</file>

<file path=docProps/custom.xml><?xml version="1.0" encoding="utf-8"?>
<Properties xmlns="http://schemas.openxmlformats.org/officeDocument/2006/custom-properties" xmlns:vt="http://schemas.openxmlformats.org/officeDocument/2006/docPropsVTypes"/>
</file>