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b/>
          <w:bCs/>
          <w:color w:val="14181D"/>
          <w:sz w:val="52"/>
          <w:szCs w:val="52"/>
        </w:rPr>
        <w:t xml:space="preserve">ETABLIX</w:t>
      </w:r>
    </w:p>
    <w:p>
      <w:pPr>
        <w:spacing w:after="800"/>
      </w:pPr>
      <w:r>
        <w:rPr>
          <w:rFonts w:ascii="Arial" w:cs="Arial" w:eastAsia="Arial" w:hAnsi="Arial"/>
          <w:b/>
          <w:bCs/>
          <w:color w:val="9C7A3C"/>
          <w:sz w:val="14"/>
          <w:szCs w:val="14"/>
        </w:rPr>
        <w:t xml:space="preserve">I N T E G R A T E D   S I T E   S E R V I C E S</w:t>
      </w:r>
    </w:p>
    <w:p>
      <w:pPr>
        <w:spacing w:after="70" w:before="70" w:line="260"/>
      </w:pPr>
      <w:r>
        <w:rPr>
          <w:rFonts w:ascii="Arial" w:cs="Arial" w:eastAsia="Arial" w:hAnsi="Arial"/>
          <w:color w:val="14181D"/>
          <w:sz w:val="38"/>
          <w:szCs w:val="38"/>
        </w:rPr>
        <w:t xml:space="preserve">GAP REGISTER</w:t>
      </w:r>
    </w:p>
    <w:p>
      <w:pPr>
        <w:spacing w:after="600" w:before="70" w:line="260"/>
      </w:pPr>
      <w:r>
        <w:rPr>
          <w:rFonts w:ascii="Arial" w:cs="Arial" w:eastAsia="Arial" w:hAnsi="Arial"/>
          <w:color w:val="9C7A3C"/>
          <w:sz w:val="24"/>
          <w:szCs w:val="24"/>
        </w:rPr>
        <w:t xml:space="preserve">Employer's Requirements, P2 Modular Accommodation — Rev A reviewed against itself</w:t>
      </w:r>
    </w:p>
    <w:p>
      <w:pPr>
        <w:spacing w:after="70" w:before="70" w:line="260"/>
      </w:pPr>
      <w:r>
        <w:rPr>
          <w:rFonts w:ascii="Arial" w:cs="Arial" w:eastAsia="Arial" w:hAnsi="Arial"/>
          <w:color w:val="5B6672"/>
          <w:sz w:val="19"/>
          <w:szCs w:val="19"/>
        </w:rPr>
        <w:t xml:space="preserve">Twenty-five findings against a document this office issued. Three of them mean a tenderer cannot price it safely. They are recorded here in the same form as findings against anyone else's document, because a review that goes easy on its own work is not a review.</w:t>
      </w:r>
    </w:p>
    <w:p>
      <w:r>
        <w:br w:type="page"/>
      </w:r>
    </w:p>
    <w:p>
      <w:pPr>
        <w:pStyle w:val="Heading1"/>
        <w:spacing w:after="130" w:before="340"/>
      </w:pPr>
      <w:r>
        <w:rPr>
          <w:rFonts w:ascii="Arial" w:cs="Arial" w:eastAsia="Arial" w:hAnsi="Arial"/>
          <w:b/>
          <w:bCs/>
          <w:color w:val="14181D"/>
          <w:sz w:val="28"/>
          <w:szCs w:val="28"/>
        </w:rPr>
        <w:t xml:space="preserve">Summary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0"/>
      </w:tblGrid>
      <w:tr>
        <w:trPr>
          <w:tblHeader/>
        </w:trPr>
        <w:tc>
          <w:tcPr>
            <w:tcW w:type="dxa" w:w="2000"/>
            <w:tcBorders>
              <w:top w:val="single" w:color="D5D5D5" w:sz="2"/>
              <w:left w:val="single" w:color="D5D5D5" w:sz="2"/>
              <w:bottom w:val="single" w:color="D5D5D5" w:sz="2"/>
              <w:right w:val="single" w:color="D5D5D5" w:sz="2"/>
            </w:tcBorders>
            <w:shd w:fill="14181D" w:color="auto" w:val="clear"/>
            <w:tcMar>
              <w:top w:type="dxa" w:w="70"/>
              <w:left w:type="dxa" w:w="90"/>
              <w:bottom w:type="dxa" w:w="70"/>
              <w:right w:type="dxa" w:w="90"/>
            </w:tcMar>
          </w:tcPr>
          <w:p>
            <w:pPr>
              <w:spacing w:after="20" w:before="20" w:line="240"/>
            </w:pPr>
            <w:r>
              <w:rPr>
                <w:rFonts w:ascii="Arial" w:cs="Arial" w:eastAsia="Arial" w:hAnsi="Arial"/>
                <w:b/>
                <w:bCs/>
                <w:color w:val="FFFFFF"/>
                <w:sz w:val="16"/>
                <w:szCs w:val="16"/>
              </w:rPr>
              <w:t xml:space="preserve"/>
            </w:r>
          </w:p>
        </w:tc>
        <w:tc>
          <w:tcPr>
            <w:tcW w:type="dxa" w:w="1400"/>
            <w:tcBorders>
              <w:top w:val="single" w:color="D5D5D5" w:sz="2"/>
              <w:left w:val="single" w:color="D5D5D5" w:sz="2"/>
              <w:bottom w:val="single" w:color="D5D5D5" w:sz="2"/>
              <w:right w:val="single" w:color="D5D5D5" w:sz="2"/>
            </w:tcBorders>
            <w:shd w:fill="14181D" w:color="auto" w:val="clear"/>
            <w:tcMar>
              <w:top w:type="dxa" w:w="70"/>
              <w:left w:type="dxa" w:w="90"/>
              <w:bottom w:type="dxa" w:w="70"/>
              <w:right w:type="dxa" w:w="90"/>
            </w:tcMar>
          </w:tcPr>
          <w:p>
            <w:pPr>
              <w:spacing w:after="20" w:before="20" w:line="240"/>
            </w:pPr>
            <w:r>
              <w:rPr>
                <w:rFonts w:ascii="Arial" w:cs="Arial" w:eastAsia="Arial" w:hAnsi="Arial"/>
                <w:b/>
                <w:bCs/>
                <w:color w:val="FFFFFF"/>
                <w:sz w:val="16"/>
                <w:szCs w:val="16"/>
              </w:rPr>
              <w:t xml:space="preserve"/>
            </w:r>
          </w:p>
        </w:tc>
        <w:tc>
          <w:tcPr>
            <w:tcW w:type="dxa" w:w="5620"/>
            <w:tcBorders>
              <w:top w:val="single" w:color="D5D5D5" w:sz="2"/>
              <w:left w:val="single" w:color="D5D5D5" w:sz="2"/>
              <w:bottom w:val="single" w:color="D5D5D5" w:sz="2"/>
              <w:right w:val="single" w:color="D5D5D5" w:sz="2"/>
            </w:tcBorders>
            <w:shd w:fill="14181D" w:color="auto" w:val="clear"/>
            <w:tcMar>
              <w:top w:type="dxa" w:w="70"/>
              <w:left w:type="dxa" w:w="90"/>
              <w:bottom w:type="dxa" w:w="70"/>
              <w:right w:type="dxa" w:w="90"/>
            </w:tcMar>
          </w:tcPr>
          <w:p>
            <w:pPr>
              <w:spacing w:after="20" w:before="20" w:line="240"/>
            </w:pPr>
            <w:r>
              <w:rPr>
                <w:rFonts w:ascii="Arial" w:cs="Arial" w:eastAsia="Arial" w:hAnsi="Arial"/>
                <w:b/>
                <w:bCs/>
                <w:color w:val="FFFFFF"/>
                <w:sz w:val="16"/>
                <w:szCs w:val="16"/>
              </w:rPr>
              <w:t xml:space="preserve"/>
            </w:r>
          </w:p>
        </w:tc>
      </w:tr>
      <w:tr>
        <w:tc>
          <w:tcPr>
            <w:tcW w:type="dxa" w:w="20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C0392B"/>
                <w:sz w:val="16"/>
                <w:szCs w:val="16"/>
              </w:rPr>
              <w:t xml:space="preserve"/>
            </w:r>
          </w:p>
        </w:tc>
        <w:tc>
          <w:tcPr>
            <w:tcW w:type="dxa" w:w="14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6"/>
                <w:szCs w:val="16"/>
              </w:rPr>
              <w:t xml:space="preserve">3</w:t>
            </w:r>
          </w:p>
        </w:tc>
        <w:tc>
          <w:tcPr>
            <w:tcW w:type="dxa" w:w="5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6"/>
                <w:szCs w:val="16"/>
              </w:rPr>
              <w:t xml:space="preserve">A tenderer cannot price the document safely. Returns will not be comparable.</w:t>
            </w:r>
          </w:p>
        </w:tc>
      </w:tr>
      <w:tr>
        <w:tc>
          <w:tcPr>
            <w:tcW w:type="dxa" w:w="20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B07A1E"/>
                <w:sz w:val="16"/>
                <w:szCs w:val="16"/>
              </w:rPr>
              <w:t xml:space="preserve"/>
            </w:r>
          </w:p>
        </w:tc>
        <w:tc>
          <w:tcPr>
            <w:tcW w:type="dxa" w:w="14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6"/>
                <w:szCs w:val="16"/>
              </w:rPr>
              <w:t xml:space="preserve">8</w:t>
            </w:r>
          </w:p>
        </w:tc>
        <w:tc>
          <w:tcPr>
            <w:tcW w:type="dxa" w:w="5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6"/>
                <w:szCs w:val="16"/>
              </w:rPr>
              <w:t xml:space="preserve">A material requirement is absent; the risk sits with the Employer by default.</w:t>
            </w:r>
          </w:p>
        </w:tc>
      </w:tr>
      <w:tr>
        <w:tc>
          <w:tcPr>
            <w:tcW w:type="dxa" w:w="20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5B6672"/>
                <w:sz w:val="16"/>
                <w:szCs w:val="16"/>
              </w:rPr>
              <w:t xml:space="preserve"/>
            </w:r>
          </w:p>
        </w:tc>
        <w:tc>
          <w:tcPr>
            <w:tcW w:type="dxa" w:w="14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6"/>
                <w:szCs w:val="16"/>
              </w:rPr>
              <w:t xml:space="preserve">7</w:t>
            </w:r>
          </w:p>
        </w:tc>
        <w:tc>
          <w:tcPr>
            <w:tcW w:type="dxa" w:w="5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6"/>
                <w:szCs w:val="16"/>
              </w:rPr>
              <w:t xml:space="preserve">The requirement exists but is unenforceable or will be qualified.</w:t>
            </w:r>
          </w:p>
        </w:tc>
      </w:tr>
      <w:tr>
        <w:tc>
          <w:tcPr>
            <w:tcW w:type="dxa" w:w="20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8A8A8A"/>
                <w:sz w:val="16"/>
                <w:szCs w:val="16"/>
              </w:rPr>
              <w:t xml:space="preserve"/>
            </w:r>
          </w:p>
        </w:tc>
        <w:tc>
          <w:tcPr>
            <w:tcW w:type="dxa" w:w="14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6"/>
                <w:szCs w:val="16"/>
              </w:rPr>
              <w:t xml:space="preserve">7</w:t>
            </w:r>
          </w:p>
        </w:tc>
        <w:tc>
          <w:tcPr>
            <w:tcW w:type="dxa" w:w="5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6"/>
                <w:szCs w:val="16"/>
              </w:rPr>
              <w:t xml:space="preserve">Would be picked up at review; costs credibility rather than money.</w:t>
            </w:r>
          </w:p>
        </w:tc>
      </w:tr>
    </w:tbl>
    <w:p>
      <w:r>
        <w:br w:type="page"/>
      </w:r>
    </w:p>
    <w:p>
      <w:pPr>
        <w:pStyle w:val="Heading1"/>
        <w:spacing w:after="130" w:before="340"/>
      </w:pPr>
      <w:r>
        <w:rPr>
          <w:rFonts w:ascii="Arial" w:cs="Arial" w:eastAsia="Arial" w:hAnsi="Arial"/>
          <w:b/>
          <w:bCs/>
          <w:color w:val="14181D"/>
          <w:sz w:val="28"/>
          <w:szCs w:val="28"/>
        </w:rPr>
        <w:t xml:space="preserve">The findings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080"/>
        <w:gridCol w:w="1180"/>
        <w:gridCol w:w="2100"/>
        <w:gridCol w:w="2020"/>
        <w:gridCol w:w="2020"/>
      </w:tblGrid>
      <w:tr>
        <w:trPr>
          <w:tblHeader/>
        </w:trPr>
        <w:tc>
          <w:tcPr>
            <w:tcW w:type="dxa" w:w="620"/>
            <w:tcBorders>
              <w:top w:val="single" w:color="D5D5D5" w:sz="2"/>
              <w:left w:val="single" w:color="D5D5D5" w:sz="2"/>
              <w:bottom w:val="single" w:color="D5D5D5" w:sz="2"/>
              <w:right w:val="single" w:color="D5D5D5" w:sz="2"/>
            </w:tcBorders>
            <w:shd w:fill="14181D" w:color="auto" w:val="clear"/>
            <w:tcMar>
              <w:top w:type="dxa" w:w="70"/>
              <w:left w:type="dxa" w:w="90"/>
              <w:bottom w:type="dxa" w:w="70"/>
              <w:right w:type="dxa" w:w="90"/>
            </w:tcMar>
          </w:tcPr>
          <w:p>
            <w:pPr>
              <w:spacing w:after="20" w:before="20" w:line="240"/>
            </w:pPr>
            <w:r>
              <w:rPr>
                <w:rFonts w:ascii="Arial" w:cs="Arial" w:eastAsia="Arial" w:hAnsi="Arial"/>
                <w:b/>
                <w:bCs/>
                <w:color w:val="FFFFFF"/>
                <w:sz w:val="16"/>
                <w:szCs w:val="16"/>
              </w:rPr>
              <w:t xml:space="preserve"/>
            </w:r>
          </w:p>
        </w:tc>
        <w:tc>
          <w:tcPr>
            <w:tcW w:type="dxa" w:w="1080"/>
            <w:tcBorders>
              <w:top w:val="single" w:color="D5D5D5" w:sz="2"/>
              <w:left w:val="single" w:color="D5D5D5" w:sz="2"/>
              <w:bottom w:val="single" w:color="D5D5D5" w:sz="2"/>
              <w:right w:val="single" w:color="D5D5D5" w:sz="2"/>
            </w:tcBorders>
            <w:shd w:fill="14181D" w:color="auto" w:val="clear"/>
            <w:tcMar>
              <w:top w:type="dxa" w:w="70"/>
              <w:left w:type="dxa" w:w="90"/>
              <w:bottom w:type="dxa" w:w="70"/>
              <w:right w:type="dxa" w:w="90"/>
            </w:tcMar>
          </w:tcPr>
          <w:p>
            <w:pPr>
              <w:spacing w:after="20" w:before="20" w:line="240"/>
            </w:pPr>
            <w:r>
              <w:rPr>
                <w:rFonts w:ascii="Arial" w:cs="Arial" w:eastAsia="Arial" w:hAnsi="Arial"/>
                <w:b/>
                <w:bCs/>
                <w:color w:val="FFFFFF"/>
                <w:sz w:val="16"/>
                <w:szCs w:val="16"/>
              </w:rPr>
              <w:t xml:space="preserve"/>
            </w:r>
          </w:p>
        </w:tc>
        <w:tc>
          <w:tcPr>
            <w:tcW w:type="dxa" w:w="1180"/>
            <w:tcBorders>
              <w:top w:val="single" w:color="D5D5D5" w:sz="2"/>
              <w:left w:val="single" w:color="D5D5D5" w:sz="2"/>
              <w:bottom w:val="single" w:color="D5D5D5" w:sz="2"/>
              <w:right w:val="single" w:color="D5D5D5" w:sz="2"/>
            </w:tcBorders>
            <w:shd w:fill="14181D" w:color="auto" w:val="clear"/>
            <w:tcMar>
              <w:top w:type="dxa" w:w="70"/>
              <w:left w:type="dxa" w:w="90"/>
              <w:bottom w:type="dxa" w:w="70"/>
              <w:right w:type="dxa" w:w="90"/>
            </w:tcMar>
          </w:tcPr>
          <w:p>
            <w:pPr>
              <w:spacing w:after="20" w:before="20" w:line="240"/>
            </w:pPr>
            <w:r>
              <w:rPr>
                <w:rFonts w:ascii="Arial" w:cs="Arial" w:eastAsia="Arial" w:hAnsi="Arial"/>
                <w:b/>
                <w:bCs/>
                <w:color w:val="FFFFFF"/>
                <w:sz w:val="16"/>
                <w:szCs w:val="16"/>
              </w:rPr>
              <w:t xml:space="preserve"/>
            </w:r>
          </w:p>
        </w:tc>
        <w:tc>
          <w:tcPr>
            <w:tcW w:type="dxa" w:w="2100"/>
            <w:tcBorders>
              <w:top w:val="single" w:color="D5D5D5" w:sz="2"/>
              <w:left w:val="single" w:color="D5D5D5" w:sz="2"/>
              <w:bottom w:val="single" w:color="D5D5D5" w:sz="2"/>
              <w:right w:val="single" w:color="D5D5D5" w:sz="2"/>
            </w:tcBorders>
            <w:shd w:fill="14181D" w:color="auto" w:val="clear"/>
            <w:tcMar>
              <w:top w:type="dxa" w:w="70"/>
              <w:left w:type="dxa" w:w="90"/>
              <w:bottom w:type="dxa" w:w="70"/>
              <w:right w:type="dxa" w:w="90"/>
            </w:tcMar>
          </w:tcPr>
          <w:p>
            <w:pPr>
              <w:spacing w:after="20" w:before="20" w:line="240"/>
            </w:pPr>
            <w:r>
              <w:rPr>
                <w:rFonts w:ascii="Arial" w:cs="Arial" w:eastAsia="Arial" w:hAnsi="Arial"/>
                <w:b/>
                <w:bCs/>
                <w:color w:val="FFFFFF"/>
                <w:sz w:val="16"/>
                <w:szCs w:val="16"/>
              </w:rPr>
              <w:t xml:space="preserve"/>
            </w:r>
          </w:p>
        </w:tc>
        <w:tc>
          <w:tcPr>
            <w:tcW w:type="dxa" w:w="2020"/>
            <w:tcBorders>
              <w:top w:val="single" w:color="D5D5D5" w:sz="2"/>
              <w:left w:val="single" w:color="D5D5D5" w:sz="2"/>
              <w:bottom w:val="single" w:color="D5D5D5" w:sz="2"/>
              <w:right w:val="single" w:color="D5D5D5" w:sz="2"/>
            </w:tcBorders>
            <w:shd w:fill="14181D" w:color="auto" w:val="clear"/>
            <w:tcMar>
              <w:top w:type="dxa" w:w="70"/>
              <w:left w:type="dxa" w:w="90"/>
              <w:bottom w:type="dxa" w:w="70"/>
              <w:right w:type="dxa" w:w="90"/>
            </w:tcMar>
          </w:tcPr>
          <w:p>
            <w:pPr>
              <w:spacing w:after="20" w:before="20" w:line="240"/>
            </w:pPr>
            <w:r>
              <w:rPr>
                <w:rFonts w:ascii="Arial" w:cs="Arial" w:eastAsia="Arial" w:hAnsi="Arial"/>
                <w:b/>
                <w:bCs/>
                <w:color w:val="FFFFFF"/>
                <w:sz w:val="16"/>
                <w:szCs w:val="16"/>
              </w:rPr>
              <w:t xml:space="preserve"/>
            </w:r>
          </w:p>
        </w:tc>
        <w:tc>
          <w:tcPr>
            <w:tcW w:type="dxa" w:w="2020"/>
            <w:tcBorders>
              <w:top w:val="single" w:color="D5D5D5" w:sz="2"/>
              <w:left w:val="single" w:color="D5D5D5" w:sz="2"/>
              <w:bottom w:val="single" w:color="D5D5D5" w:sz="2"/>
              <w:right w:val="single" w:color="D5D5D5" w:sz="2"/>
            </w:tcBorders>
            <w:shd w:fill="14181D" w:color="auto" w:val="clear"/>
            <w:tcMar>
              <w:top w:type="dxa" w:w="70"/>
              <w:left w:type="dxa" w:w="90"/>
              <w:bottom w:type="dxa" w:w="70"/>
              <w:right w:type="dxa" w:w="90"/>
            </w:tcMar>
          </w:tcPr>
          <w:p>
            <w:pPr>
              <w:spacing w:after="20" w:before="20" w:line="240"/>
            </w:pPr>
            <w:r>
              <w:rPr>
                <w:rFonts w:ascii="Arial" w:cs="Arial" w:eastAsia="Arial" w:hAnsi="Arial"/>
                <w:b/>
                <w:bCs/>
                <w:color w:val="FFFFFF"/>
                <w:sz w:val="16"/>
                <w:szCs w:val="16"/>
              </w:rPr>
              <w:t xml:space="preserve"/>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C0392B"/>
                <w:sz w:val="15"/>
                <w:szCs w:val="15"/>
              </w:rPr>
              <w:t xml:space="preserve">Fatal</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Whole document</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design responsibility matrix.</w:t>
            </w:r>
            <w:r>
              <w:rPr>
                <w:rFonts w:ascii="Arial" w:cs="Arial" w:eastAsia="Arial" w:hAnsi="Arial"/>
                <w:color w:val="14181D"/>
                <w:sz w:val="15"/>
                <w:szCs w:val="15"/>
              </w:rPr>
              <w:t xml:space="preserve"> The document never states whether this is a contractor-designed package, and if so to what extent. There is no reference to Contractor's Proposals at all.</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 tenderer cannot price this. Are they designing the module, or building to my design? The difference is the whole risk profile and a large part of the price. Every competent tenderer will qualify the tender, and the returns will not be comparable — which defeats the evaluation model.</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Add a design responsibility matrix, element by element, with three columns: Employer designs / Contractor designs / Contractor designs to Employer's performance requirement. Add a clause governing Contractor's Proposals and what happens where they conflict with these Requirements.</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C0392B"/>
                <w:sz w:val="15"/>
                <w:szCs w:val="15"/>
              </w:rPr>
              <w:t xml:space="preserve">Fatal</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Room data sheets</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Prescriptive and performance specification are mixed without a decision about which applies where.</w:t>
            </w:r>
            <w:r>
              <w:rPr>
                <w:rFonts w:ascii="Arial" w:cs="Arial" w:eastAsia="Arial" w:hAnsi="Arial"/>
                <w:color w:val="14181D"/>
                <w:sz w:val="15"/>
                <w:szCs w:val="15"/>
              </w:rPr>
              <w:t xml:space="preserve"> Ten room data sheet lines name a product — a 1.0 kW panel heater, 2.0 mm cushioned vinyl, a close-coupled WC — where the requirement is a performance.</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This inverts the risk I thought I was transferring. If I specify a 1.0 kW heater and the room does not reach temperature, that is the Employer's problem, not the contractor's. Specifying the solution takes back the design liability the package was supposed to place with the supplier.</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Decide per line. Where the Employer genuinely cares about the product (accessibility fittings, access control), specify it and accept the liability. Everywhere else state the performance: "maintain 21 °C at −4 °C external" rather than "1.0 kW panel heater".</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C0392B"/>
                <w:sz w:val="15"/>
                <w:szCs w:val="15"/>
              </w:rPr>
              <w:t xml:space="preserve">Fatal</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4.18 Access control</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The failure mode on fire alarm activation is not stated.</w:t>
            </w:r>
            <w:r>
              <w:rPr>
                <w:rFonts w:ascii="Arial" w:cs="Arial" w:eastAsia="Arial" w:hAnsi="Arial"/>
                <w:color w:val="14181D"/>
                <w:sz w:val="15"/>
                <w:szCs w:val="15"/>
              </w:rPr>
              <w:t xml:space="preserve"> Fail-safe or fail-secure is not mentioned anywhere.</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This is a life-safety interaction, and it is the single most serious omission in the document. Electronic locks on bedroom doors in sleeping accommodation must release on alarm, or must be demonstrated not to impede escape. Leaving it to the supplier's standard product is how people are trapped.</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State the requirement explicitly and reference it to the fire strategy. Add it to the cause-and-effect matrix at 4.15 and to the commissioning demonstration at 8.6.</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B07A1E"/>
                <w:sz w:val="15"/>
                <w:szCs w:val="15"/>
              </w:rPr>
              <w:t xml:space="preserve">Major</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Section 7</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liquidated damages, and no delay mechanism.</w:t>
            </w:r>
            <w:r>
              <w:rPr>
                <w:rFonts w:ascii="Arial" w:cs="Arial" w:eastAsia="Arial" w:hAnsi="Arial"/>
                <w:color w:val="14181D"/>
                <w:sz w:val="15"/>
                <w:szCs w:val="15"/>
              </w:rPr>
              <w:t xml:space="preserve"> The programme section states a fixed point and never says what happens if it is missed.</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The whole premise is that the village must be live before the first worker arrives. A requirement with no consequence attached is an aspiration. The tenderer prices no delay risk and the Employer carries it.</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State the LD rate and the milestones it attaches to, or state expressly that damages are at large under the subcontract. Either is defensible; silence is not.</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B07A1E"/>
                <w:sz w:val="15"/>
                <w:szCs w:val="15"/>
              </w:rPr>
              <w:t xml:space="preserve">Major</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Section 8 / 9</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defects liability regime.</w:t>
            </w:r>
            <w:r>
              <w:rPr>
                <w:rFonts w:ascii="Arial" w:cs="Arial" w:eastAsia="Arial" w:hAnsi="Arial"/>
                <w:color w:val="14181D"/>
                <w:sz w:val="15"/>
                <w:szCs w:val="15"/>
              </w:rPr>
              <w:t xml:space="preserve"> No period, no response times, no rectification standard, no retention linkage.</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The village is occupied for 38 months. A defect in month four is a resident's bedroom out of service and a cost to P5. Without response times there is no obligation to attend.</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Add a defects section: period, categories by severity, response and rectification times per category, out-of-hours arrangements, and what happens when a room is out of service.</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B07A1E"/>
                <w:sz w:val="15"/>
                <w:szCs w:val="15"/>
              </w:rPr>
              <w:t xml:space="preserve">Major</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Section 4</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temporary works regime.</w:t>
            </w:r>
            <w:r>
              <w:rPr>
                <w:rFonts w:ascii="Arial" w:cs="Arial" w:eastAsia="Arial" w:hAnsi="Arial"/>
                <w:color w:val="14181D"/>
                <w:sz w:val="15"/>
                <w:szCs w:val="15"/>
              </w:rPr>
              <w:t xml:space="preserve"> Craneage is mentioned at 10.2 but there is no temporary works design, category or independent-check requirement.</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Setting volumetric modules is a significant temporary works operation. Without a stated regime the tenderer decides its own, and the Employer has no basis to check it.</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Add a clause: temporary works designs by a competent designer, category per BS 5975, independent check to the stated category, a temporary works coordinator named, and designs submitted before the operation.</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B07A1E"/>
                <w:sz w:val="15"/>
                <w:szCs w:val="15"/>
              </w:rPr>
              <w:t xml:space="preserve">Major</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Section 2 / 3</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relocation requirement, but a 25-year design life is imposed.</w:t>
            </w:r>
            <w:r>
              <w:rPr>
                <w:rFonts w:ascii="Arial" w:cs="Arial" w:eastAsia="Arial" w:hAnsi="Arial"/>
                <w:color w:val="14181D"/>
                <w:sz w:val="15"/>
                <w:szCs w:val="15"/>
              </w:rPr>
              <w:t xml:space="preserve"> Clause 4.2 requires 25 years "to permit relocation", yet the document never states that relocation is required, where to, or to what standard.</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This is a cost with no stated benefit. Twenty-five years for a 38-month deployment is either a deliberate residual-value decision or an accident. If it is deliberate it belongs in the commercial section as a client asset strategy; if it is not, it is money spent for nothing.</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Decide. Either state the relocation requirement — number of relocations, condition on re-erection, who dismantles — or reduce the design life and say why.</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B07A1E"/>
                <w:sz w:val="15"/>
                <w:szCs w:val="15"/>
              </w:rPr>
              <w:t xml:space="preserve">Major</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New section</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information requirements.</w:t>
            </w:r>
            <w:r>
              <w:rPr>
                <w:rFonts w:ascii="Arial" w:cs="Arial" w:eastAsia="Arial" w:hAnsi="Arial"/>
                <w:color w:val="14181D"/>
                <w:sz w:val="15"/>
                <w:szCs w:val="15"/>
              </w:rPr>
              <w:t xml:space="preserve"> Nothing on BIM, model format, level of information, asset data, or the format P5 needs the asset register in.</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Clause 9 asks for an asset register "in the format required by P5" and never says what that is. P5 is not appointed yet. The obligation is therefore unpriceable and will be argued about at handover.</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Add an information requirements section: model and drawing formats, level of information need, asset data schema, and the handover data structure — defined now, not left to a party who does not yet exist.</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B07A1E"/>
                <w:sz w:val="15"/>
                <w:szCs w:val="15"/>
              </w:rPr>
              <w:t xml:space="preserve">Major</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New section</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site constraints section.</w:t>
            </w:r>
            <w:r>
              <w:rPr>
                <w:rFonts w:ascii="Arial" w:cs="Arial" w:eastAsia="Arial" w:hAnsi="Arial"/>
                <w:color w:val="14181D"/>
                <w:sz w:val="15"/>
                <w:szCs w:val="15"/>
              </w:rPr>
              <w:t xml:space="preserve"> Access hours, laydown allocation, storage, the tenderer's own welfare, parking for its operatives, site rules and inductions are all absent.</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The tenderer prices installation without knowing where it can put anything or when it can work. On a live site adjacent to an operating village, these are real costs and real programme.</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Add a site constraints section, cross-referenced to the CEMP and the planning conditions.</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B07A1E"/>
                <w:sz w:val="15"/>
                <w:szCs w:val="15"/>
              </w:rPr>
              <w:t xml:space="preserve">Major</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4.13 Electrical</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supply characteristics.</w:t>
            </w:r>
            <w:r>
              <w:rPr>
                <w:rFonts w:ascii="Arial" w:cs="Arial" w:eastAsia="Arial" w:hAnsi="Arial"/>
                <w:color w:val="14181D"/>
                <w:sz w:val="15"/>
                <w:szCs w:val="15"/>
              </w:rPr>
              <w:t xml:space="preserve"> No voltage, phases, fault level, earthing arrangement, maximum demand per block, metering or surge protection.</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The tenderer cannot design the distribution without them. It will either qualify the tender or guess, and a guess about fault level is a safety matter.</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State the supply at the termination point: voltage, phases, prospective fault current, earthing arrangement, and the maximum demand allocated per block. Add sub-metering per block and surge protection to BS 7671.</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B07A1E"/>
                <w:sz w:val="15"/>
                <w:szCs w:val="15"/>
              </w:rPr>
              <w:t xml:space="preserve">Major</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4.11 / 4.12 Water</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supply characteristics and no metering.</w:t>
            </w:r>
            <w:r>
              <w:rPr>
                <w:rFonts w:ascii="Arial" w:cs="Arial" w:eastAsia="Arial" w:hAnsi="Arial"/>
                <w:color w:val="14181D"/>
                <w:sz w:val="15"/>
                <w:szCs w:val="15"/>
              </w:rPr>
              <w:t xml:space="preserve"> Pressure, flow rate and static head at the termination point are not stated; there is no isolation strategy per block and no water treatment requirement.</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Same as G10. A booster set may or may not be required and nobody can tell from this document.</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State pressure and flow at the termination point, require isolation per block for maintenance without emptying the village, and state whether treatment is required.</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5B6672"/>
                <w:sz w:val="15"/>
                <w:szCs w:val="15"/>
              </w:rPr>
              <w:t xml:space="preserve">Significant</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4.15 Fire alarm</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evacuation strategy.</w:t>
            </w:r>
            <w:r>
              <w:rPr>
                <w:rFonts w:ascii="Arial" w:cs="Arial" w:eastAsia="Arial" w:hAnsi="Arial"/>
                <w:color w:val="14181D"/>
                <w:sz w:val="15"/>
                <w:szCs w:val="15"/>
              </w:rPr>
              <w:t xml:space="preserve"> Simultaneous or phased evacuation is not stated, there is no decision on voice alarm, and no interface with the construction site alarm is described.</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The alarm design follows from the evacuation strategy. Specifying a category without it is specifying half the system.</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State the strategy, reference the fire strategy at Appendix 2, decide on PAVA, and describe the interface with the site alarm during the period when installation and occupation overlap.</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5B6672"/>
                <w:sz w:val="15"/>
                <w:szCs w:val="15"/>
              </w:rPr>
              <w:t xml:space="preserve">Significant</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6 Performance</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Air permeability at 5.0 m³/(h·m²) at 50 Pa is tight for volumetric modular.</w:t>
            </w:r>
            <w:r>
              <w:rPr>
                <w:rFonts w:ascii="Arial" w:cs="Arial" w:eastAsia="Arial" w:hAnsi="Arial"/>
                <w:color w:val="14181D"/>
                <w:sz w:val="15"/>
                <w:szCs w:val="15"/>
              </w:rPr>
              <w:t xml:space="preserve"> Inter-module joints are the weakness, and this figure is closer to a new-build dwelling standard.</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Every tenderer will either qualify it or price a premium for a risk they cannot easily control. Both outcomes damage the comparison.</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Either relax to a figure achievable in volumetric construction and state the reason, or keep it and be explicit that it is a deliberate requirement with a cost — and check it against the overheating and ventilation strategy, which are affected.</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5B6672"/>
                <w:sz w:val="15"/>
                <w:szCs w:val="15"/>
              </w:rPr>
              <w:t xml:space="preserve">Significant</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4.2 Structure</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deflection limits, no serviceability criteria, and no temporary-condition loading during installation.</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 module that meets ultimate limit state can still be unacceptable in service — bouncing floors and cracking finishes. And the lift condition is often the governing case.</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Add deflection limits for floors and walls, a vibration criterion, and a requirement to design for the temporary condition including lifting and part-completed stability.</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5B6672"/>
                <w:sz w:val="15"/>
                <w:szCs w:val="15"/>
              </w:rPr>
              <w:t xml:space="preserve">Significant</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New</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change control.</w:t>
            </w:r>
            <w:r>
              <w:rPr>
                <w:rFonts w:ascii="Arial" w:cs="Arial" w:eastAsia="Arial" w:hAnsi="Arial"/>
                <w:color w:val="14181D"/>
                <w:sz w:val="15"/>
                <w:szCs w:val="15"/>
              </w:rPr>
              <w:t xml:space="preserve"> Nothing on how a variation is instructed, valued or programmed.</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On a 38-month village with five packages, change is certain. Without a stated mechanism it is negotiated each time from nothing.</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Add a change control clause with instruction route, valuation basis, and the requirement to state programme effect at the time rather than later.</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5B6672"/>
                <w:sz w:val="15"/>
                <w:szCs w:val="15"/>
              </w:rPr>
              <w:t xml:space="preserve">Significant</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Section 7</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Float ownership is not stated.</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The classic dispute. Whoever owns the float owns the delay.</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State it. Project float is owned by the project, not by whoever consumes it first — or state the opposite. Either is defensible; silence guarantees an argument.</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5B6672"/>
                <w:sz w:val="15"/>
                <w:szCs w:val="15"/>
              </w:rPr>
              <w:t xml:space="preserve">Significant</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New</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sustainability, embodied carbon or social value requirement.</w:t>
            </w:r>
            <w:r>
              <w:rPr>
                <w:rFonts w:ascii="Arial" w:cs="Arial" w:eastAsia="Arial" w:hAnsi="Arial"/>
                <w:color w:val="14181D"/>
                <w:sz w:val="15"/>
                <w:szCs w:val="15"/>
              </w:rPr>
              <w:t xml:space="preserve"> The ITT evaluates social value at 5% and the ER never asks for it.</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My own two documents contradict each other. A tenderer is marked on something the requirements never required.</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Add the requirement to the ER, or remove the criterion from the ITT. They must match.</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5B6672"/>
                <w:sz w:val="15"/>
                <w:szCs w:val="15"/>
              </w:rPr>
              <w:t xml:space="preserve">Significant</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4.3 / 4.4 Envelope</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weathertightness testing, no colour fastness, no maintenance access to the roof.</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The envelope is the thing most likely to fail in service and the hardest to fix once occupied.</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Add a hose test or equivalent to a stated standard, a colour fastness requirement, and safe access provision for roof maintenance.</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8A8A8A"/>
                <w:sz w:val="15"/>
                <w:szCs w:val="15"/>
              </w:rPr>
              <w:t xml:space="preserve">Moderate</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Room data sheets</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drainage detail within the module.</w:t>
            </w:r>
            <w:r>
              <w:rPr>
                <w:rFonts w:ascii="Arial" w:cs="Arial" w:eastAsia="Arial" w:hAnsi="Arial"/>
                <w:color w:val="14181D"/>
                <w:sz w:val="15"/>
                <w:szCs w:val="15"/>
              </w:rPr>
              <w:t xml:space="preserve"> No falls, trap seal depths, rodding access or the interface with the P1 connection.</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Trap seals drying out in intermittently occupied rooms is a real and unpleasant problem in workforce accommodation.</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Add trap seal depth, a requirement for anti-vac or waterless traps where rooms may be unoccupied, and rodding access.</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8A8A8A"/>
                <w:sz w:val="15"/>
                <w:szCs w:val="15"/>
              </w:rPr>
              <w:t xml:space="preserve">Moderate</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New</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obsolescence or support period</w:t>
            </w:r>
            <w:r>
              <w:rPr>
                <w:rFonts w:ascii="Arial" w:cs="Arial" w:eastAsia="Arial" w:hAnsi="Arial"/>
                <w:color w:val="14181D"/>
                <w:sz w:val="15"/>
                <w:szCs w:val="15"/>
              </w:rPr>
              <w:t xml:space="preserve"> for proprietary systems — access control, alarm, the management system.</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 proprietary lock system unsupported in year three is a village-wide replacement.</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Require a minimum support and spares availability period, and an escrow or open-protocol requirement for the management system.</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8A8A8A"/>
                <w:sz w:val="15"/>
                <w:szCs w:val="15"/>
              </w:rPr>
              <w:t xml:space="preserve">Moderate</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Section 8.3</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The sample room has no inspection checklist.</w:t>
            </w:r>
            <w:r>
              <w:rPr>
                <w:rFonts w:ascii="Arial" w:cs="Arial" w:eastAsia="Arial" w:hAnsi="Arial"/>
                <w:color w:val="14181D"/>
                <w:sz w:val="15"/>
                <w:szCs w:val="15"/>
              </w:rPr>
              <w:t xml:space="preserve"> It is required, but what is checked against what is not defined.</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 benchmark nobody has agreed the criteria for is a benchmark that gets argued about.</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 Attach a sample room inspection checklist, signed by both parties, and make acceptance of it a condition precedent to the first production delivery.</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8A8A8A"/>
                <w:sz w:val="15"/>
                <w:szCs w:val="15"/>
              </w:rPr>
              <w:t xml:space="preserve">Moderate</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New</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definitions section</w:t>
            </w:r>
            <w:r>
              <w:rPr>
                <w:rFonts w:ascii="Arial" w:cs="Arial" w:eastAsia="Arial" w:hAnsi="Arial"/>
                <w:color w:val="14181D"/>
                <w:sz w:val="15"/>
                <w:szCs w:val="15"/>
              </w:rPr>
              <w:t xml:space="preserve">, and no abbreviations list. AFFL, PTV, TMV3, REI and DnT,w are used without definition.</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Standard in any specification. Its absence reads as a document written by somebody who does not write these often.</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Add one.</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8A8A8A"/>
                <w:sz w:val="15"/>
                <w:szCs w:val="15"/>
              </w:rPr>
              <w:t xml:space="preserve">Moderate</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10 HSE</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modern slavery or ethical labour requirement</w:t>
            </w:r>
            <w:r>
              <w:rPr>
                <w:rFonts w:ascii="Arial" w:cs="Arial" w:eastAsia="Arial" w:hAnsi="Arial"/>
                <w:color w:val="14181D"/>
                <w:sz w:val="15"/>
                <w:szCs w:val="15"/>
              </w:rPr>
              <w:t xml:space="preserve">, and no requirement about the labour standards in the module factory.</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Volumetric modules are often manufactured offshore. For a public-sector or framework client this is a live procurement requirement, not a nicety.</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Add it, including the right to audit the place of manufacture.</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8A8A8A"/>
                <w:sz w:val="15"/>
                <w:szCs w:val="15"/>
              </w:rPr>
              <w:t xml:space="preserve">Moderate</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4.14 / 4.20</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Two clauses contain no measurable requirement at all</w:t>
            </w:r>
            <w:r>
              <w:rPr>
                <w:rFonts w:ascii="Arial" w:cs="Arial" w:eastAsia="Arial" w:hAnsi="Arial"/>
                <w:color w:val="14181D"/>
                <w:sz w:val="15"/>
                <w:szCs w:val="15"/>
              </w:rPr>
              <w:t xml:space="preserve"> — plant access and signage are stated as intentions.</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Unmeasurable requirements are unenforceable.</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Give them numbers: access dimensions and clearances; signage character heights, contrast ratios and mounting heights.</w:t>
            </w:r>
          </w:p>
        </w:tc>
      </w:tr>
      <w:tr>
        <w:tc>
          <w:tcPr>
            <w:tcW w:type="dxa" w:w="6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
            </w:r>
          </w:p>
        </w:tc>
        <w:tc>
          <w:tcPr>
            <w:tcW w:type="dxa" w:w="10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8A8A8A"/>
                <w:sz w:val="15"/>
                <w:szCs w:val="15"/>
              </w:rPr>
              <w:t xml:space="preserve">Moderate</w:t>
            </w:r>
          </w:p>
        </w:tc>
        <w:tc>
          <w:tcPr>
            <w:tcW w:type="dxa" w:w="118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Section 11</w:t>
            </w:r>
          </w:p>
        </w:tc>
        <w:tc>
          <w:tcPr>
            <w:tcW w:type="dxa" w:w="210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b/>
                <w:bCs/>
                <w:color w:val="14181D"/>
                <w:sz w:val="15"/>
                <w:szCs w:val="15"/>
              </w:rPr>
              <w:t xml:space="preserve">No security requirement for modules in transit or in storage on site.</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Fitted-out modules are a theft target, and a stripped module found at 6am is a programme event.</w:t>
            </w:r>
          </w:p>
        </w:tc>
        <w:tc>
          <w:tcPr>
            <w:tcW w:type="dxa" w:w="2020"/>
            <w:tcBorders>
              <w:top w:val="single" w:color="D5D5D5" w:sz="2"/>
              <w:left w:val="single" w:color="D5D5D5" w:sz="2"/>
              <w:bottom w:val="single" w:color="D5D5D5" w:sz="2"/>
              <w:right w:val="single" w:color="D5D5D5" w:sz="2"/>
            </w:tcBorders>
            <w:tcMar>
              <w:top w:type="dxa" w:w="70"/>
              <w:left w:type="dxa" w:w="90"/>
              <w:bottom w:type="dxa" w:w="70"/>
              <w:right w:type="dxa" w:w="90"/>
            </w:tcMar>
          </w:tcPr>
          <w:p>
            <w:pPr>
              <w:spacing w:after="20" w:before="20" w:line="240"/>
            </w:pPr>
            <w:r>
              <w:rPr>
                <w:rFonts w:ascii="Arial" w:cs="Arial" w:eastAsia="Arial" w:hAnsi="Arial"/>
                <w:color w:val="14181D"/>
                <w:sz w:val="15"/>
                <w:szCs w:val="15"/>
              </w:rPr>
              <w:t xml:space="preserve">State the requirement and where the risk sits before setting and acceptance.</w:t>
            </w:r>
          </w:p>
        </w:tc>
      </w:tr>
    </w:tbl>
    <w:p>
      <w:r>
        <w:br w:type="page"/>
      </w:r>
    </w:p>
    <w:p>
      <w:pPr>
        <w:pStyle w:val="Heading1"/>
        <w:spacing w:after="130" w:before="340"/>
      </w:pPr>
      <w:r>
        <w:rPr>
          <w:rFonts w:ascii="Arial" w:cs="Arial" w:eastAsia="Arial" w:hAnsi="Arial"/>
          <w:b/>
          <w:bCs/>
          <w:color w:val="14181D"/>
          <w:sz w:val="28"/>
          <w:szCs w:val="28"/>
        </w:rPr>
        <w:t xml:space="preserve">The two that matter most</w:t>
      </w:r>
    </w:p>
    <w:p>
      <w:pPr>
        <w:spacing w:after="70" w:before="70" w:line="260"/>
      </w:pPr>
      <w:r>
        <w:rPr>
          <w:rFonts w:ascii="Arial" w:cs="Arial" w:eastAsia="Arial" w:hAnsi="Arial"/>
          <w:b/>
          <w:bCs/>
          <w:color w:val="14181D"/>
          <w:sz w:val="19"/>
          <w:szCs w:val="19"/>
        </w:rPr>
        <w:t xml:space="preserve">G01 — no design responsibility matrix.</w:t>
      </w:r>
      <w:r>
        <w:rPr>
          <w:rFonts w:ascii="Arial" w:cs="Arial" w:eastAsia="Arial" w:hAnsi="Arial"/>
          <w:color w:val="14181D"/>
          <w:sz w:val="19"/>
          <w:szCs w:val="19"/>
        </w:rPr>
        <w:t xml:space="preserve"> Everything else on this list is a clause that can be added. This one is structural. A modular accommodation package is bought either as a contractor-designed package against performance requirements, or as construction to the Employer's design, and the price, the programme and the liability are different in each case. The document never says which. Every competent tenderer will qualify its return, and qualified returns cannot be compared — which quietly defeats the evaluation model built to compare them.</w:t>
      </w:r>
    </w:p>
    <w:p>
      <w:pPr>
        <w:spacing w:after="70" w:before="70" w:line="260"/>
      </w:pPr>
      <w:r>
        <w:rPr>
          <w:rFonts w:ascii="Arial" w:cs="Arial" w:eastAsia="Arial" w:hAnsi="Arial"/>
          <w:b/>
          <w:bCs/>
          <w:color w:val="14181D"/>
          <w:sz w:val="19"/>
          <w:szCs w:val="19"/>
        </w:rPr>
        <w:t xml:space="preserve">G02 — the specification takes back the risk it was meant to transfer.</w:t>
      </w:r>
      <w:r>
        <w:rPr>
          <w:rFonts w:ascii="Arial" w:cs="Arial" w:eastAsia="Arial" w:hAnsi="Arial"/>
          <w:color w:val="14181D"/>
          <w:sz w:val="19"/>
          <w:szCs w:val="19"/>
        </w:rPr>
        <w:t xml:space="preserve"> Ten lines of the room data sheet name a product rather than a performance. Specifying a 1.0 kW panel heater rather than "maintain 21 °C at −4 °C external" means that if the room is cold, the Employer specified the heater and the Employer owns the problem. That is the opposite of what a performance specification is for. The fix is not to make everything performance-based — an Employer is entitled to specify the accessible WC it wants — but to decide, line by line, which it is doing and to accept the liability that follows.</w:t>
      </w:r>
    </w:p>
    <w:p>
      <w:pPr>
        <w:spacing w:after="70" w:before="70" w:line="260"/>
      </w:pPr>
      <w:r>
        <w:rPr>
          <w:rFonts w:ascii="Arial" w:cs="Arial" w:eastAsia="Arial" w:hAnsi="Arial"/>
          <w:b/>
          <w:bCs/>
          <w:color w:val="C0392B"/>
          <w:sz w:val="19"/>
          <w:szCs w:val="19"/>
        </w:rPr>
        <w:t xml:space="preserve">G03 is the one that would matter at an inquiry.</w:t>
      </w:r>
      <w:r>
        <w:rPr>
          <w:rFonts w:ascii="Arial" w:cs="Arial" w:eastAsia="Arial" w:hAnsi="Arial"/>
          <w:color w:val="C0392B"/>
          <w:sz w:val="19"/>
          <w:szCs w:val="19"/>
        </w:rPr>
        <w:t xml:space="preserve"> Electronic locks on bedroom doors in sleeping accommodation, and no statement anywhere of what they do when the fire alarm sounds. It is a single sentence to fix and it should never have been absent.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5"/>
        <w:szCs w:val="15"/>
      </w:rPr>
      <w:t xml:space="preserve">Page </w:t>
    </w:r>
    <w:r>
      <w:rPr>
        <w:rFonts w:ascii="Arial" w:cs="Arial" w:eastAsia="Arial" w:hAnsi="Arial"/>
        <w:color w:val="5B6672"/>
        <w:sz w:val="15"/>
        <w:szCs w:val="15"/>
      </w:rPr>
      <w:fldChar w:fldCharType="begin"/>
      <w:instrText xml:space="preserve">PAGE</w:instrText>
      <w:fldChar w:fldCharType="separate"/>
      <w:fldChar w:fldCharType="end"/>
    </w:r>
    <w:r>
      <w:rPr>
        <w:rFonts w:ascii="Arial" w:cs="Arial" w:eastAsia="Arial" w:hAnsi="Arial"/>
        <w:color w:val="5B6672"/>
        <w:sz w:val="15"/>
        <w:szCs w:val="15"/>
      </w:rPr>
      <w:t xml:space="preserve"> of </w:t>
    </w:r>
    <w:r>
      <w:rPr>
        <w:rFonts w:ascii="Arial" w:cs="Arial" w:eastAsia="Arial" w:hAnsi="Arial"/>
        <w:color w:val="5B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7A3C" w:sz="6"/>
      </w:pBdr>
    </w:pPr>
    <w:r>
      <w:rPr>
        <w:rFonts w:ascii="Arial" w:cs="Arial" w:eastAsia="Arial" w:hAnsi="Arial"/>
        <w:color w:val="5B6672"/>
        <w:sz w:val="15"/>
        <w:szCs w:val="15"/>
      </w:rPr>
      <w:t xml:space="preserve">ETABLIX   ·   Gap register   ·   Employer's Requirements P2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register — ER P2 Rev A</dc:title>
  <dc:creator>ETABLIX</dc:creator>
  <cp:lastModifiedBy>Un-named</cp:lastModifiedBy>
  <cp:revision>1</cp:revision>
  <dcterms:created xsi:type="dcterms:W3CDTF">2026-09-07T22:43:43.601Z</dcterms:created>
  <dcterms:modified xsi:type="dcterms:W3CDTF">2026-09-07T22:43:43.612Z</dcterms:modified>
</cp:coreProperties>
</file>

<file path=docProps/custom.xml><?xml version="1.0" encoding="utf-8"?>
<Properties xmlns="http://schemas.openxmlformats.org/officeDocument/2006/custom-properties" xmlns:vt="http://schemas.openxmlformats.org/officeDocument/2006/docPropsVTypes"/>
</file>