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TECHNICAL AND PROFESSIONAL ABILITY</w:t>
      </w:r>
    </w:p>
    <w:p>
      <w:pPr>
        <w:spacing w:after="0" w:before="0"/>
      </w:pPr>
      <w:r>
        <w:rPr>
          <w:rFonts w:ascii="Arial" w:cs="Arial" w:eastAsia="Arial" w:hAnsi="Arial"/>
          <w:b/>
          <w:bCs/>
          <w:color w:val="14181D"/>
          <w:sz w:val="44"/>
          <w:szCs w:val="44"/>
        </w:rPr>
        <w:t xml:space="preserve">DIRECTOR'S EXPERIENCE</w:t>
      </w:r>
    </w:p>
    <w:p>
      <w:pPr>
        <w:spacing w:after="420" w:before="60"/>
      </w:pPr>
      <w:r>
        <w:rPr>
          <w:rFonts w:ascii="Arial" w:cs="Arial" w:eastAsia="Arial" w:hAnsi="Arial"/>
          <w:color w:val="5B6672"/>
          <w:sz w:val="26"/>
          <w:szCs w:val="26"/>
        </w:rPr>
        <w:t xml:space="preserve">submitted in place of company contract examples, as the assessment team confirmed is permitted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Director's relevant experience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Company</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 Company No. 15405437</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Director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Basis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Confirmed in writing by the assessment team: relevant director's experience may be used where the company is newly established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21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experience below was performed by the director as an employee of the organisations named. It is not presented as work performed by ETABLIX.</w:t>
            </w:r>
          </w:p>
        </w:tc>
      </w:tr>
    </w:tbl>
    <w:p>
      <w:pPr>
        <w:spacing w:after="300" w:before="90" w:line="280"/>
      </w:pPr>
      <w:r>
        <w:rPr>
          <w:rFonts w:ascii="Arial" w:cs="Arial" w:eastAsia="Arial" w:hAnsi="Arial"/>
          <w:color w:val="14181D"/>
          <w:sz w:val="20"/>
          <w:szCs w:val="20"/>
        </w:rPr>
        <w:t xml:space="preserve"/>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Basis on which this is submitted</w:t>
      </w:r>
    </w:p>
    <w:p>
      <w:pPr>
        <w:spacing w:after="90" w:before="90" w:line="280"/>
      </w:pPr>
      <w:r>
        <w:rPr>
          <w:rFonts w:ascii="Arial" w:cs="Arial" w:eastAsia="Arial" w:hAnsi="Arial"/>
          <w:b/>
          <w:bCs/>
          <w:color w:val="14181D"/>
          <w:sz w:val="20"/>
          <w:szCs w:val="20"/>
        </w:rPr>
        <w:t xml:space="preserve">ETABLIX has not yet completed a contract in its own name, and does not present work performed by other organisations as its own. </w:t>
      </w:r>
      <w:r>
        <w:rPr>
          <w:rFonts w:ascii="Arial" w:cs="Arial" w:eastAsia="Arial" w:hAnsi="Arial"/>
          <w:color w:val="14181D"/>
          <w:sz w:val="20"/>
          <w:szCs w:val="20"/>
        </w:rPr>
        <w:t xml:space="preserve">This document is submitted following the assessment team's written confirmation that relevant director's experience may be used where the company is newly established, and that the experience must be relevant to the categories applied for.</w:t>
      </w:r>
    </w:p>
    <w:p>
      <w:pPr>
        <w:spacing w:after="90" w:before="90" w:line="280"/>
      </w:pPr>
      <w:r>
        <w:rPr>
          <w:rFonts w:ascii="Arial" w:cs="Arial" w:eastAsia="Arial" w:hAnsi="Arial"/>
          <w:color w:val="14181D"/>
          <w:sz w:val="20"/>
          <w:szCs w:val="20"/>
        </w:rPr>
        <w:t xml:space="preserve">Everything below was performed by Justin Ngolu Nseya as an employee of the organisation named against it. The organisations are named and the dates are stated. Section 5 sets out what a referee can and cannot confirm.</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Section 6 states what this record does not cover. It is there because relevance is the test the assessment team set, and a document claiming everything is relevant is read as one nobody checked.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The director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5600"/>
      </w:tblGrid>
      <w:tr>
        <w:trPr>
          <w:tblHeader/>
        </w:trPr>
        <w:tc>
          <w:tcPr>
            <w:tcW w:type="dxa" w:w="2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Position</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Managing Director, JNN GLOBAL LTD trading as ETABLIX</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Chartered status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MCIOB — Chartered Construction Manager, Chartered Institute of Building</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Degrees</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MSc BIM Management (Middlesex University) · BSc (Hons) Construction Management (Birmingham City University)</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Project management</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APMP Project Management Qualification · PRINCE2 Foundation</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Construction</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CDM 2015 Principal Designer training · CSCS card</w:t>
            </w:r>
          </w:p>
        </w:tc>
      </w:tr>
      <w:tr>
        <w:tc>
          <w:tcPr>
            <w:tcW w:type="dxa" w:w="2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Systems</w:t>
            </w:r>
          </w:p>
        </w:tc>
        <w:tc>
          <w:tcPr>
            <w:tcW w:type="dxa" w:w="5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Primavera P6 · Microsoft Project · CEMAR · Revit · Navisworks · common data environments</w:t>
            </w:r>
          </w:p>
        </w:tc>
      </w:tr>
      <w:tr>
        <w:tc>
          <w:tcPr>
            <w:tcW w:type="dxa" w:w="2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Languages</w:t>
            </w:r>
          </w:p>
        </w:tc>
        <w:tc>
          <w:tcPr>
            <w:tcW w:type="dxa" w:w="5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English (fluent) · French (native)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CDM 2015 Principal Designer training is training. It is not an appointment, and no claim is made to have held the duty holder role. Where a client wishes ETABLIX to hold a duty holder role it is appointed expressly and in writing.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Experience mapped to the categories applied for</w:t>
      </w:r>
    </w:p>
    <w:p>
      <w:pPr>
        <w:spacing w:after="90" w:before="90" w:line="280"/>
      </w:pPr>
      <w:r>
        <w:rPr>
          <w:rFonts w:ascii="Arial" w:cs="Arial" w:eastAsia="Arial" w:hAnsi="Arial"/>
          <w:color w:val="14181D"/>
          <w:sz w:val="20"/>
          <w:szCs w:val="20"/>
        </w:rPr>
        <w:t xml:space="preserve">Ordered by relevance to the service being applied for rather than by date. The full chronology is at section 3.2 and the schemes are at section 4.</w:t>
      </w:r>
    </w:p>
    <w:p>
      <w:pPr>
        <w:pStyle w:val="Heading2"/>
        <w:keepNext/>
        <w:spacing w:after="110" w:before="260"/>
      </w:pPr>
      <w:r>
        <w:rPr>
          <w:rFonts w:ascii="Arial" w:cs="Arial" w:eastAsia="Arial" w:hAnsi="Arial"/>
          <w:b/>
          <w:bCs/>
          <w:color w:val="9C7A3C"/>
          <w:sz w:val="21"/>
          <w:szCs w:val="21"/>
        </w:rPr>
        <w:t xml:space="preserve">3.1  The scope that matches the service being applied for</w:t>
      </w:r>
    </w:p>
    <w:p>
      <w:pPr>
        <w:spacing w:after="90" w:before="90" w:line="280"/>
      </w:pPr>
      <w:r>
        <w:rPr>
          <w:rFonts w:ascii="Arial" w:cs="Arial" w:eastAsia="Arial" w:hAnsi="Arial"/>
          <w:b/>
          <w:bCs/>
          <w:color w:val="14181D"/>
          <w:sz w:val="20"/>
          <w:szCs w:val="20"/>
        </w:rPr>
        <w:t xml:space="preserve">At GE Vernova – Grid Solutions the director was the single person accountable for planning, procuring, integrating and controlling the temporary infrastructure and workforce-living systems that keep major projects operational. </w:t>
      </w:r>
      <w:r>
        <w:rPr>
          <w:rFonts w:ascii="Arial" w:cs="Arial" w:eastAsia="Arial" w:hAnsi="Arial"/>
          <w:color w:val="14181D"/>
          <w:sz w:val="20"/>
          <w:szCs w:val="20"/>
        </w:rPr>
        <w:t xml:space="preserve">The role was held across multiple concurrent sites, from tender stage through to handover, across Northern and Southern Europe including the United Kingdom and the Republic of Ireland. Clients dealt with one accountable interface covering the whole cycle: initial requirements, mobilisation, daily operation, demobilisation and reinstatement.</w:t>
      </w:r>
    </w:p>
    <w:p>
      <w:pPr>
        <w:spacing w:after="90" w:before="90" w:line="280"/>
      </w:pPr>
      <w:r>
        <w:rPr>
          <w:rFonts w:ascii="Arial" w:cs="Arial" w:eastAsia="Arial" w:hAnsi="Arial"/>
          <w:color w:val="14181D"/>
          <w:sz w:val="20"/>
          <w:szCs w:val="20"/>
        </w:rPr>
        <w:t xml:space="preserve">That cycle is set out below because it is the same cycle being applied for here, and because an assessor should be able to see the match without being asked to infer it.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900"/>
        <w:gridCol w:w="6400"/>
      </w:tblGrid>
      <w:tr>
        <w:trPr>
          <w:tblHeader/>
        </w:trPr>
        <w:tc>
          <w:tcPr>
            <w:tcW w:type="dxa" w:w="1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Stage</w:t>
            </w:r>
          </w:p>
        </w:tc>
        <w:tc>
          <w:tcPr>
            <w:tcW w:type="dxa" w:w="6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the director was accountable for</w:t>
            </w:r>
          </w:p>
        </w:tc>
      </w:tr>
      <w:tr>
        <w:tc>
          <w:tcPr>
            <w:tcW w:type="dxa" w:w="1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Requirements</w:t>
            </w:r>
          </w:p>
        </w:tc>
        <w:tc>
          <w:tcPr>
            <w:tcW w:type="dxa" w:w="6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Establishing what a site actually needed — headcount, shift pattern, duration, location, ground and consent constraints — and converting that into a specification and a budget at tender stage, before a price existed.</w:t>
            </w:r>
          </w:p>
        </w:tc>
      </w:tr>
      <w:tr>
        <w:tc>
          <w:tcPr>
            <w:tcW w:type="dxa" w:w="1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Procurement</w:t>
            </w:r>
          </w:p>
        </w:tc>
        <w:tc>
          <w:tcPr>
            <w:tcW w:type="dxa" w:w="6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Specifying, sourcing and negotiating the accommodation, welfare, utilities and associated services against that specification; selecting the contractor and recommending the award, the order being placed by the sourcing function; and holding the resulting terms.</w:t>
            </w:r>
          </w:p>
        </w:tc>
      </w:tr>
      <w:tr>
        <w:tc>
          <w:tcPr>
            <w:tcW w:type="dxa" w:w="1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Integration</w:t>
            </w:r>
          </w:p>
        </w:tc>
        <w:tc>
          <w:tcPr>
            <w:tcW w:type="dxa" w:w="6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Fitting the temporary works and living systems into the construction programme, the site logistics and the wider engineering, HSE and commissioning interfaces, so that establishment did not sit outside the main sequence.</w:t>
            </w:r>
          </w:p>
        </w:tc>
      </w:tr>
      <w:tr>
        <w:tc>
          <w:tcPr>
            <w:tcW w:type="dxa" w:w="1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Mobilisation</w:t>
            </w:r>
          </w:p>
        </w:tc>
        <w:tc>
          <w:tcPr>
            <w:tcW w:type="dxa" w:w="6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Delivery, installation, connection and commissioning of the establishment to the point where the site could occupy it and work from it.</w:t>
            </w:r>
          </w:p>
        </w:tc>
      </w:tr>
      <w:tr>
        <w:tc>
          <w:tcPr>
            <w:tcW w:type="dxa" w:w="1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Daily operation</w:t>
            </w:r>
          </w:p>
        </w:tc>
        <w:tc>
          <w:tcPr>
            <w:tcW w:type="dxa" w:w="6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Servicing, maintenance, compliance, occupancy changes and problem resolution for the life of the establishment, as the single point of contact.</w:t>
            </w:r>
          </w:p>
        </w:tc>
      </w:tr>
      <w:tr>
        <w:tc>
          <w:tcPr>
            <w:tcW w:type="dxa" w:w="1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Demobilisation and reinstatement</w:t>
            </w:r>
          </w:p>
        </w:tc>
        <w:tc>
          <w:tcPr>
            <w:tcW w:type="dxa" w:w="6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Removal, off-hire, final account, and returning the land to the condition the agreement required — the stage most often left unpriced and therefore most often disputed.</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is the direct relevance link the assessment team asked for. It is the director's own record as an employee of GE Vernova. It is not presented as a contract performed by ETABLIX, and ETABLIX has performed none.</w:t>
      </w:r>
    </w:p>
    <w:p>
      <w:pPr>
        <w:pStyle w:val="Heading2"/>
        <w:keepNext/>
        <w:spacing w:after="110" w:before="260"/>
      </w:pPr>
      <w:r>
        <w:rPr>
          <w:rFonts w:ascii="Arial" w:cs="Arial" w:eastAsia="Arial" w:hAnsi="Arial"/>
          <w:b/>
          <w:bCs/>
          <w:color w:val="9C7A3C"/>
          <w:sz w:val="21"/>
          <w:szCs w:val="21"/>
        </w:rPr>
        <w:t xml:space="preserve">3.2  Supporting construction and programme management record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Capability</w:t>
            </w:r>
          </w:p>
        </w:tc>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Where it was performed</w:t>
            </w:r>
          </w:p>
        </w:tc>
        <w:tc>
          <w:tcPr>
            <w:tcW w:type="dxa" w:w="35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was actually done</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Temporary infrastructure and workforce-living systems</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 – Grid Solutions, UK, Ireland, Northern and Southern Europe, Dec 2022 – Dec 2025</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Sole accountability for planning, procuring, integrating and controlling site establishment and workforce-living systems across multiple concurrent sites, tender stage to handover. Includes the worker accommodation village on the Skye Reinforcement Project, defined across five packages and detailed at section 4.1. The cycle is set out at 3.1.</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Subcontractor and supply chain management</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 – Grid Solutions, Construction Subcontract Manager, UK, Ireland, Northern and Southern Europe, Dec 2022 – Dec 2025</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Construction delivery and subcontractor governance across major high-voltage power, grid and offshore wind infrastructure. Contractor performance, construction sequencing, logistics, programme milestones and delivery risk, with mitigation and recovery where progress or interfaces threatened delivery.</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Multi-discipline site coordination</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 – Grid Solutions</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Coordination across civil, electrical, mechanical, high-voltage and commissioning disciplines, acting as the interface between client, engineering and design teams, construction management, planners, HSE teams and subcontractors.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Commissioning and operational handover</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 – Grid Solutions</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Commissioning, energisation readiness and operational handover on complex grid infrastructure, including the 1,400 MW Sofia Offshore Wind Farm grid connection programme and the 132 kV Skye Reinforcement Project.</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Client-side programme delivery</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West Midlands Combined Authority, Programme Delivery Manager, Nov 2021 – Dec 2022</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Regional transport, construction, regeneration and public infrastructure. Design coordination through construction, commissioning and handover; contractors, consultants, delivery partners and stakeholder interfaces; milestones, commercial performance, risk and governance reported to senior leadership and authority boards.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Full lifecycle project management</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Mott MacDonald, Senior Project Manager, Oct 2018 – Nov 2021</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Education, rail, justice and public infrastructure. Design development and procurement support through construction, testing, commissioning and operational handover. Chaired progress and health and safety coordination meetings. New-build schools delivered across RIBA stages 0 to 7.</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Live operational environments</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Mott MacDonald</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Midland Main Line Upgrade — civil and MEP coordination in a live operational rail environment, with programme controls and earned value monitoring. Ministry of Justice — infrastructure upgrades within secure operational estates, balancing technical delivery against operational continuity.</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Project controls and assurance</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Turner &amp; Townsend, Project Manager, Aug 2015 – Aug 2017</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Schedule, risk, reporting, governance and delivery assurance across major national infrastructure programmes; procurement, contractor coordination and contract administration support.</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Site-level construction management</w:t>
            </w:r>
          </w:p>
        </w:tc>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William Davis, Midland Heart and Willmott Dixon, Assistant Construction Manager, 2012 – 2015</w:t>
            </w:r>
          </w:p>
        </w:tc>
        <w:tc>
          <w:tcPr>
            <w:tcW w:type="dxa" w:w="35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 operations, subcontractor coordination, construction sequencing, HSE compliance, quality inspections and programme monitoring on residential and public sector projects.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Current appointment</w:t>
            </w:r>
          </w:p>
        </w:tc>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Agence des Zones Économiques Spéciales (AZES RDC), Technical Director of Operations (contract), Jan 2026 to date</w:t>
            </w:r>
          </w:p>
        </w:tc>
        <w:tc>
          <w:tcPr>
            <w:tcW w:type="dxa" w:w="35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Executive technical and delivery leadership on large-scale industrial and economic-zone infrastructure: power, roads, water, logistics, utilities and industrial facilities, directing EPC contractors, consultants, technical advisers and delivery partners, and managing the interfaces between utilities, transport, industrial operations and government authorities. Recorded here because it is current, and because a record read against a curriculum vitae should not have a hole at the top of it.</w:t>
            </w:r>
          </w:p>
        </w:tc>
      </w:tr>
    </w:tbl>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Three schemes in detail</w:t>
      </w:r>
    </w:p>
    <w:p>
      <w:pPr>
        <w:spacing w:after="90" w:before="90" w:line="280"/>
      </w:pPr>
      <w:r>
        <w:rPr>
          <w:rFonts w:ascii="Arial" w:cs="Arial" w:eastAsia="Arial" w:hAnsi="Arial"/>
          <w:color w:val="14181D"/>
          <w:sz w:val="20"/>
          <w:szCs w:val="20"/>
        </w:rPr>
        <w:t xml:space="preserve">Strongest first. Each records what the director was personally accountable for, in the order the work happened.</w:t>
      </w:r>
    </w:p>
    <w:p>
      <w:pPr>
        <w:pStyle w:val="Heading2"/>
        <w:keepNext/>
        <w:spacing w:after="110" w:before="260"/>
      </w:pPr>
      <w:r>
        <w:rPr>
          <w:rFonts w:ascii="Arial" w:cs="Arial" w:eastAsia="Arial" w:hAnsi="Arial"/>
          <w:b/>
          <w:bCs/>
          <w:color w:val="9C7A3C"/>
          <w:sz w:val="21"/>
          <w:szCs w:val="21"/>
        </w:rPr>
        <w:t xml:space="preserve">4.1  Skye Reinforcement Project — worker accommodation village</w:t>
      </w:r>
    </w:p>
    <w:p>
      <w:pPr>
        <w:spacing w:after="90" w:before="90" w:line="280"/>
      </w:pPr>
      <w:r>
        <w:rPr>
          <w:rFonts w:ascii="Arial" w:cs="Arial" w:eastAsia="Arial" w:hAnsi="Arial"/>
          <w:color w:val="14181D"/>
          <w:sz w:val="20"/>
          <w:szCs w:val="20"/>
        </w:rPr>
        <w:t xml:space="preserve">The closest match in the record to the service being applied for, and offered first for that reason. The Skye Reinforcement Project replaces and reinforces the 132 kV network between Fort Augustus and the Isle of Skye. Within it, the director defined, procured and ran the worker accommodation village: the whole establishment, from the requirement through five separate packages to demobilisation and reinstatement, held by one person.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Employer</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 – Grid Solutions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Role held</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Construction Subcontract Manager</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Dates</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Dec 2022 – Dec 2025</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Location</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Fort Augustus to the Isle of Skye, Scotland</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Client / end client</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SSEN Transmission (scheme promoter)</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Scheme value</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£690 million (the promoter's value for the whole reinforcement scheme, not for the accommodation scope)</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Village capacity</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309 bedrooms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Duration of site establishment</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36 months</w:t>
            </w:r>
          </w:p>
        </w:tc>
      </w:tr>
    </w:tbl>
    <w:p>
      <w:pPr>
        <w:spacing w:after="90" w:before="90" w:line="280"/>
      </w:pPr>
      <w:r>
        <w:rPr>
          <w:rFonts w:ascii="Arial" w:cs="Arial" w:eastAsia="Arial" w:hAnsi="Arial"/>
          <w:b/>
          <w:bCs/>
          <w:color w:val="14181D"/>
          <w:sz w:val="20"/>
          <w:szCs w:val="20"/>
        </w:rPr>
        <w:t xml:space="preserve">The five packages, each specified by the director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6200"/>
      </w:tblGrid>
      <w:tr>
        <w:trPr>
          <w:tblHeader/>
        </w:trPr>
        <w:tc>
          <w:tcPr>
            <w:tcW w:type="dxa" w:w="2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Package</w:t>
            </w:r>
          </w:p>
        </w:tc>
        <w:tc>
          <w:tcPr>
            <w:tcW w:type="dxa" w:w="6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What was specified</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 · Civil works</w:t>
            </w:r>
          </w:p>
        </w:tc>
        <w:tc>
          <w:tcPr>
            <w:tcW w:type="dxa" w:w="6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Site preparation, groundworks, foundations, drainage, roads and hardstanding, and the utility connections the village would stand on, with the full requirement schedule behind each.</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 · Accommodation</w:t>
            </w:r>
          </w:p>
        </w:tc>
        <w:tc>
          <w:tcPr>
            <w:tcW w:type="dxa" w:w="6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Construction of the modular village itself — bedrooms, leisure space, offices, medical facility, laundry and the remaining welfare buildings — specified building by building.</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 · Furniture and fit-out</w:t>
            </w:r>
          </w:p>
        </w:tc>
        <w:tc>
          <w:tcPr>
            <w:tcW w:type="dxa" w:w="6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Everything that goes inside the buildings: the full furniture, fittings and equipment schedule across bedrooms, offices, leisure and welfare space.</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 · Kitchen and dining</w:t>
            </w:r>
          </w:p>
        </w:tc>
        <w:tc>
          <w:tcPr>
            <w:tcW w:type="dxa" w:w="6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Catering and dining facilities: equipment, layout, capacity against occupancy, and the servicing requirements behind them.</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 · Facilities management</w:t>
            </w:r>
          </w:p>
        </w:tc>
        <w:tc>
          <w:tcPr>
            <w:tcW w:type="dxa" w:w="62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Every operation for the life of the village: catering, housekeeping, maintenance, deliveries, waste, and transport between the village and the substation and overhead line works.</w:t>
            </w:r>
          </w:p>
        </w:tc>
      </w:tr>
    </w:tbl>
    <w:p>
      <w:pPr>
        <w:spacing w:after="90" w:before="90" w:line="280"/>
      </w:pPr>
      <w:r>
        <w:rPr>
          <w:rFonts w:ascii="Arial" w:cs="Arial" w:eastAsia="Arial" w:hAnsi="Arial"/>
          <w:b/>
          <w:bCs/>
          <w:color w:val="14181D"/>
          <w:sz w:val="20"/>
          <w:szCs w:val="20"/>
        </w:rPr>
        <w:t xml:space="preserve">Scope personally accountable for</w:t>
      </w:r>
    </w:p>
    <w:p>
      <w:pPr>
        <w:pStyle w:val="ListParagraph"/>
        <w:numPr>
          <w:ilvl w:val="0"/>
          <w:numId w:val="2"/>
        </w:numPr>
        <w:spacing w:after="50" w:before="50" w:line="280"/>
      </w:pPr>
      <w:r>
        <w:rPr>
          <w:rFonts w:ascii="Arial" w:cs="Arial" w:eastAsia="Arial" w:hAnsi="Arial"/>
          <w:color w:val="14181D"/>
          <w:sz w:val="20"/>
          <w:szCs w:val="20"/>
        </w:rPr>
        <w:t xml:space="preserve">Defined the entire worker accommodation village from the construction programme: what the site needed, for how many people, for how long, in a remote Highland location with its own ground, access and consent constraints — and converted that into a specification and a tender-stage budget before any price existed.</w:t>
      </w:r>
    </w:p>
    <w:p>
      <w:pPr>
        <w:pStyle w:val="ListParagraph"/>
        <w:numPr>
          <w:ilvl w:val="0"/>
          <w:numId w:val="2"/>
        </w:numPr>
        <w:spacing w:after="50" w:before="50" w:line="280"/>
      </w:pPr>
      <w:r>
        <w:rPr>
          <w:rFonts w:ascii="Arial" w:cs="Arial" w:eastAsia="Arial" w:hAnsi="Arial"/>
          <w:color w:val="14181D"/>
          <w:sz w:val="20"/>
          <w:szCs w:val="20"/>
        </w:rPr>
        <w:t xml:space="preserve">Decomposed the village into the five packages set out above and wrote the requirement for each one. The decomposition was produced by the director alone: the work sat between construction, procurement and facilities management, and no other role in the organisation covered that combination.</w:t>
      </w:r>
    </w:p>
    <w:p>
      <w:pPr>
        <w:pStyle w:val="ListParagraph"/>
        <w:numPr>
          <w:ilvl w:val="0"/>
          <w:numId w:val="2"/>
        </w:numPr>
        <w:spacing w:after="50" w:before="50" w:line="280"/>
      </w:pPr>
      <w:r>
        <w:rPr>
          <w:rFonts w:ascii="Arial" w:cs="Arial" w:eastAsia="Arial" w:hAnsi="Arial"/>
          <w:color w:val="14181D"/>
          <w:sz w:val="20"/>
          <w:szCs w:val="20"/>
        </w:rPr>
        <w:t xml:space="preserve">Specified the facilities management package in operational detail, including a menu cycle designed to avoid food fatigue across a multi-year occupation, and breakfast, lunch and evening provision timed against shift rotation so that a worker coming off shift could eat rather than arrive after service had closed.</w:t>
      </w:r>
    </w:p>
    <w:p>
      <w:pPr>
        <w:pStyle w:val="ListParagraph"/>
        <w:numPr>
          <w:ilvl w:val="0"/>
          <w:numId w:val="2"/>
        </w:numPr>
        <w:spacing w:after="50" w:before="50" w:line="280"/>
      </w:pPr>
      <w:r>
        <w:rPr>
          <w:rFonts w:ascii="Arial" w:cs="Arial" w:eastAsia="Arial" w:hAnsi="Arial"/>
          <w:color w:val="14181D"/>
          <w:sz w:val="20"/>
          <w:szCs w:val="20"/>
        </w:rPr>
        <w:t xml:space="preserve">Included transport between the village and the working faces in the same package, because the role covered the substation works as well as the overhead line, and an accommodation village that is not connected to the job it serves creates lost hours nobody has priced.</w:t>
      </w:r>
    </w:p>
    <w:p>
      <w:pPr>
        <w:pStyle w:val="ListParagraph"/>
        <w:numPr>
          <w:ilvl w:val="0"/>
          <w:numId w:val="2"/>
        </w:numPr>
        <w:spacing w:after="50" w:before="50" w:line="280"/>
      </w:pPr>
      <w:r>
        <w:rPr>
          <w:rFonts w:ascii="Arial" w:cs="Arial" w:eastAsia="Arial" w:hAnsi="Arial"/>
          <w:color w:val="14181D"/>
          <w:sz w:val="20"/>
          <w:szCs w:val="20"/>
        </w:rPr>
        <w:t xml:space="preserve">Found and qualified the delivery and subcontract partners for each package, including in a territory where the established field was thin, rather than accepting the suppliers already on the list.</w:t>
      </w:r>
    </w:p>
    <w:p>
      <w:pPr>
        <w:pStyle w:val="ListParagraph"/>
        <w:numPr>
          <w:ilvl w:val="0"/>
          <w:numId w:val="2"/>
        </w:numPr>
        <w:spacing w:after="50" w:before="50" w:line="280"/>
      </w:pPr>
      <w:r>
        <w:rPr>
          <w:rFonts w:ascii="Arial" w:cs="Arial" w:eastAsia="Arial" w:hAnsi="Arial"/>
          <w:color w:val="14181D"/>
          <w:sz w:val="20"/>
          <w:szCs w:val="20"/>
        </w:rPr>
        <w:t xml:space="preserve">Produced the requests for quotation himself, against his own specification, so that returns could be compared on one basis.</w:t>
      </w:r>
    </w:p>
    <w:p>
      <w:pPr>
        <w:pStyle w:val="ListParagraph"/>
        <w:numPr>
          <w:ilvl w:val="0"/>
          <w:numId w:val="2"/>
        </w:numPr>
        <w:spacing w:after="50" w:before="50" w:line="280"/>
      </w:pPr>
      <w:r>
        <w:rPr>
          <w:rFonts w:ascii="Arial" w:cs="Arial" w:eastAsia="Arial" w:hAnsi="Arial"/>
          <w:color w:val="14181D"/>
          <w:sz w:val="20"/>
          <w:szCs w:val="20"/>
        </w:rPr>
        <w:t xml:space="preserve">Assessed every returned quotation alongside the sourcing and civil engineering teams — technical compliance against the specification, price against the budget allowance, programme against the construction sequence, and the qualifications and exclusions each bidder had written into its own return.</w:t>
      </w:r>
    </w:p>
    <w:p>
      <w:pPr>
        <w:pStyle w:val="ListParagraph"/>
        <w:numPr>
          <w:ilvl w:val="0"/>
          <w:numId w:val="2"/>
        </w:numPr>
        <w:spacing w:after="50" w:before="50" w:line="280"/>
      </w:pPr>
      <w:r>
        <w:rPr>
          <w:rFonts w:ascii="Arial" w:cs="Arial" w:eastAsia="Arial" w:hAnsi="Arial"/>
          <w:color w:val="14181D"/>
          <w:sz w:val="20"/>
          <w:szCs w:val="20"/>
        </w:rPr>
        <w:t xml:space="preserve">Selected the contractor for each package and recommended the award; the order was placed by the sourcing function. Held the resulting terms thereafter and was accountable for performance against them.</w:t>
      </w:r>
    </w:p>
    <w:p>
      <w:pPr>
        <w:pStyle w:val="ListParagraph"/>
        <w:numPr>
          <w:ilvl w:val="0"/>
          <w:numId w:val="2"/>
        </w:numPr>
        <w:spacing w:after="50" w:before="50" w:line="280"/>
      </w:pPr>
      <w:r>
        <w:rPr>
          <w:rFonts w:ascii="Arial" w:cs="Arial" w:eastAsia="Arial" w:hAnsi="Arial"/>
          <w:color w:val="14181D"/>
          <w:sz w:val="20"/>
          <w:szCs w:val="20"/>
        </w:rPr>
        <w:t xml:space="preserve">Once the five packages were appointed, selected one of them — the facilities management contractor — to manage the running of the whole village under a single contract, so that the project held one accountable supplier for the operation rather than five separate ones.</w:t>
      </w:r>
    </w:p>
    <w:p>
      <w:pPr>
        <w:pStyle w:val="ListParagraph"/>
        <w:numPr>
          <w:ilvl w:val="0"/>
          <w:numId w:val="2"/>
        </w:numPr>
        <w:spacing w:after="50" w:before="50" w:line="280"/>
      </w:pPr>
      <w:r>
        <w:rPr>
          <w:rFonts w:ascii="Arial" w:cs="Arial" w:eastAsia="Arial" w:hAnsi="Arial"/>
          <w:color w:val="14181D"/>
          <w:sz w:val="20"/>
          <w:szCs w:val="20"/>
        </w:rPr>
        <w:t xml:space="preserve">Ran the village through mobilisation, daily operation, demobilisation and reinstatement as the single point of contact.</w:t>
      </w:r>
    </w:p>
    <w:p>
      <w:pPr>
        <w:spacing w:after="90" w:before="90" w:line="280"/>
      </w:pPr>
      <w:r>
        <w:rPr>
          <w:rFonts w:ascii="Arial" w:cs="Arial" w:eastAsia="Arial" w:hAnsi="Arial"/>
          <w:b/>
          <w:bCs/>
          <w:color w:val="14181D"/>
          <w:sz w:val="20"/>
          <w:szCs w:val="20"/>
        </w:rPr>
        <w:t xml:space="preserve">Why the last two bullets matter more than the rest. </w:t>
      </w:r>
      <w:r>
        <w:rPr>
          <w:rFonts w:ascii="Arial" w:cs="Arial" w:eastAsia="Arial" w:hAnsi="Arial"/>
          <w:color w:val="14181D"/>
          <w:sz w:val="20"/>
          <w:szCs w:val="20"/>
        </w:rPr>
        <w:t xml:space="preserve">Five packages appointed and then consolidated under one managing contractor is the structure ETABLIX offers as its Management Integrator model: the buyer keeps its own contracts and its own cash flow, and one party is accountable for making the whole system work. On this scheme the director produced that structure himself, on a live establishment, before the company existed. It is the answer to the question a selection panel is really asking — not whether the method sounds right, but whether anybody has run it.</w:t>
      </w:r>
    </w:p>
    <w:p>
      <w:pPr>
        <w:pStyle w:val="Heading2"/>
        <w:keepNext/>
        <w:spacing w:after="110" w:before="260"/>
      </w:pPr>
      <w:r>
        <w:rPr>
          <w:rFonts w:ascii="Arial" w:cs="Arial" w:eastAsia="Arial" w:hAnsi="Arial"/>
          <w:b/>
          <w:bCs/>
          <w:color w:val="9C7A3C"/>
          <w:sz w:val="21"/>
          <w:szCs w:val="21"/>
        </w:rPr>
        <w:t xml:space="preserve">4.2  Sofia Offshore Wind Farm — grid connection, 1,400 MW</w:t>
      </w:r>
    </w:p>
    <w:p>
      <w:pPr>
        <w:spacing w:after="90" w:before="90" w:line="280"/>
      </w:pPr>
      <w:r>
        <w:rPr>
          <w:rFonts w:ascii="Arial" w:cs="Arial" w:eastAsia="Arial" w:hAnsi="Arial"/>
          <w:color w:val="14181D"/>
          <w:sz w:val="20"/>
          <w:szCs w:val="20"/>
        </w:rPr>
        <w:t xml:space="preserve">Offered because it evidences subcontract governance and commissioning on complex high-voltage infrastructure at scale, in a role covering the United Kingdom, Ireland and Northern and Southern Europe. It is a different claim from 4.1 and a narrower one: construction delivery and interface control rather than the definition and procurement of an establishment.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Employer</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GE Vernova – Grid Solutions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Role held</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Construction Subcontract Manager</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Dates</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Dec 2022 – Dec 2025</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Location</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United Kingdom, within a role covering Ireland and Northern and Southern Europe</w:t>
            </w:r>
          </w:p>
        </w:tc>
      </w:tr>
    </w:tbl>
    <w:p>
      <w:pPr>
        <w:spacing w:after="90" w:before="90" w:line="280"/>
      </w:pPr>
      <w:r>
        <w:rPr>
          <w:rFonts w:ascii="Arial" w:cs="Arial" w:eastAsia="Arial" w:hAnsi="Arial"/>
          <w:b/>
          <w:bCs/>
          <w:color w:val="14181D"/>
          <w:sz w:val="20"/>
          <w:szCs w:val="20"/>
        </w:rPr>
        <w:t xml:space="preserve">Scope personally accountable for</w:t>
      </w:r>
    </w:p>
    <w:p>
      <w:pPr>
        <w:pStyle w:val="ListParagraph"/>
        <w:numPr>
          <w:ilvl w:val="0"/>
          <w:numId w:val="2"/>
        </w:numPr>
        <w:spacing w:after="50" w:before="50" w:line="280"/>
      </w:pPr>
      <w:r>
        <w:rPr>
          <w:rFonts w:ascii="Arial" w:cs="Arial" w:eastAsia="Arial" w:hAnsi="Arial"/>
          <w:color w:val="14181D"/>
          <w:sz w:val="20"/>
          <w:szCs w:val="20"/>
        </w:rPr>
        <w:t xml:space="preserve">Led construction delivery and subcontractor governance across the grid connection workstreams, coordinating civil, electrical, mechanical, high-voltage and commissioning disciplines.</w:t>
      </w:r>
    </w:p>
    <w:p>
      <w:pPr>
        <w:pStyle w:val="ListParagraph"/>
        <w:numPr>
          <w:ilvl w:val="0"/>
          <w:numId w:val="2"/>
        </w:numPr>
        <w:spacing w:after="50" w:before="50" w:line="280"/>
      </w:pPr>
      <w:r>
        <w:rPr>
          <w:rFonts w:ascii="Arial" w:cs="Arial" w:eastAsia="Arial" w:hAnsi="Arial"/>
          <w:color w:val="14181D"/>
          <w:sz w:val="20"/>
          <w:szCs w:val="20"/>
        </w:rPr>
        <w:t xml:space="preserve">Managed contractor performance, construction sequencing, logistics and programme milestones, and implemented mitigation and recovery where progress or an interface threatened delivery.</w:t>
      </w:r>
    </w:p>
    <w:p>
      <w:pPr>
        <w:pStyle w:val="ListParagraph"/>
        <w:numPr>
          <w:ilvl w:val="0"/>
          <w:numId w:val="2"/>
        </w:numPr>
        <w:spacing w:after="50" w:before="50" w:line="280"/>
      </w:pPr>
      <w:r>
        <w:rPr>
          <w:rFonts w:ascii="Arial" w:cs="Arial" w:eastAsia="Arial" w:hAnsi="Arial"/>
          <w:color w:val="14181D"/>
          <w:sz w:val="20"/>
          <w:szCs w:val="20"/>
        </w:rPr>
        <w:t xml:space="preserve">Acted as the interface between the client, the engineering and design teams, construction management, planners, HSE and the subcontractors, and resolved the technical and integration issues that arose between them.</w:t>
      </w:r>
    </w:p>
    <w:p>
      <w:pPr>
        <w:pStyle w:val="ListParagraph"/>
        <w:numPr>
          <w:ilvl w:val="0"/>
          <w:numId w:val="2"/>
        </w:numPr>
        <w:spacing w:after="50" w:before="50" w:line="280"/>
      </w:pPr>
      <w:r>
        <w:rPr>
          <w:rFonts w:ascii="Arial" w:cs="Arial" w:eastAsia="Arial" w:hAnsi="Arial"/>
          <w:color w:val="14181D"/>
          <w:sz w:val="20"/>
          <w:szCs w:val="20"/>
        </w:rPr>
        <w:t xml:space="preserve">Oversaw requests for information, technical submittals, shop drawings, construction documentation and constructability reviews, so that decisions were made in time and implemented under control.</w:t>
      </w:r>
    </w:p>
    <w:p>
      <w:pPr>
        <w:pStyle w:val="ListParagraph"/>
        <w:numPr>
          <w:ilvl w:val="0"/>
          <w:numId w:val="2"/>
        </w:numPr>
        <w:spacing w:after="50" w:before="50" w:line="280"/>
      </w:pPr>
      <w:r>
        <w:rPr>
          <w:rFonts w:ascii="Arial" w:cs="Arial" w:eastAsia="Arial" w:hAnsi="Arial"/>
          <w:color w:val="14181D"/>
          <w:sz w:val="20"/>
          <w:szCs w:val="20"/>
        </w:rPr>
        <w:t xml:space="preserve">Held compliance with HSE legislation, CDM requirements, quality standards and statutory obligations across the appointed works.</w:t>
      </w:r>
    </w:p>
    <w:p>
      <w:pPr>
        <w:pStyle w:val="ListParagraph"/>
        <w:numPr>
          <w:ilvl w:val="0"/>
          <w:numId w:val="2"/>
        </w:numPr>
        <w:spacing w:after="50" w:before="50" w:line="280"/>
      </w:pPr>
      <w:r>
        <w:rPr>
          <w:rFonts w:ascii="Arial" w:cs="Arial" w:eastAsia="Arial" w:hAnsi="Arial"/>
          <w:color w:val="14181D"/>
          <w:sz w:val="20"/>
          <w:szCs w:val="20"/>
        </w:rPr>
        <w:t xml:space="preserve">Supported commissioning, energisation readiness and operational handover on the 1,400 MW connection programme.</w:t>
      </w:r>
    </w:p>
    <w:p>
      <w:pPr>
        <w:pStyle w:val="Heading2"/>
        <w:keepNext/>
        <w:spacing w:after="110" w:before="260"/>
      </w:pPr>
      <w:r>
        <w:rPr>
          <w:rFonts w:ascii="Arial" w:cs="Arial" w:eastAsia="Arial" w:hAnsi="Arial"/>
          <w:b/>
          <w:bCs/>
          <w:color w:val="9C7A3C"/>
          <w:sz w:val="21"/>
          <w:szCs w:val="21"/>
        </w:rPr>
        <w:t xml:space="preserve">4.3  West Midlands regional infrastructure and regeneration programme</w:t>
      </w:r>
    </w:p>
    <w:p>
      <w:pPr>
        <w:spacing w:after="90" w:before="90" w:line="280"/>
      </w:pPr>
      <w:r>
        <w:rPr>
          <w:rFonts w:ascii="Arial" w:cs="Arial" w:eastAsia="Arial" w:hAnsi="Arial"/>
          <w:color w:val="14181D"/>
          <w:sz w:val="20"/>
          <w:szCs w:val="20"/>
        </w:rPr>
        <w:t xml:space="preserve">Offered because it is client-side. The director sat in the seat a public buyer occupies, holding contractors and consultants to account on the authority's behalf and reporting to its boards, which is the perspective this application is being assessed from.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Employer</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West Midlands Combined Authority</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Role held</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Programme Delivery Manager</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Dates</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Nov 2021 – Dec 2022</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Location</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West Midlands, United Kingdom</w:t>
            </w:r>
          </w:p>
        </w:tc>
      </w:tr>
    </w:tbl>
    <w:p>
      <w:pPr>
        <w:spacing w:after="90" w:before="90" w:line="280"/>
      </w:pPr>
      <w:r>
        <w:rPr>
          <w:rFonts w:ascii="Arial" w:cs="Arial" w:eastAsia="Arial" w:hAnsi="Arial"/>
          <w:b/>
          <w:bCs/>
          <w:color w:val="14181D"/>
          <w:sz w:val="20"/>
          <w:szCs w:val="20"/>
        </w:rPr>
        <w:t xml:space="preserve">Scope personally accountable for</w:t>
      </w:r>
    </w:p>
    <w:p>
      <w:pPr>
        <w:pStyle w:val="ListParagraph"/>
        <w:numPr>
          <w:ilvl w:val="0"/>
          <w:numId w:val="2"/>
        </w:numPr>
        <w:spacing w:after="50" w:before="50" w:line="280"/>
      </w:pPr>
      <w:r>
        <w:rPr>
          <w:rFonts w:ascii="Arial" w:cs="Arial" w:eastAsia="Arial" w:hAnsi="Arial"/>
          <w:color w:val="14181D"/>
          <w:sz w:val="20"/>
          <w:szCs w:val="20"/>
        </w:rPr>
        <w:t xml:space="preserve">Directed multidisciplinary delivery from design coordination through construction, commissioning and handover across regional transport, construction, regeneration and public infrastructure.</w:t>
      </w:r>
    </w:p>
    <w:p>
      <w:pPr>
        <w:pStyle w:val="ListParagraph"/>
        <w:numPr>
          <w:ilvl w:val="0"/>
          <w:numId w:val="2"/>
        </w:numPr>
        <w:spacing w:after="50" w:before="50" w:line="280"/>
      </w:pPr>
      <w:r>
        <w:rPr>
          <w:rFonts w:ascii="Arial" w:cs="Arial" w:eastAsia="Arial" w:hAnsi="Arial"/>
          <w:color w:val="14181D"/>
          <w:sz w:val="20"/>
          <w:szCs w:val="20"/>
        </w:rPr>
        <w:t xml:space="preserve">Managed contractors, consultants and delivery partners on the authority's behalf, and held the third-party and stakeholder interfaces.</w:t>
      </w:r>
    </w:p>
    <w:p>
      <w:pPr>
        <w:pStyle w:val="ListParagraph"/>
        <w:numPr>
          <w:ilvl w:val="0"/>
          <w:numId w:val="2"/>
        </w:numPr>
        <w:spacing w:after="50" w:before="50" w:line="280"/>
      </w:pPr>
      <w:r>
        <w:rPr>
          <w:rFonts w:ascii="Arial" w:cs="Arial" w:eastAsia="Arial" w:hAnsi="Arial"/>
          <w:color w:val="14181D"/>
          <w:sz w:val="20"/>
          <w:szCs w:val="20"/>
        </w:rPr>
        <w:t xml:space="preserve">Monitored programme milestones, commercial performance, risks and dependencies, and produced the executive reporting taken to senior leadership and to authority boards.</w:t>
      </w:r>
    </w:p>
    <w:p>
      <w:pPr>
        <w:pStyle w:val="ListParagraph"/>
        <w:numPr>
          <w:ilvl w:val="0"/>
          <w:numId w:val="2"/>
        </w:numPr>
        <w:spacing w:after="50" w:before="50" w:line="280"/>
      </w:pPr>
      <w:r>
        <w:rPr>
          <w:rFonts w:ascii="Arial" w:cs="Arial" w:eastAsia="Arial" w:hAnsi="Arial"/>
          <w:color w:val="14181D"/>
          <w:sz w:val="20"/>
          <w:szCs w:val="20"/>
        </w:rPr>
        <w:t xml:space="preserve">Managed CDM 2015 compliance and the project governance requirements applying to the authority as client.</w:t>
      </w:r>
    </w:p>
    <w:p>
      <w:pPr>
        <w:pStyle w:val="ListParagraph"/>
        <w:numPr>
          <w:ilvl w:val="0"/>
          <w:numId w:val="2"/>
        </w:numPr>
        <w:spacing w:after="50" w:before="50" w:line="280"/>
      </w:pPr>
      <w:r>
        <w:rPr>
          <w:rFonts w:ascii="Arial" w:cs="Arial" w:eastAsia="Arial" w:hAnsi="Arial"/>
          <w:color w:val="14181D"/>
          <w:sz w:val="20"/>
          <w:szCs w:val="20"/>
        </w:rPr>
        <w:t xml:space="preserve">Resolved issues across interconnected workstreams and escalated where programme-level intervention was required.</w:t>
      </w:r>
    </w:p>
    <w:p>
      <w:pPr>
        <w:pStyle w:val="ListParagraph"/>
        <w:numPr>
          <w:ilvl w:val="0"/>
          <w:numId w:val="2"/>
        </w:numPr>
        <w:spacing w:after="50" w:before="50" w:line="280"/>
      </w:pPr>
      <w:r>
        <w:rPr>
          <w:rFonts w:ascii="Arial" w:cs="Arial" w:eastAsia="Arial" w:hAnsi="Arial"/>
          <w:color w:val="14181D"/>
          <w:sz w:val="20"/>
          <w:szCs w:val="20"/>
        </w:rPr>
        <w:t xml:space="preserve">Balanced competing stakeholder, cost, time and quality priorities, and recorded the basis on which each was decided.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Referees</w:t>
      </w:r>
    </w:p>
    <w:p>
      <w:pPr>
        <w:spacing w:after="90" w:before="90" w:line="280"/>
      </w:pPr>
      <w:r>
        <w:rPr>
          <w:rFonts w:ascii="Arial" w:cs="Arial" w:eastAsia="Arial" w:hAnsi="Arial"/>
          <w:color w:val="14181D"/>
          <w:sz w:val="20"/>
          <w:szCs w:val="20"/>
        </w:rPr>
        <w:t xml:space="preserve">Referees are available on request and will be provided within two working days of being asked for. They are not named here because each has to be asked first: a referee telephoned cold gives a lukewarm answer, and a lukewarm reference is worth less than none.</w:t>
      </w:r>
    </w:p>
    <w:p>
      <w:pPr>
        <w:spacing w:after="90" w:before="90" w:line="280"/>
      </w:pPr>
      <w:r>
        <w:rPr>
          <w:rFonts w:ascii="Arial" w:cs="Arial" w:eastAsia="Arial" w:hAnsi="Arial"/>
          <w:color w:val="14181D"/>
          <w:sz w:val="20"/>
          <w:szCs w:val="20"/>
        </w:rPr>
        <w:t xml:space="preserve">Client-side counterparts are offered where available. They observed the work from the other side of the table, they carry no conflict, and they are not a former employer's own staff.</w:t>
      </w:r>
    </w:p>
    <w:p>
      <w:pPr>
        <w:spacing w:after="90" w:before="90" w:line="280"/>
      </w:pPr>
      <w:r>
        <w:rPr>
          <w:rFonts w:ascii="Arial" w:cs="Arial" w:eastAsia="Arial" w:hAnsi="Arial"/>
          <w:b/>
          <w:bCs/>
          <w:color w:val="14181D"/>
          <w:sz w:val="20"/>
          <w:szCs w:val="20"/>
        </w:rPr>
        <w:t xml:space="preserve">What a referee can and cannot confirm, stated so that nobody has to work it out. </w:t>
      </w:r>
      <w:r>
        <w:rPr>
          <w:rFonts w:ascii="Arial" w:cs="Arial" w:eastAsia="Arial" w:hAnsi="Arial"/>
          <w:color w:val="14181D"/>
          <w:sz w:val="20"/>
          <w:szCs w:val="20"/>
        </w:rPr>
        <w:t xml:space="preserve">They can verify the director's role, scope and performance on the schemes named. They cannot confirm contract performance by ETABLIX, because there has been none. Drawing that line here is deliberate: an assessor who finds it themselves reads the rest of the submission differently.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6. What this record does not cover</w:t>
      </w:r>
    </w:p>
    <w:p>
      <w:pPr>
        <w:spacing w:after="90" w:before="90" w:line="280"/>
      </w:pPr>
      <w:r>
        <w:rPr>
          <w:rFonts w:ascii="Arial" w:cs="Arial" w:eastAsia="Arial" w:hAnsi="Arial"/>
          <w:color w:val="14181D"/>
          <w:sz w:val="20"/>
          <w:szCs w:val="20"/>
        </w:rPr>
        <w:t xml:space="preserve">Listed because the assessment team's test is relevance, and because an assessor who finds a fourth gap after being shown three stops believing the three.</w:t>
      </w:r>
    </w:p>
    <w:p>
      <w:pPr>
        <w:pStyle w:val="ListParagraph"/>
        <w:numPr>
          <w:ilvl w:val="0"/>
          <w:numId w:val="2"/>
        </w:numPr>
        <w:spacing w:after="50" w:before="50" w:line="280"/>
      </w:pPr>
      <w:r>
        <w:rPr>
          <w:rFonts w:ascii="Arial" w:cs="Arial" w:eastAsia="Arial" w:hAnsi="Arial"/>
          <w:color w:val="14181D"/>
          <w:sz w:val="20"/>
          <w:szCs w:val="20"/>
        </w:rPr>
        <w:t xml:space="preserve">No contract has been performed by ETABLIX. Every entry above is the director's, performed as an employee of the organisation named.</w:t>
      </w:r>
    </w:p>
    <w:p>
      <w:pPr>
        <w:pStyle w:val="ListParagraph"/>
        <w:numPr>
          <w:ilvl w:val="0"/>
          <w:numId w:val="2"/>
        </w:numPr>
        <w:spacing w:after="50" w:before="50" w:line="280"/>
      </w:pPr>
      <w:r>
        <w:rPr>
          <w:rFonts w:ascii="Arial" w:cs="Arial" w:eastAsia="Arial" w:hAnsi="Arial"/>
          <w:color w:val="14181D"/>
          <w:sz w:val="20"/>
          <w:szCs w:val="20"/>
        </w:rPr>
        <w:t xml:space="preserve">The director's record is in site establishment, construction and programme management — temporary infrastructure and workforce-living systems, subcontract management, project controls, multi-discipline coordination, commissioning and handover. Where a category calls for a trade or a self-delivered service, this record does not answer it and is not offered as though it does.</w:t>
      </w:r>
    </w:p>
    <w:p>
      <w:pPr>
        <w:pStyle w:val="ListParagraph"/>
        <w:numPr>
          <w:ilvl w:val="0"/>
          <w:numId w:val="2"/>
        </w:numPr>
        <w:spacing w:after="50" w:before="50" w:line="280"/>
      </w:pPr>
      <w:r>
        <w:rPr>
          <w:rFonts w:ascii="Arial" w:cs="Arial" w:eastAsia="Arial" w:hAnsi="Arial"/>
          <w:color w:val="14181D"/>
          <w:sz w:val="20"/>
          <w:szCs w:val="20"/>
        </w:rPr>
        <w:t xml:space="preserve">The scope at 3.1 was performed as the accountable interface, not as self-delivery. The accommodation, welfare and utilities themselves were supplied and installed by specialist subcontractors, under terms the director specified, procured and held. ETABLIX works the same way and does not present itself as a supplier of the plant.</w:t>
      </w:r>
    </w:p>
    <w:p>
      <w:pPr>
        <w:pStyle w:val="ListParagraph"/>
        <w:numPr>
          <w:ilvl w:val="0"/>
          <w:numId w:val="2"/>
        </w:numPr>
        <w:spacing w:after="50" w:before="50" w:line="280"/>
      </w:pPr>
      <w:r>
        <w:rPr>
          <w:rFonts w:ascii="Arial" w:cs="Arial" w:eastAsia="Arial" w:hAnsi="Arial"/>
          <w:color w:val="14181D"/>
          <w:sz w:val="20"/>
          <w:szCs w:val="20"/>
        </w:rPr>
        <w:t xml:space="preserve">On the schemes at section 4 the director selected the contractor and recommended the award. The purchase order was placed by his employer's sourcing function, as it is in most organisations of that size. He is not presenting himself as having held delegated financial authority.</w:t>
      </w:r>
    </w:p>
    <w:p>
      <w:pPr>
        <w:pStyle w:val="ListParagraph"/>
        <w:numPr>
          <w:ilvl w:val="0"/>
          <w:numId w:val="2"/>
        </w:numPr>
        <w:spacing w:after="50" w:before="50" w:line="280"/>
      </w:pPr>
      <w:r>
        <w:rPr>
          <w:rFonts w:ascii="Arial" w:cs="Arial" w:eastAsia="Arial" w:hAnsi="Arial"/>
          <w:color w:val="14181D"/>
          <w:sz w:val="20"/>
          <w:szCs w:val="20"/>
        </w:rPr>
        <w:t xml:space="preserve">CDM 2015 Principal Designer training is held. The duty holder role has not been held, and is accepted only where a client appoints it expressly and in writing.</w:t>
      </w:r>
    </w:p>
    <w:p>
      <w:pPr>
        <w:pStyle w:val="ListParagraph"/>
        <w:numPr>
          <w:ilvl w:val="0"/>
          <w:numId w:val="2"/>
        </w:numPr>
        <w:spacing w:after="50" w:before="50" w:line="280"/>
      </w:pPr>
      <w:r>
        <w:rPr>
          <w:rFonts w:ascii="Arial" w:cs="Arial" w:eastAsia="Arial" w:hAnsi="Arial"/>
          <w:color w:val="14181D"/>
          <w:sz w:val="20"/>
          <w:szCs w:val="20"/>
        </w:rPr>
        <w:t xml:space="preserve">ETABLIX holds no ISO certification and makes no claim to any.</w:t>
      </w:r>
    </w:p>
    <w:p>
      <w:pPr>
        <w:pStyle w:val="Heading1"/>
        <w:keepNext/>
        <w:pBdr>
          <w:bottom w:val="single" w:color="9C7A3C" w:sz="8" w:space="6"/>
        </w:pBdr>
        <w:spacing w:after="150" w:before="380"/>
      </w:pPr>
      <w:r>
        <w:rPr>
          <w:rFonts w:ascii="Arial" w:cs="Arial" w:eastAsia="Arial" w:hAnsi="Arial"/>
          <w:b/>
          <w:bCs/>
          <w:color w:val="14181D"/>
          <w:sz w:val="26"/>
          <w:szCs w:val="26"/>
        </w:rPr>
        <w:t xml:space="preserve">7. A worked specimen of the deliverable</w:t>
      </w:r>
    </w:p>
    <w:p>
      <w:pPr>
        <w:spacing w:after="90" w:before="90" w:line="280"/>
      </w:pPr>
      <w:r>
        <w:rPr>
          <w:rFonts w:ascii="Arial" w:cs="Arial" w:eastAsia="Arial" w:hAnsi="Arial"/>
          <w:color w:val="14181D"/>
          <w:sz w:val="20"/>
          <w:szCs w:val="20"/>
        </w:rPr>
        <w:t xml:space="preserve">Attached separately: a full worked example of the report ETABLIX produces, prepared on an invented project so that no client is identified. It demonstrates the method and the standard of output rather than asking an assessor to take either on trust, and it is the one piece of evidence in this submission that is the company's own work rather than the director's history.</w:t>
      </w:r>
    </w:p>
    <w:p>
      <w:pPr>
        <w:pStyle w:val="Heading1"/>
        <w:keepNext/>
        <w:pBdr>
          <w:bottom w:val="single" w:color="9C7A3C" w:sz="8" w:space="6"/>
        </w:pBdr>
        <w:spacing w:after="150" w:before="380"/>
      </w:pPr>
      <w:r>
        <w:rPr>
          <w:rFonts w:ascii="Arial" w:cs="Arial" w:eastAsia="Arial" w:hAnsi="Arial"/>
          <w:b/>
          <w:bCs/>
          <w:color w:val="14181D"/>
          <w:sz w:val="26"/>
          <w:szCs w:val="26"/>
        </w:rPr>
        <w:t xml:space="preserve">Declaration</w:t>
      </w:r>
    </w:p>
    <w:p>
      <w:pPr>
        <w:spacing w:after="380" w:before="90" w:line="280"/>
      </w:pPr>
      <w:r>
        <w:rPr>
          <w:rFonts w:ascii="Arial" w:cs="Arial" w:eastAsia="Arial" w:hAnsi="Arial"/>
          <w:color w:val="14181D"/>
          <w:sz w:val="20"/>
          <w:szCs w:val="20"/>
        </w:rPr>
        <w:t xml:space="preserve">I confirm that the experience set out above was performed by me personally, in the roles and on the dates stated, as an employee of the organisations named. None of it is presented as a contract performed by JNN GLOBAL LTD or by ETABLIX.</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 JNN GLOBAL LTD trading as ETABLIX</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Director's relevant experience · Rev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DIRECTOR'S EXPERIENCE</dc:title>
  <dc:creator>ETABLIX — Integrated Site Services</dc:creator>
  <dc:description>ETABLIX DIRECTOR'S EXPERIENCE</dc:description>
  <cp:lastModifiedBy>Un-named</cp:lastModifiedBy>
  <cp:revision>1</cp:revision>
  <dcterms:created xsi:type="dcterms:W3CDTF">2026-10-21T13:13:06.394Z</dcterms:created>
  <dcterms:modified xsi:type="dcterms:W3CDTF">2026-10-21T13:13:06.394Z</dcterms:modified>
</cp:coreProperties>
</file>

<file path=docProps/custom.xml><?xml version="1.0" encoding="utf-8"?>
<Properties xmlns="http://schemas.openxmlformats.org/officeDocument/2006/custom-properties" xmlns:vt="http://schemas.openxmlformats.org/officeDocument/2006/docPropsVTypes"/>
</file>