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GE VERNOVA HAS INVITED US TO REGISTER AS A SUPPLIER</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GE Vernova has invited us to register as a supplier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business/marketing/ge-vernova-supplier-invitation.md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color w:val="14181D"/>
          <w:sz w:val="20"/>
          <w:szCs w:val="20"/>
        </w:rPr>
        <w:t xml:space="preserve">Marc Townsend, Renewable Energy → GRID Solutions → United Kingdom. An invitation to register on Supplier Connect (SCx), with a personal, pre-defined link.</w:t>
      </w:r>
    </w:p>
    <w:p>
      <w:pPr>
        <w:spacing w:after="90" w:before="90" w:line="280"/>
      </w:pPr>
      <w:r>
        <w:rPr>
          <w:rFonts w:ascii="Arial" w:cs="Arial" w:eastAsia="Arial" w:hAnsi="Arial"/>
          <w:b/>
          <w:bCs/>
          <w:color w:val="14181D"/>
          <w:sz w:val="20"/>
          <w:szCs w:val="20"/>
        </w:rPr>
        <w:t xml:space="preserve">This is inbound.</w:t>
      </w:r>
      <w:r>
        <w:rPr>
          <w:rFonts w:ascii="Arial" w:cs="Arial" w:eastAsia="Arial" w:hAnsi="Arial"/>
          <w:color w:val="14181D"/>
          <w:sz w:val="20"/>
          <w:szCs w:val="20"/>
        </w:rPr>
        <w:t xml:space="preserve"> The 2027 stand-down was a decision not to pitch GE Vernova. It was never a decision to refuse them. Responding to an invitation is not pitching, and the stand-down held long enough for them to come to us — which is exactly what it was for.</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it matters more than anything else in the pipeline</w:t>
      </w:r>
    </w:p>
    <w:p>
      <w:pPr>
        <w:spacing w:after="90" w:before="90" w:line="280"/>
      </w:pPr>
      <w:r>
        <w:rPr>
          <w:rFonts w:ascii="Arial" w:cs="Arial" w:eastAsia="Arial" w:hAnsi="Arial"/>
          <w:color w:val="14181D"/>
          <w:sz w:val="20"/>
          <w:szCs w:val="20"/>
        </w:rPr>
        <w:t xml:space="preserve">It answers three separate problems with one process.</w:t>
      </w:r>
    </w:p>
    <w:p>
      <w:pPr>
        <w:spacing w:after="90" w:before="90" w:line="280"/>
      </w:pPr>
      <w:r>
        <w:rPr>
          <w:rFonts w:ascii="Arial" w:cs="Arial" w:eastAsia="Arial" w:hAnsi="Arial"/>
          <w:b/>
          <w:bCs/>
          <w:color w:val="14181D"/>
          <w:sz w:val="20"/>
          <w:szCs w:val="20"/>
        </w:rPr>
        <w:t xml:space="preserve">Income.</w:t>
      </w:r>
      <w:r>
        <w:rPr>
          <w:rFonts w:ascii="Arial" w:cs="Arial" w:eastAsia="Arial" w:hAnsi="Arial"/>
          <w:color w:val="14181D"/>
          <w:sz w:val="20"/>
          <w:szCs w:val="20"/>
        </w:rPr>
        <w:t xml:space="preserve"> GE Vernova issues a purchase order before work is performed and pays electronically. That is a clean, PO-backed revenue route with a customer who has already decided it wants the supplier on its books.</w:t>
      </w:r>
    </w:p>
    <w:p>
      <w:pPr>
        <w:spacing w:after="90" w:before="90" w:line="280"/>
      </w:pPr>
      <w:r>
        <w:rPr>
          <w:rFonts w:ascii="Arial" w:cs="Arial" w:eastAsia="Arial" w:hAnsi="Arial"/>
          <w:b/>
          <w:bCs/>
          <w:color w:val="14181D"/>
          <w:sz w:val="20"/>
          <w:szCs w:val="20"/>
        </w:rPr>
        <w:t xml:space="preserve">The contract example.</w:t>
      </w:r>
      <w:r>
        <w:rPr>
          <w:rFonts w:ascii="Arial" w:cs="Arial" w:eastAsia="Arial" w:hAnsi="Arial"/>
          <w:color w:val="14181D"/>
          <w:sz w:val="20"/>
          <w:szCs w:val="20"/>
        </w:rPr>
        <w:t xml:space="preserve"> A purchase order to JNN GLOBAL LTD is a contract performed by </w:t>
      </w:r>
      <w:r>
        <w:rPr>
          <w:rFonts w:ascii="Arial" w:cs="Arial" w:eastAsia="Arial" w:hAnsi="Arial"/>
          <w:b/>
          <w:bCs/>
          <w:color w:val="14181D"/>
          <w:sz w:val="20"/>
          <w:szCs w:val="20"/>
        </w:rPr>
        <w:t xml:space="preserve">the bidding entity</w:t>
      </w:r>
      <w:r>
        <w:rPr>
          <w:rFonts w:ascii="Arial" w:cs="Arial" w:eastAsia="Arial" w:hAnsi="Arial"/>
          <w:color w:val="14181D"/>
          <w:sz w:val="20"/>
          <w:szCs w:val="20"/>
        </w:rPr>
        <w:t xml:space="preserve"> — the exact thing the GCA confirmed is required at DPSQ Question 53 and that no document could substitute for. No minimum value. A completed phase is enough.</w:t>
      </w:r>
    </w:p>
    <w:p>
      <w:pPr>
        <w:spacing w:after="90" w:before="90" w:line="280"/>
      </w:pPr>
      <w:r>
        <w:rPr>
          <w:rFonts w:ascii="Arial" w:cs="Arial" w:eastAsia="Arial" w:hAnsi="Arial"/>
          <w:b/>
          <w:bCs/>
          <w:color w:val="14181D"/>
          <w:sz w:val="20"/>
          <w:szCs w:val="20"/>
        </w:rPr>
        <w:t xml:space="preserve">The referee.</w:t>
      </w:r>
      <w:r>
        <w:rPr>
          <w:rFonts w:ascii="Arial" w:cs="Arial" w:eastAsia="Arial" w:hAnsi="Arial"/>
          <w:color w:val="14181D"/>
          <w:sz w:val="20"/>
          <w:szCs w:val="20"/>
        </w:rPr>
        <w:t xml:space="preserve"> They employed the director for three years on this precise scope. A GE Vernova sourcing manager confirming delivery is worth more than any reference this company could otherwise obtain.</w:t>
      </w:r>
    </w:p>
    <w:p>
      <w:pPr>
        <w:spacing w:after="90" w:before="90" w:line="280"/>
      </w:pPr>
      <w:r>
        <w:rPr>
          <w:rFonts w:ascii="Arial" w:cs="Arial" w:eastAsia="Arial" w:hAnsi="Arial"/>
          <w:color w:val="14181D"/>
          <w:sz w:val="20"/>
          <w:szCs w:val="20"/>
        </w:rPr>
        <w:t xml:space="preserve">Nothing else available does all three. The twelve stalled procurement threads are all waiting on the thing this one route produces.</w:t>
      </w:r>
    </w:p>
    <w:p>
      <w:pPr>
        <w:pStyle w:val="Heading1"/>
        <w:keepNext/>
        <w:pBdr>
          <w:bottom w:val="single" w:color="9C7A3C" w:sz="8" w:space="6"/>
        </w:pBdr>
        <w:spacing w:after="150" w:before="380"/>
      </w:pPr>
      <w:r>
        <w:rPr>
          <w:rFonts w:ascii="Arial" w:cs="Arial" w:eastAsia="Arial" w:hAnsi="Arial"/>
          <w:b/>
          <w:bCs/>
          <w:color w:val="14181D"/>
          <w:sz w:val="26"/>
          <w:szCs w:val="26"/>
        </w:rPr>
        <w:t xml:space="preserve">It is still not instant, and the agency track must continue</w:t>
      </w:r>
    </w:p>
    <w:p>
      <w:pPr>
        <w:spacing w:after="90" w:before="90" w:line="280"/>
      </w:pPr>
      <w:r>
        <w:rPr>
          <w:rFonts w:ascii="Arial" w:cs="Arial" w:eastAsia="Arial" w:hAnsi="Arial"/>
          <w:color w:val="14181D"/>
          <w:sz w:val="20"/>
          <w:szCs w:val="20"/>
        </w:rPr>
        <w:t xml:space="preserve">Registration, background screening and supplier approval take weeks. After approval, a purchase order needs a requisitioner with a live need and a budget line. Realistically that is four to ten weeks to a first PO, and that is only if a need already exists — which the invitation suggests but does not prove.</w:t>
      </w:r>
    </w:p>
    <w:p>
      <w:pPr>
        <w:spacing w:after="90" w:before="90" w:line="280"/>
      </w:pPr>
      <w:r>
        <w:rPr>
          <w:rFonts w:ascii="Arial" w:cs="Arial" w:eastAsia="Arial" w:hAnsi="Arial"/>
          <w:color w:val="14181D"/>
          <w:sz w:val="20"/>
          <w:szCs w:val="20"/>
        </w:rPr>
        <w:t xml:space="preserve">Four to ten weeks sits inside a three-month window, but not comfortably. </w:t>
      </w:r>
      <w:r>
        <w:rPr>
          <w:rFonts w:ascii="Arial" w:cs="Arial" w:eastAsia="Arial" w:hAnsi="Arial"/>
          <w:b/>
          <w:bCs/>
          <w:color w:val="14181D"/>
          <w:sz w:val="20"/>
          <w:szCs w:val="20"/>
        </w:rPr>
        <w:t xml:space="preserve">Run the transmission contract-agency approaches in parallel.</w:t>
      </w:r>
      <w:r>
        <w:rPr>
          <w:rFonts w:ascii="Arial" w:cs="Arial" w:eastAsia="Arial" w:hAnsi="Arial"/>
          <w:color w:val="14181D"/>
          <w:sz w:val="20"/>
          <w:szCs w:val="20"/>
        </w:rPr>
        <w:t xml:space="preserve"> If GE Vernova lands first, the agency conversations cost nothing. If it slips, they are the only thing between here and arrears.</w:t>
      </w:r>
    </w:p>
    <w:p>
      <w:pPr>
        <w:pStyle w:val="Heading1"/>
        <w:keepNext/>
        <w:pBdr>
          <w:bottom w:val="single" w:color="9C7A3C" w:sz="8" w:space="6"/>
        </w:pBdr>
        <w:spacing w:after="150" w:before="380"/>
      </w:pPr>
      <w:r>
        <w:rPr>
          <w:rFonts w:ascii="Arial" w:cs="Arial" w:eastAsia="Arial" w:hAnsi="Arial"/>
          <w:b/>
          <w:bCs/>
          <w:color w:val="14181D"/>
          <w:sz w:val="26"/>
          <w:szCs w:val="26"/>
        </w:rPr>
        <w:t xml:space="preserve">Five things to get right in the application</w:t>
      </w:r>
    </w:p>
    <w:p>
      <w:pPr>
        <w:spacing w:after="90" w:before="90" w:line="280"/>
      </w:pPr>
      <w:r>
        <w:rPr>
          <w:rFonts w:ascii="Arial" w:cs="Arial" w:eastAsia="Arial" w:hAnsi="Arial"/>
          <w:b/>
          <w:bCs/>
          <w:color w:val="14181D"/>
          <w:sz w:val="20"/>
          <w:szCs w:val="20"/>
        </w:rPr>
        <w:t xml:space="preserve">1. The personal link, in Chrome, by the director.</w:t>
      </w:r>
      <w:r>
        <w:rPr>
          <w:rFonts w:ascii="Arial" w:cs="Arial" w:eastAsia="Arial" w:hAnsi="Arial"/>
          <w:color w:val="14181D"/>
          <w:sz w:val="20"/>
          <w:szCs w:val="20"/>
        </w:rPr>
        <w:t xml:space="preserve"> The email states the invitation is pre-defined for the recipient and must not be forwarded. Use that link, in Google Chrome, and do not send it to anybody.</w:t>
      </w:r>
    </w:p>
    <w:p>
      <w:pPr>
        <w:spacing w:after="90" w:before="90" w:line="280"/>
      </w:pPr>
      <w:r>
        <w:rPr>
          <w:rFonts w:ascii="Arial" w:cs="Arial" w:eastAsia="Arial" w:hAnsi="Arial"/>
          <w:b/>
          <w:bCs/>
          <w:color w:val="14181D"/>
          <w:sz w:val="20"/>
          <w:szCs w:val="20"/>
        </w:rPr>
        <w:t xml:space="preserve">2. Bank details go straight into the portal and nowhere else.</w:t>
      </w:r>
      <w:r>
        <w:rPr>
          <w:rFonts w:ascii="Arial" w:cs="Arial" w:eastAsia="Arial" w:hAnsi="Arial"/>
          <w:color w:val="14181D"/>
          <w:sz w:val="20"/>
          <w:szCs w:val="20"/>
        </w:rPr>
        <w:t xml:space="preserve"> They are needed for electronic payment. They go from the director's hands into SCx directly — never into an email, a document, a chat window, a note, or any file in this repository. The same applies to the UTR and any tax document. Nobody needs a copy, including anybody helping.</w:t>
      </w:r>
    </w:p>
    <w:p>
      <w:pPr>
        <w:spacing w:after="90" w:before="90" w:line="280"/>
      </w:pPr>
      <w:r>
        <w:rPr>
          <w:rFonts w:ascii="Arial" w:cs="Arial" w:eastAsia="Arial" w:hAnsi="Arial"/>
          <w:b/>
          <w:bCs/>
          <w:color w:val="14181D"/>
          <w:sz w:val="20"/>
          <w:szCs w:val="20"/>
        </w:rPr>
        <w:t xml:space="preserve">3. Certifications: say none, plainly.</w:t>
      </w:r>
      <w:r>
        <w:rPr>
          <w:rFonts w:ascii="Arial" w:cs="Arial" w:eastAsia="Arial" w:hAnsi="Arial"/>
          <w:color w:val="14181D"/>
          <w:sz w:val="20"/>
          <w:szCs w:val="20"/>
        </w:rPr>
        <w:t xml:space="preserve"> The form asks about CTPAT, diversity and ISO. ETABLIX holds no ISO certification and no SSIP registration. Answer that honestly and leave it. A nil answer is normal for a new supplier and is not a pass/fail gate at registration. A claimed certification found to be absent is the one thing that ends a supplier relationship before it starts, and this is a company whose invitation letter opens with </w:t>
      </w:r>
      <w:r>
        <w:rPr>
          <w:rFonts w:ascii="Arial" w:cs="Arial" w:eastAsia="Arial" w:hAnsi="Arial"/>
          <w:i/>
          <w:iCs/>
          <w:color w:val="14181D"/>
          <w:sz w:val="20"/>
          <w:szCs w:val="20"/>
        </w:rPr>
        <w:t xml:space="preserve">unyielding integrity</w:t>
      </w:r>
      <w:r>
        <w:rPr>
          <w:rFonts w:ascii="Arial" w:cs="Arial" w:eastAsia="Arial" w:hAnsi="Arial"/>
          <w:color w:val="14181D"/>
          <w:sz w:val="20"/>
          <w:szCs w:val="20"/>
        </w:rPr>
        <w:t xml:space="preserve">.</w:t>
      </w:r>
    </w:p>
    <w:p>
      <w:pPr>
        <w:pStyle w:val="Heading2"/>
        <w:keepNext/>
        <w:spacing w:after="110" w:before="260"/>
      </w:pPr>
      <w:r>
        <w:rPr>
          <w:rFonts w:ascii="Arial" w:cs="Arial" w:eastAsia="Arial" w:hAnsi="Arial"/>
          <w:b/>
          <w:bCs/>
          <w:color w:val="9C7A3C"/>
          <w:sz w:val="21"/>
          <w:szCs w:val="21"/>
        </w:rPr>
        <w:t xml:space="preserve">Section 5, Certifications — the answers, and why six of them are not what they look like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2"/>
        <w:gridCol w:w="922"/>
        <w:gridCol w:w="5376"/>
      </w:tblGrid>
      <w:tr>
        <w:trPr>
          <w:tblHeader/>
        </w:trPr>
        <w:tc>
          <w:tcPr>
            <w:tcW w:type="dxa" w:w="200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Question</w:t>
            </w:r>
          </w:p>
        </w:tc>
        <w:tc>
          <w:tcPr>
            <w:tcW w:type="dxa" w:w="92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Answer</w:t>
            </w:r>
          </w:p>
        </w:tc>
        <w:tc>
          <w:tcPr>
            <w:tcW w:type="dxa" w:w="5376"/>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Why</w:t>
            </w:r>
          </w:p>
        </w:tc>
      </w:tr>
      <w:tr>
        <w:tc>
          <w:tcPr>
            <w:tcW w:type="dxa" w:w="200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Government supply chain security programme (CTPAT / PIP / AEO)</w:t>
            </w:r>
          </w:p>
        </w:tc>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w:t>
            </w:r>
          </w:p>
        </w:tc>
        <w:tc>
          <w:tcPr>
            <w:tcW w:type="dxa" w:w="537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Customs and import-security schemes for businesses moving goods across borders. ETABLIX supplies services and ships nothing.</w:t>
            </w:r>
          </w:p>
        </w:tc>
      </w:tr>
      <w:tr>
        <w:tc>
          <w:tcPr>
            <w:tcW w:type="dxa" w:w="200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ISO certifications</w:t>
            </w:r>
          </w:p>
        </w:tc>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w:t>
            </w:r>
          </w:p>
        </w:tc>
        <w:tc>
          <w:tcPr>
            <w:tcW w:type="dxa" w:w="537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None held.</w:t>
            </w:r>
          </w:p>
        </w:tc>
      </w:tr>
      <w:tr>
        <w:tc>
          <w:tcPr>
            <w:tcW w:type="dxa" w:w="200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QMS certifications</w:t>
            </w:r>
          </w:p>
        </w:tc>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w:t>
            </w:r>
          </w:p>
        </w:tc>
        <w:tc>
          <w:tcPr>
            <w:tcW w:type="dxa" w:w="537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 certified quality management system is not held. Documented quality management arrangements exist and are signed, but documented is not certified and the two must never be conflated.</w:t>
            </w:r>
          </w:p>
        </w:tc>
      </w:tr>
      <w:tr>
        <w:tc>
          <w:tcPr>
            <w:tcW w:type="dxa" w:w="200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SQRM — Supplier Quality Requirement Manual</w:t>
            </w:r>
          </w:p>
        </w:tc>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 not yet</w:t>
            </w:r>
          </w:p>
        </w:tc>
        <w:tc>
          <w:tcPr>
            <w:tcW w:type="dxa" w:w="537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 Vernova's own document, issued to the supplier to accept.</w:t>
            </w:r>
          </w:p>
        </w:tc>
      </w:tr>
      <w:tr>
        <w:tc>
          <w:tcPr>
            <w:tcW w:type="dxa" w:w="200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GT&amp;C — GE Vernova Terms &amp; Conditions</w:t>
            </w:r>
          </w:p>
        </w:tc>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 not yet</w:t>
            </w:r>
          </w:p>
        </w:tc>
        <w:tc>
          <w:tcPr>
            <w:tcW w:type="dxa" w:w="537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 Vernova's own terms, issued to the supplier to accept.</w:t>
            </w:r>
          </w:p>
        </w:tc>
      </w:tr>
      <w:tr>
        <w:tc>
          <w:tcPr>
            <w:tcW w:type="dxa" w:w="200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SEQ — Supplier Eligibility Questionnaire</w:t>
            </w:r>
          </w:p>
        </w:tc>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 not yet</w:t>
            </w:r>
          </w:p>
        </w:tc>
        <w:tc>
          <w:tcPr>
            <w:tcW w:type="dxa" w:w="537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 Vernova's own questionnaire, issued during onboarding.</w:t>
            </w:r>
          </w:p>
        </w:tc>
      </w:tr>
      <w:tr>
        <w:tc>
          <w:tcPr>
            <w:tcW w:type="dxa" w:w="200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EHS Prescreen checklist</w:t>
            </w:r>
          </w:p>
        </w:tc>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 not yet</w:t>
            </w:r>
          </w:p>
        </w:tc>
        <w:tc>
          <w:tcPr>
            <w:tcW w:type="dxa" w:w="537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 Vernova's own checklist. The signed health and safety policy and arrangements already answer most of what it asks.</w:t>
            </w:r>
          </w:p>
        </w:tc>
      </w:tr>
      <w:tr>
        <w:tc>
          <w:tcPr>
            <w:tcW w:type="dxa" w:w="200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MNDA — Mutual Non-Disclosure Agreement</w:t>
            </w:r>
          </w:p>
        </w:tc>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 for now</w:t>
            </w:r>
          </w:p>
        </w:tc>
        <w:tc>
          <w:tcPr>
            <w:tcW w:type="dxa" w:w="537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This is the NDA attached to the invitation. It becomes Yes once signed — but read it for the reference clause first. Do not convert a No into a Yes just to tidy the form.</w:t>
            </w:r>
          </w:p>
        </w:tc>
      </w:tr>
      <w:tr>
        <w:tc>
          <w:tcPr>
            <w:tcW w:type="dxa" w:w="200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Integrity Letter</w:t>
            </w:r>
          </w:p>
        </w:tc>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 not yet</w:t>
            </w:r>
          </w:p>
        </w:tc>
        <w:tc>
          <w:tcPr>
            <w:tcW w:type="dxa" w:w="537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Signed after reading the Supplier Integrity Guide and watching the training video. Do both, then it becomes Yes.</w:t>
            </w:r>
          </w:p>
        </w:tc>
      </w:tr>
      <w:tr>
        <w:tc>
          <w:tcPr>
            <w:tcW w:type="dxa" w:w="200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Any other certifications</w:t>
            </w:r>
          </w:p>
        </w:tc>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Yes</w:t>
            </w:r>
          </w:p>
        </w:tc>
        <w:tc>
          <w:tcPr>
            <w:tcW w:type="dxa" w:w="537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director's personal professional qualifications. Label them exactly as that.</w:t>
            </w:r>
          </w:p>
        </w:tc>
      </w:tr>
    </w:tbl>
    <w:p>
      <w:pPr>
        <w:spacing w:after="90" w:before="90" w:line="280"/>
      </w:pPr>
      <w:r>
        <w:rPr>
          <w:rFonts w:ascii="Arial" w:cs="Arial" w:eastAsia="Arial" w:hAnsi="Arial"/>
          <w:b/>
          <w:bCs/>
          <w:color w:val="14181D"/>
          <w:sz w:val="20"/>
          <w:szCs w:val="20"/>
        </w:rPr>
        <w:t xml:space="preserve">Six of those ten are GE Vernova's own paperwork, not market credentials.</w:t>
      </w:r>
      <w:r>
        <w:rPr>
          <w:rFonts w:ascii="Arial" w:cs="Arial" w:eastAsia="Arial" w:hAnsi="Arial"/>
          <w:color w:val="14181D"/>
          <w:sz w:val="20"/>
          <w:szCs w:val="20"/>
        </w:rPr>
        <w:t xml:space="preserve"> They are not things a supplier either has or lacks in the world — they are documents GE issues for the supplier to sign during onboarding. A row of honest "No" answers is the normal starting state of a new supplier and is what prompts them to be sent. It does not look weak. It looks like someone who read the question.</w:t>
      </w:r>
    </w:p>
    <w:p>
      <w:pPr>
        <w:spacing w:after="90" w:before="90" w:line="280"/>
      </w:pPr>
      <w:r>
        <w:rPr>
          <w:rFonts w:ascii="Arial" w:cs="Arial" w:eastAsia="Arial" w:hAnsi="Arial"/>
          <w:b/>
          <w:bCs/>
          <w:color w:val="14181D"/>
          <w:sz w:val="20"/>
          <w:szCs w:val="20"/>
        </w:rPr>
        <w:t xml:space="preserve">And the asymmetry is total.</w:t>
      </w:r>
      <w:r>
        <w:rPr>
          <w:rFonts w:ascii="Arial" w:cs="Arial" w:eastAsia="Arial" w:hAnsi="Arial"/>
          <w:color w:val="14181D"/>
          <w:sz w:val="20"/>
          <w:szCs w:val="20"/>
        </w:rPr>
        <w:t xml:space="preserve"> A true No costs nothing here; every Yes will be asked for a certificate number, a scope and an expiry date, with an upload. A Yes that cannot be evidenced ends the relationship at the screening stage, in a process whose invitation letter opens with </w:t>
      </w:r>
      <w:r>
        <w:rPr>
          <w:rFonts w:ascii="Arial" w:cs="Arial" w:eastAsia="Arial" w:hAnsi="Arial"/>
          <w:i/>
          <w:iCs/>
          <w:color w:val="14181D"/>
          <w:sz w:val="20"/>
          <w:szCs w:val="20"/>
        </w:rPr>
        <w:t xml:space="preserve">unyielding integrity</w:t>
      </w:r>
      <w:r>
        <w:rPr>
          <w:rFonts w:ascii="Arial" w:cs="Arial" w:eastAsia="Arial" w:hAnsi="Arial"/>
          <w:color w:val="14181D"/>
          <w:sz w:val="20"/>
          <w:szCs w:val="20"/>
        </w:rPr>
        <w:t xml:space="preserve">.</w:t>
      </w:r>
    </w:p>
    <w:p>
      <w:pPr>
        <w:spacing w:after="90" w:before="90" w:line="280"/>
      </w:pPr>
      <w:r>
        <w:rPr>
          <w:rFonts w:ascii="Arial" w:cs="Arial" w:eastAsia="Arial" w:hAnsi="Arial"/>
          <w:b/>
          <w:bCs/>
          <w:color w:val="14181D"/>
          <w:sz w:val="20"/>
          <w:szCs w:val="20"/>
        </w:rPr>
        <w:t xml:space="preserve">On the last row.</w:t>
      </w:r>
      <w:r>
        <w:rPr>
          <w:rFonts w:ascii="Arial" w:cs="Arial" w:eastAsia="Arial" w:hAnsi="Arial"/>
          <w:color w:val="14181D"/>
          <w:sz w:val="20"/>
          <w:szCs w:val="20"/>
        </w:rPr>
        <w:t xml:space="preserve"> Enter the director's qualifications and label them as personal rather than corporate: MCIOB Chartered Construction Manager, CSCS card, APMP, PRINCE2 Foundation, and </w:t>
      </w:r>
      <w:r>
        <w:rPr>
          <w:rFonts w:ascii="Arial" w:cs="Arial" w:eastAsia="Arial" w:hAnsi="Arial"/>
          <w:b/>
          <w:bCs/>
          <w:color w:val="14181D"/>
          <w:sz w:val="20"/>
          <w:szCs w:val="20"/>
        </w:rPr>
        <w:t xml:space="preserve">CDM 2015 Principal Designer training — written as training, never as an appointment.</w:t>
      </w:r>
      <w:r>
        <w:rPr>
          <w:rFonts w:ascii="Arial" w:cs="Arial" w:eastAsia="Arial" w:hAnsi="Arial"/>
          <w:color w:val="14181D"/>
          <w:sz w:val="20"/>
          <w:szCs w:val="20"/>
        </w:rPr>
        <w:t xml:space="preserve"> They are genuinely relevant, because what GE Vernova is buying from a services supplier is competence held by a named person. They are not ETABLIX certifications and must not be entered as though they were.</w:t>
      </w:r>
    </w:p>
    <w:p>
      <w:pPr>
        <w:pStyle w:val="Heading2"/>
        <w:keepNext/>
        <w:spacing w:after="110" w:before="260"/>
      </w:pPr>
      <w:r>
        <w:rPr>
          <w:rFonts w:ascii="Arial" w:cs="Arial" w:eastAsia="Arial" w:hAnsi="Arial"/>
          <w:b/>
          <w:bCs/>
          <w:color w:val="9C7A3C"/>
          <w:sz w:val="21"/>
          <w:szCs w:val="21"/>
        </w:rPr>
        <w:t xml:space="preserve">The portal hard-blocks on ISO or QMS. Do not solve that by answering Yes.</w:t>
      </w:r>
    </w:p>
    <w:p>
      <w:pPr>
        <w:spacing w:after="90" w:before="90" w:line="280"/>
      </w:pPr>
      <w:r>
        <w:rPr>
          <w:rFonts w:ascii="Arial" w:cs="Arial" w:eastAsia="Arial" w:hAnsi="Arial"/>
          <w:color w:val="14181D"/>
          <w:sz w:val="20"/>
          <w:szCs w:val="20"/>
        </w:rPr>
        <w:t xml:space="preserve">SCx refuses to progress: </w:t>
      </w:r>
      <w:r>
        <w:rPr>
          <w:rFonts w:ascii="Arial" w:cs="Arial" w:eastAsia="Arial" w:hAnsi="Arial"/>
          <w:i/>
          <w:iCs/>
          <w:color w:val="14181D"/>
          <w:sz w:val="20"/>
          <w:szCs w:val="20"/>
        </w:rPr>
        <w:t xml:space="preserve">"SQE Certifications — Please select at least one of ISO or QMS certificate."</w:t>
      </w:r>
      <w:r>
        <w:rPr>
          <w:rFonts w:ascii="Arial" w:cs="Arial" w:eastAsia="Arial" w:hAnsi="Arial"/>
          <w:color w:val="14181D"/>
          <w:sz w:val="20"/>
          <w:szCs w:val="20"/>
        </w:rPr>
        <w:t xml:space="preserve"> Neither is held. There are four ways through and only three of them are available.</w:t>
      </w:r>
    </w:p>
    <w:p>
      <w:pPr>
        <w:spacing w:after="90" w:before="90" w:line="280"/>
      </w:pPr>
      <w:r>
        <w:rPr>
          <w:rFonts w:ascii="Arial" w:cs="Arial" w:eastAsia="Arial" w:hAnsi="Arial"/>
          <w:b/>
          <w:bCs/>
          <w:color w:val="14181D"/>
          <w:sz w:val="20"/>
          <w:szCs w:val="20"/>
        </w:rPr>
        <w:t xml:space="preserve">The one that is not available is claiming one.</w:t>
      </w:r>
      <w:r>
        <w:rPr>
          <w:rFonts w:ascii="Arial" w:cs="Arial" w:eastAsia="Arial" w:hAnsi="Arial"/>
          <w:color w:val="14181D"/>
          <w:sz w:val="20"/>
          <w:szCs w:val="20"/>
        </w:rPr>
        <w:t xml:space="preserve"> A fabricated ISO 9001 entry in a portal that performs background screening, in a process whose invitation opens with </w:t>
      </w:r>
      <w:r>
        <w:rPr>
          <w:rFonts w:ascii="Arial" w:cs="Arial" w:eastAsia="Arial" w:hAnsi="Arial"/>
          <w:i/>
          <w:iCs/>
          <w:color w:val="14181D"/>
          <w:sz w:val="20"/>
          <w:szCs w:val="20"/>
        </w:rPr>
        <w:t xml:space="preserve">unyielding integrity</w:t>
      </w:r>
      <w:r>
        <w:rPr>
          <w:rFonts w:ascii="Arial" w:cs="Arial" w:eastAsia="Arial" w:hAnsi="Arial"/>
          <w:color w:val="14181D"/>
          <w:sz w:val="20"/>
          <w:szCs w:val="20"/>
        </w:rPr>
        <w:t xml:space="preserve">, is not a shortcut. It ends the supplier relationship, it ends the reference, and it would be a false statement made to obtain a commercial advantage. The form being inconvenient does not change that. If nothing below works, the registration waits.</w:t>
      </w:r>
    </w:p>
    <w:p>
      <w:pPr>
        <w:spacing w:after="90" w:before="90" w:line="280"/>
      </w:pPr>
      <w:r>
        <w:rPr>
          <w:rFonts w:ascii="Arial" w:cs="Arial" w:eastAsia="Arial" w:hAnsi="Arial"/>
          <w:b/>
          <w:bCs/>
          <w:color w:val="14181D"/>
          <w:sz w:val="20"/>
          <w:szCs w:val="20"/>
        </w:rPr>
        <w:t xml:space="preserve">Route one: the question may not mean what the error says.</w:t>
      </w:r>
      <w:r>
        <w:rPr>
          <w:rFonts w:ascii="Arial" w:cs="Arial" w:eastAsia="Arial" w:hAnsi="Arial"/>
          <w:color w:val="14181D"/>
          <w:sz w:val="20"/>
          <w:szCs w:val="20"/>
        </w:rPr>
        <w:t xml:space="preserve"> The field asks </w:t>
      </w:r>
      <w:r>
        <w:rPr>
          <w:rFonts w:ascii="Arial" w:cs="Arial" w:eastAsia="Arial" w:hAnsi="Arial"/>
          <w:i/>
          <w:iCs/>
          <w:color w:val="14181D"/>
          <w:sz w:val="20"/>
          <w:szCs w:val="20"/>
        </w:rPr>
        <w:t xml:space="preserve">"Do you have any QMS Certifications?"</w:t>
      </w:r>
      <w:r>
        <w:rPr>
          <w:rFonts w:ascii="Arial" w:cs="Arial" w:eastAsia="Arial" w:hAnsi="Arial"/>
          <w:color w:val="14181D"/>
          <w:sz w:val="20"/>
          <w:szCs w:val="20"/>
        </w:rPr>
        <w:t xml:space="preserve"> and the error says </w:t>
      </w:r>
      <w:r>
        <w:rPr>
          <w:rFonts w:ascii="Arial" w:cs="Arial" w:eastAsia="Arial" w:hAnsi="Arial"/>
          <w:i/>
          <w:iCs/>
          <w:color w:val="14181D"/>
          <w:sz w:val="20"/>
          <w:szCs w:val="20"/>
        </w:rPr>
        <w:t xml:space="preserve">"certificate"</w:t>
      </w:r>
      <w:r>
        <w:rPr>
          <w:rFonts w:ascii="Arial" w:cs="Arial" w:eastAsia="Arial" w:hAnsi="Arial"/>
          <w:color w:val="14181D"/>
          <w:sz w:val="20"/>
          <w:szCs w:val="20"/>
        </w:rPr>
        <w:t xml:space="preserve">, but many supplier portals use the QMS row for a documented quality management system rather than third-party certification. ETABLIX has signed, documented quality management arrangements. </w:t>
      </w:r>
      <w:r>
        <w:rPr>
          <w:rFonts w:ascii="Arial" w:cs="Arial" w:eastAsia="Arial" w:hAnsi="Arial"/>
          <w:b/>
          <w:bCs/>
          <w:color w:val="14181D"/>
          <w:sz w:val="20"/>
          <w:szCs w:val="20"/>
        </w:rPr>
        <w:t xml:space="preserve">If the field accepts documentation, the honest answer is Yes and the arrangements are the upload. If it requires a certificate, the answer stays No.</w:t>
      </w:r>
      <w:r>
        <w:rPr>
          <w:rFonts w:ascii="Arial" w:cs="Arial" w:eastAsia="Arial" w:hAnsi="Arial"/>
          <w:color w:val="14181D"/>
          <w:sz w:val="20"/>
          <w:szCs w:val="20"/>
        </w:rPr>
        <w:t xml:space="preserve"> That ambiguity is not ours to resolve in our own favour — ask and use the answer.</w:t>
      </w:r>
    </w:p>
    <w:p>
      <w:pPr>
        <w:spacing w:after="90" w:before="90" w:line="280"/>
      </w:pPr>
      <w:r>
        <w:rPr>
          <w:rFonts w:ascii="Arial" w:cs="Arial" w:eastAsia="Arial" w:hAnsi="Arial"/>
          <w:b/>
          <w:bCs/>
          <w:color w:val="14181D"/>
          <w:sz w:val="20"/>
          <w:szCs w:val="20"/>
        </w:rPr>
        <w:t xml:space="preserve">Route two: the category is probably wrong.</w:t>
      </w:r>
      <w:r>
        <w:rPr>
          <w:rFonts w:ascii="Arial" w:cs="Arial" w:eastAsia="Arial" w:hAnsi="Arial"/>
          <w:color w:val="14181D"/>
          <w:sz w:val="20"/>
          <w:szCs w:val="20"/>
        </w:rPr>
        <w:t xml:space="preserve"> SQE stands for Supplier Quality Engineering, and a mandatory ISO or QMS gate is a </w:t>
      </w:r>
      <w:r>
        <w:rPr>
          <w:rFonts w:ascii="Arial" w:cs="Arial" w:eastAsia="Arial" w:hAnsi="Arial"/>
          <w:i/>
          <w:iCs/>
          <w:color w:val="14181D"/>
          <w:sz w:val="20"/>
          <w:szCs w:val="20"/>
        </w:rPr>
        <w:t xml:space="preserve">goods and manufacturing</w:t>
      </w:r>
      <w:r>
        <w:rPr>
          <w:rFonts w:ascii="Arial" w:cs="Arial" w:eastAsia="Arial" w:hAnsi="Arial"/>
          <w:color w:val="14181D"/>
          <w:sz w:val="20"/>
          <w:szCs w:val="20"/>
        </w:rPr>
        <w:t xml:space="preserve"> rule. A professional services supplier that ships nothing and manufactures nothing is normally routed to a different questionnaire or granted a documented exemption. If registration went in under a goods or manufacturing commodity code, this gate is a symptom of that and re-categorisation removes it. This is the same commodity-code question that has to be settled anyway before a purchase order can be raised.</w:t>
      </w:r>
    </w:p>
    <w:p>
      <w:pPr>
        <w:spacing w:after="90" w:before="90" w:line="280"/>
      </w:pPr>
      <w:r>
        <w:rPr>
          <w:rFonts w:ascii="Arial" w:cs="Arial" w:eastAsia="Arial" w:hAnsi="Arial"/>
          <w:b/>
          <w:bCs/>
          <w:color w:val="14181D"/>
          <w:sz w:val="20"/>
          <w:szCs w:val="20"/>
        </w:rPr>
        <w:t xml:space="preserve">Route three: an SQE can waive it, and that is their job.</w:t>
      </w:r>
      <w:r>
        <w:rPr>
          <w:rFonts w:ascii="Arial" w:cs="Arial" w:eastAsia="Arial" w:hAnsi="Arial"/>
          <w:color w:val="14181D"/>
          <w:sz w:val="20"/>
          <w:szCs w:val="20"/>
        </w:rPr>
        <w:t xml:space="preserve"> There is a named human function behind this screen. A supplier quality engineer determines what quality requirements apply to a given supplier and category, and routinely sets them aside for low-risk service suppliers. Ask for the determination; do not ask for an exception.</w:t>
      </w:r>
    </w:p>
    <w:p>
      <w:pPr>
        <w:spacing w:after="90" w:before="90" w:line="280"/>
      </w:pPr>
      <w:r>
        <w:rPr>
          <w:rFonts w:ascii="Arial" w:cs="Arial" w:eastAsia="Arial" w:hAnsi="Arial"/>
          <w:b/>
          <w:bCs/>
          <w:color w:val="14181D"/>
          <w:sz w:val="20"/>
          <w:szCs w:val="20"/>
        </w:rPr>
        <w:t xml:space="preserve">Use the Live Chat first</w:t>
      </w:r>
      <w:r>
        <w:rPr>
          <w:rFonts w:ascii="Arial" w:cs="Arial" w:eastAsia="Arial" w:hAnsi="Arial"/>
          <w:color w:val="14181D"/>
          <w:sz w:val="20"/>
          <w:szCs w:val="20"/>
        </w:rPr>
        <w:t xml:space="preserve"> — the invitation includes the link and it is the fastest route. If it cannot resolve it, write to Marc Townsend. Either way the question is a factual one with a factual answer, and asking it is itself a good first impression: it is what a supplier who reads the question does.</w:t>
      </w:r>
    </w:p>
    <w:p>
      <w:pPr>
        <w:spacing w:after="90" w:before="90" w:line="280"/>
      </w:pPr>
      <w:r>
        <w:rPr>
          <w:rFonts w:ascii="Arial" w:cs="Arial" w:eastAsia="Arial" w:hAnsi="Arial"/>
          <w:b/>
          <w:bCs/>
          <w:color w:val="14181D"/>
          <w:sz w:val="20"/>
          <w:szCs w:val="20"/>
        </w:rPr>
        <w:t xml:space="preserve">4. Declare the former employment before anyone has to find it.</w:t>
      </w:r>
      <w:r>
        <w:rPr>
          <w:rFonts w:ascii="Arial" w:cs="Arial" w:eastAsia="Arial" w:hAnsi="Arial"/>
          <w:color w:val="14181D"/>
          <w:sz w:val="20"/>
          <w:szCs w:val="20"/>
        </w:rPr>
        <w:t xml:space="preserve"> The director was a GE Vernova employee until December 2025 and is now applying to be a supplier to the same business unit. Many organisations have conflict-of-interest rules or cooling-off expectations about exactly this. If the application has a conflicts field, state it there. If it does not, state it in writing to Marc Townsend anyway.</w:t>
      </w:r>
    </w:p>
    <w:p>
      <w:pPr>
        <w:spacing w:after="90" w:before="90" w:line="280"/>
      </w:pPr>
      <w:r>
        <w:rPr>
          <w:rFonts w:ascii="Arial" w:cs="Arial" w:eastAsia="Arial" w:hAnsi="Arial"/>
          <w:color w:val="14181D"/>
          <w:sz w:val="20"/>
          <w:szCs w:val="20"/>
        </w:rPr>
        <w:t xml:space="preserve">It is not a problem if declared and it is a serious problem if discovered. And it is the cheapest possible demonstration of the integrity the Supplier Integrity Guide asks for.</w:t>
      </w:r>
    </w:p>
    <w:p>
      <w:pPr>
        <w:spacing w:after="90" w:before="90" w:line="280"/>
      </w:pPr>
      <w:r>
        <w:rPr>
          <w:rFonts w:ascii="Arial" w:cs="Arial" w:eastAsia="Arial" w:hAnsi="Arial"/>
          <w:b/>
          <w:bCs/>
          <w:color w:val="14181D"/>
          <w:sz w:val="20"/>
          <w:szCs w:val="20"/>
        </w:rPr>
        <w:t xml:space="preserve">5. Read the attached NDA before acknowledging it — specifically for the reference clause.</w:t>
      </w:r>
      <w:r>
        <w:rPr>
          <w:rFonts w:ascii="Arial" w:cs="Arial" w:eastAsia="Arial" w:hAnsi="Arial"/>
          <w:color w:val="14181D"/>
          <w:sz w:val="20"/>
          <w:szCs w:val="20"/>
        </w:rPr>
        <w:t xml:space="preserve"> The whole procurement value of this engagement depends on being able to say GE Vernova was a customer and to have them countersign an Attachment 1a.</w:t>
      </w:r>
    </w:p>
    <w:p>
      <w:pPr>
        <w:spacing w:after="90" w:before="90" w:line="280"/>
      </w:pPr>
      <w:r>
        <w:rPr>
          <w:rFonts w:ascii="Arial" w:cs="Arial" w:eastAsia="Arial" w:hAnsi="Arial"/>
          <w:color w:val="14181D"/>
          <w:sz w:val="20"/>
          <w:szCs w:val="20"/>
        </w:rPr>
        <w:t xml:space="preserve">If the NDA prevents naming them or describing the work, that value disappears while the income remains. So read it, and if it is restrictive, ask Marc Townsend in writing for permission to name GE Vernova as a reference customer and to have a confirmation of services countersigned on completion. Ask at registration, not after the first PO. A request made while they are onboarding you is routine; the same request made later is a negotiation.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This reverses the advice on insurance</w:t>
      </w:r>
    </w:p>
    <w:p>
      <w:pPr>
        <w:spacing w:after="90" w:before="90" w:line="280"/>
      </w:pPr>
      <w:r>
        <w:rPr>
          <w:rFonts w:ascii="Arial" w:cs="Arial" w:eastAsia="Arial" w:hAnsi="Arial"/>
          <w:color w:val="14181D"/>
          <w:sz w:val="20"/>
          <w:szCs w:val="20"/>
        </w:rPr>
        <w:t xml:space="preserve">The earlier plan said to spend nothing on Cyber Essentials or insurance until there was income, because they are prerequisites for framework </w:t>
      </w:r>
      <w:r>
        <w:rPr>
          <w:rFonts w:ascii="Arial" w:cs="Arial" w:eastAsia="Arial" w:hAnsi="Arial"/>
          <w:b/>
          <w:bCs/>
          <w:color w:val="14181D"/>
          <w:sz w:val="20"/>
          <w:szCs w:val="20"/>
        </w:rPr>
        <w:t xml:space="preserve">appointment</w:t>
      </w:r>
      <w:r>
        <w:rPr>
          <w:rFonts w:ascii="Arial" w:cs="Arial" w:eastAsia="Arial" w:hAnsi="Arial"/>
          <w:color w:val="14181D"/>
          <w:sz w:val="20"/>
          <w:szCs w:val="20"/>
        </w:rPr>
        <w:t xml:space="preserve"> rather than registration, and the frameworks are open for four years.</w:t>
      </w:r>
    </w:p>
    <w:p>
      <w:pPr>
        <w:spacing w:after="90" w:before="90" w:line="280"/>
      </w:pPr>
      <w:r>
        <w:rPr>
          <w:rFonts w:ascii="Arial" w:cs="Arial" w:eastAsia="Arial" w:hAnsi="Arial"/>
          <w:b/>
          <w:bCs/>
          <w:color w:val="14181D"/>
          <w:sz w:val="20"/>
          <w:szCs w:val="20"/>
        </w:rPr>
        <w:t xml:space="preserve">Insurance now moves to the front.</w:t>
      </w:r>
      <w:r>
        <w:rPr>
          <w:rFonts w:ascii="Arial" w:cs="Arial" w:eastAsia="Arial" w:hAnsi="Arial"/>
          <w:color w:val="14181D"/>
          <w:sz w:val="20"/>
          <w:szCs w:val="20"/>
        </w:rPr>
        <w:t xml:space="preserve"> A tier-one contractor onboarding a supplier will require evidence of professional indemnity and public liability, and employers' liability where applicable, and will require it before a purchase order rather than after. That is no longer speculative spend against a maybe; it is a condition of the one live revenue route. Get quotes this week.</w:t>
      </w:r>
    </w:p>
    <w:p>
      <w:pPr>
        <w:spacing w:after="90" w:before="90" w:line="280"/>
      </w:pPr>
      <w:r>
        <w:rPr>
          <w:rFonts w:ascii="Arial" w:cs="Arial" w:eastAsia="Arial" w:hAnsi="Arial"/>
          <w:b/>
          <w:bCs/>
          <w:color w:val="14181D"/>
          <w:sz w:val="20"/>
          <w:szCs w:val="20"/>
        </w:rPr>
        <w:t xml:space="preserve">Cyber Essentials stays where it was</w:t>
      </w:r>
      <w:r>
        <w:rPr>
          <w:rFonts w:ascii="Arial" w:cs="Arial" w:eastAsia="Arial" w:hAnsi="Arial"/>
          <w:color w:val="14181D"/>
          <w:sz w:val="20"/>
          <w:szCs w:val="20"/>
        </w:rPr>
        <w:t xml:space="preserve"> — useful, mandatory for DPS appointment, not required to receive a purchase order. It can wait until there is money.</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one question the reply has to ask</w:t>
      </w:r>
    </w:p>
    <w:p>
      <w:pPr>
        <w:spacing w:after="90" w:before="90" w:line="280"/>
      </w:pPr>
      <w:r>
        <w:rPr>
          <w:rFonts w:ascii="Arial" w:cs="Arial" w:eastAsia="Arial" w:hAnsi="Arial"/>
          <w:color w:val="14181D"/>
          <w:sz w:val="20"/>
          <w:szCs w:val="20"/>
        </w:rPr>
        <w:t xml:space="preserve">Register first, then write. The question that matters is </w:t>
      </w:r>
      <w:r>
        <w:rPr>
          <w:rFonts w:ascii="Arial" w:cs="Arial" w:eastAsia="Arial" w:hAnsi="Arial"/>
          <w:b/>
          <w:bCs/>
          <w:color w:val="14181D"/>
          <w:sz w:val="20"/>
          <w:szCs w:val="20"/>
        </w:rPr>
        <w:t xml:space="preserve">what service category and commodity codes to register under</w:t>
      </w:r>
      <w:r>
        <w:rPr>
          <w:rFonts w:ascii="Arial" w:cs="Arial" w:eastAsia="Arial" w:hAnsi="Arial"/>
          <w:color w:val="14181D"/>
          <w:sz w:val="20"/>
          <w:szCs w:val="20"/>
        </w:rPr>
        <w:t xml:space="preserve">, because that determines what a requisitioner can raise a purchase order against.</w:t>
      </w:r>
    </w:p>
    <w:p>
      <w:pPr>
        <w:spacing w:after="90" w:before="90" w:line="280"/>
      </w:pPr>
      <w:r>
        <w:rPr>
          <w:rFonts w:ascii="Arial" w:cs="Arial" w:eastAsia="Arial" w:hAnsi="Arial"/>
          <w:color w:val="14181D"/>
          <w:sz w:val="20"/>
          <w:szCs w:val="20"/>
        </w:rPr>
        <w:t xml:space="preserve">Registered under the wrong category, the account approves and no PO can be raised through it without a change request. The scope to name is the one the director already performed there: site establishment and workforce accommodation — specification, procurement, integration, mobilisation, daily operation, demobilisation and reinstatement — and construction subcontract management.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GE Vernova has invited us to register as a supplier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 VERNOVA HAS INVITED US TO REGISTER AS A SUPPLIER</dc:title>
  <dc:creator>ETABLIX — Integrated Site Services</dc:creator>
  <dc:description>ETABLIX GE VERNOVA HAS INVITED US TO REGISTER AS A SUPPLIER</dc:description>
  <cp:lastModifiedBy>Un-named</cp:lastModifiedBy>
  <cp:revision>1</cp:revision>
  <dcterms:created xsi:type="dcterms:W3CDTF">2026-10-05T09:51:31.956Z</dcterms:created>
  <dcterms:modified xsi:type="dcterms:W3CDTF">2026-10-05T09:51:31.957Z</dcterms:modified>
</cp:coreProperties>
</file>

<file path=docProps/custom.xml><?xml version="1.0" encoding="utf-8"?>
<Properties xmlns="http://schemas.openxmlformats.org/officeDocument/2006/custom-properties" xmlns:vt="http://schemas.openxmlformats.org/officeDocument/2006/docPropsVTypes"/>
</file>