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RM6242 CONSTRUCTION PROFESSIONAL SERVICES DPS — WHERE AND HOW TO START</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RM6242 Construction Professional Services DPS — where and how to start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business/bids/rm6242-how-to-start.md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2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 ASSESSED, 1 October 2026. Read this box before anything below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GCA assessment team has now assessed the submission in full and answered the direct question. Three of the four points are closed. The fourth is a hard block, and it closes the route the rest of this project has been built on.</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Passed — financial standing. The unaudited management accounts, statement of financial position, cash flow statement, turnover statement and bank statements were accepted under Question 128 as an acceptable alternative method of demonstrating economic and financial standing for a recently incorporated business with a null Dun &amp; Bradstreet score. The FVRA documents did their job. No guarantor was needed, exactly as Jan Williams indicated.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Closed — Carbon Reduction Plan. Selecting contract and fee value thresholds below £5 million at Question 150 removes the mandatory PPN 06/21 published-CRP requirement. The draft CRP is held on record against a future increase in thresholds.</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Outstanding but understood — Cyber Essentials. Mandatory pass/fail for final appointment. On issue, enter the certificate serial number, scope and expiry at DPSQ Questions 5 to 7.</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WAS BLOCKED — the contract example. Now solved; see the box below. The assessment team answered the question directly: no, there is no alternative route to Appointed status without at least one completed contract example, or a completed project phase, certified on an Attachment 1a signed by both ETABLIX and the customer organisation. Three specifics matter:</w:t>
      </w:r>
    </w:p>
    <w:p>
      <w:pPr>
        <w:pStyle w:val="ListParagraph"/>
        <w:numPr>
          <w:ilvl w:val="0"/>
          <w:numId w:val="2"/>
        </w:numPr>
        <w:spacing w:after="50" w:before="50" w:line="280"/>
      </w:pPr>
      <w:r>
        <w:rPr>
          <w:rFonts w:ascii="Arial" w:cs="Arial" w:eastAsia="Arial" w:hAnsi="Arial"/>
          <w:b/>
          <w:bCs/>
          <w:color w:val="14181D"/>
          <w:sz w:val="20"/>
          <w:szCs w:val="20"/>
        </w:rPr>
        <w:t xml:space="preserve">The director's experience does not count here.</w:t>
      </w:r>
      <w:r>
        <w:rPr>
          <w:rFonts w:ascii="Arial" w:cs="Arial" w:eastAsia="Arial" w:hAnsi="Arial"/>
          <w:color w:val="14181D"/>
          <w:sz w:val="20"/>
          <w:szCs w:val="20"/>
        </w:rPr>
        <w:t xml:space="preserve"> The contract example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must be delivered by the bidding entity itself — as prime contractor, subcontractor, or a member of a Group of Economic Operators. This is the opposite of the position another assessment team gave us in writing, and both are correct for their own scheme. See the warning below.</w:t>
      </w:r>
    </w:p>
    <w:p>
      <w:pPr>
        <w:pStyle w:val="ListParagraph"/>
        <w:numPr>
          <w:ilvl w:val="0"/>
          <w:numId w:val="2"/>
        </w:numPr>
        <w:spacing w:after="50" w:before="50" w:line="280"/>
      </w:pPr>
      <w:r>
        <w:rPr>
          <w:rFonts w:ascii="Arial" w:cs="Arial" w:eastAsia="Arial" w:hAnsi="Arial"/>
          <w:color w:val="14181D"/>
          <w:sz w:val="20"/>
          <w:szCs w:val="20"/>
        </w:rPr>
        <w:t xml:space="preserve">**Selection Questionnaire Questions 133 to 137 are Not Applicable to</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RM6242 and are not evaluated** — including the 500-word explanation prompt at Question 137. The polished 496-word answer in sq-6-1-contract-examples.md has no field to go in on this DPS.</w:t>
      </w:r>
    </w:p>
    <w:p>
      <w:pPr>
        <w:pStyle w:val="ListParagraph"/>
        <w:numPr>
          <w:ilvl w:val="0"/>
          <w:numId w:val="2"/>
        </w:numPr>
        <w:spacing w:after="50" w:before="50" w:line="280"/>
      </w:pPr>
      <w:r>
        <w:rPr>
          <w:rFonts w:ascii="Arial" w:cs="Arial" w:eastAsia="Arial" w:hAnsi="Arial"/>
          <w:b/>
          <w:bCs/>
          <w:color w:val="14181D"/>
          <w:sz w:val="20"/>
          <w:szCs w:val="20"/>
        </w:rPr>
        <w:t xml:space="preserve">Evaluation happens exclusively at DPSQ Question 53</w:t>
      </w:r>
      <w:r>
        <w:rPr>
          <w:rFonts w:ascii="Arial" w:cs="Arial" w:eastAsia="Arial" w:hAnsi="Arial"/>
          <w:color w:val="14181D"/>
          <w:sz w:val="20"/>
          <w:szCs w:val="20"/>
        </w:rPr>
        <w:t xml:space="preserve">, strict pass/fail.</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No example means the system marks the application non-compliant. It is not a judgement call and nobody can exercise discretion over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 UNBLOCKED, 2 October 2026 — and this is the most valuable email of the year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assessment team answered the three follow-up questions, and the first answer is the one that matters. Asked whether a completed fixed-scope advisory appointment — a written report on site establishment requirements and costs for a single site, delivered end to end and accepted by the client — would satisfy DPSQ Question 53, they replied that it "fully satisfies the requirement for a contract example."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That is the Site Systems Diagnostic, described in their words, confirmed in writing as a qualifying contract example. The block is not years of trading. It is one paid diagnostic.</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rules around it, all now confirmed:</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 Point | Confirmed position | |---|---| | Value | No minimum and no maximum. A small paid appointment counts. | | Age | Completed within the past three years. | | Scope | Must fall within the technical service filters selected in the DPSQ. | | Quantity | One example for a single high-level service heading; two for multiple headings. | | Certification | Attachment 1a, Letter of Confirmation of Works/Services, signed by authorised representatives of both organisations. | | Position | Prime, subcontractor or a member of a Group of Economic Operators — all three fully valid. | | Joining a GoEO | Permissible, and you may apply as both an individual entity and a consortium member. The lead supplier must log into SRS and add ETABLIX as a named consortium member. | | Registered 1 | No timeout penalty. Answers can be carried into a new submission with "Reuse answers from existing selection questionnaire." Periodic email updates keep the file current. |</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Select ONE service heading. Two headings means two examples, which doubles the bottleneck for no gain while there are no examples at all. Add headings after the first Attachment 1a is banked, not before.</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Get the Attachment 1a template before the first engagement, not after. A client asked to sign a confirmation of works at the point of scoping signs it as a formality. The same client asked six weeks after the final invoice has to be persuaded. The signature requirement belongs in the engagement letter.</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And the thirty-day conflict is resolved, in favour of this team: no loss of progress or penalty at Registered 1, with periodic email updates recommended rather than required. Keep sending one every three to four weeks anyway — it costs one email.</w:t>
      </w:r>
    </w:p>
    <w:p>
      <w:pPr>
        <w:spacing w:after="90" w:before="90" w:line="280"/>
      </w:pPr>
      <w:r>
        <w:rPr>
          <w:rFonts w:ascii="Arial" w:cs="Arial" w:eastAsia="Arial" w:hAnsi="Arial"/>
          <w:color w:val="14181D"/>
          <w:sz w:val="20"/>
          <w:szCs w:val="20"/>
        </w:rPr>
        <w:t xml:space="preserve">Crown Commercial Service replied through Jan Williams, Commercial Officer, Commercial Operations. Her answer settles the question, and it points in the opposite direction to the CHIC thread.</w:t>
      </w:r>
    </w:p>
    <w:p>
      <w:pPr>
        <w:pStyle w:val="Heading1"/>
        <w:keepNext/>
        <w:pBdr>
          <w:bottom w:val="single" w:color="9C7A3C" w:sz="8" w:space="6"/>
        </w:pBdr>
        <w:spacing w:after="150" w:before="380"/>
      </w:pPr>
      <w:r>
        <w:rPr>
          <w:rFonts w:ascii="Arial" w:cs="Arial" w:eastAsia="Arial" w:hAnsi="Arial"/>
          <w:b/>
          <w:bCs/>
          <w:color w:val="14181D"/>
          <w:sz w:val="26"/>
          <w:szCs w:val="26"/>
        </w:rPr>
        <w:t xml:space="preserve">Do not reply with questions</w:t>
      </w:r>
    </w:p>
    <w:p>
      <w:pPr>
        <w:spacing w:after="90" w:before="90" w:line="280"/>
      </w:pPr>
      <w:r>
        <w:rPr>
          <w:rFonts w:ascii="Arial" w:cs="Arial" w:eastAsia="Arial" w:hAnsi="Arial"/>
          <w:color w:val="14181D"/>
          <w:sz w:val="20"/>
          <w:szCs w:val="20"/>
        </w:rPr>
        <w:t xml:space="preserve">She has answered everything asked, and she has told you where questions go: </w:t>
      </w:r>
      <w:r>
        <w:rPr>
          <w:rFonts w:ascii="Arial" w:cs="Arial" w:eastAsia="Arial" w:hAnsi="Arial"/>
          <w:b/>
          <w:bCs/>
          <w:color w:val="14181D"/>
          <w:sz w:val="20"/>
          <w:szCs w:val="20"/>
        </w:rPr>
        <w:t xml:space="preserve">"If you have any specific clarification questions regarding the PSQ, you are able to submit these via the portal."</w:t>
      </w:r>
      <w:r>
        <w:rPr>
          <w:rFonts w:ascii="Arial" w:cs="Arial" w:eastAsia="Arial" w:hAnsi="Arial"/>
          <w:color w:val="14181D"/>
          <w:sz w:val="20"/>
          <w:szCs w:val="20"/>
        </w:rPr>
        <w:t xml:space="preserve"> That is not a suggestion. RM6242 is a restricted procedure above threshold, so a clarification asked on the portal is answered to every applicant, and one asked by email either goes unanswered or puts the assessor in an awkward position. Asking by email after being told to use the portal is itself a mark against you at a stage that tests whether you follow a process.</w:t>
      </w:r>
    </w:p>
    <w:p>
      <w:pPr>
        <w:spacing w:after="90" w:before="90" w:line="280"/>
      </w:pPr>
      <w:r>
        <w:rPr>
          <w:rFonts w:ascii="Arial" w:cs="Arial" w:eastAsia="Arial" w:hAnsi="Arial"/>
          <w:color w:val="14181D"/>
          <w:sz w:val="20"/>
          <w:szCs w:val="20"/>
        </w:rPr>
        <w:t xml:space="preserve">A two-line thank-you is fine if you want to keep the contact warm. No questions in it.</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thing her reply actually changes</w:t>
      </w:r>
    </w:p>
    <w:p>
      <w:pPr>
        <w:spacing w:after="90" w:before="90" w:line="280"/>
      </w:pPr>
      <w:r>
        <w:rPr>
          <w:rFonts w:ascii="Arial" w:cs="Arial" w:eastAsia="Arial" w:hAnsi="Arial"/>
          <w:b/>
          <w:bCs/>
          <w:color w:val="14181D"/>
          <w:sz w:val="20"/>
          <w:szCs w:val="20"/>
        </w:rPr>
        <w:t xml:space="preserve">A guarantor is not a precondition here.</w:t>
      </w:r>
      <w:r>
        <w:rPr>
          <w:rFonts w:ascii="Arial" w:cs="Arial" w:eastAsia="Arial" w:hAnsi="Arial"/>
          <w:color w:val="14181D"/>
          <w:sz w:val="20"/>
          <w:szCs w:val="20"/>
        </w:rPr>
        <w:t xml:space="preserve"> Her words: complete the questionnaires including the Financial Viability Risk Assessment, the finance team assesses what you submit, and </w:t>
      </w:r>
      <w:r>
        <w:rPr>
          <w:rFonts w:ascii="Arial" w:cs="Arial" w:eastAsia="Arial" w:hAnsi="Arial"/>
          <w:i/>
          <w:iCs/>
          <w:color w:val="14181D"/>
          <w:sz w:val="20"/>
          <w:szCs w:val="20"/>
        </w:rPr>
        <w:t xml:space="preserve">"if there is then anything further that we need, such as a guarantor or alternative financial assessment evidence, they will come back to you and advise."</w:t>
      </w:r>
    </w:p>
    <w:p>
      <w:pPr>
        <w:spacing w:after="90" w:before="90" w:line="280"/>
      </w:pPr>
      <w:r>
        <w:rPr>
          <w:rFonts w:ascii="Arial" w:cs="Arial" w:eastAsia="Arial" w:hAnsi="Arial"/>
          <w:color w:val="14181D"/>
          <w:sz w:val="20"/>
          <w:szCs w:val="20"/>
        </w:rPr>
        <w:t xml:space="preserve">So the order is: submit first, and let their finance team tell you what, if anything, is missing. Do not spend a week chasing a guarantor before applying. That was the right instinct on the other DPS because that assessor raised it directly; here the buyer has said plainly it is a follow-up step, and only if needed.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value bands are the lever — read this twice</w:t>
      </w:r>
    </w:p>
    <w:p>
      <w:pPr>
        <w:spacing w:after="90" w:before="90" w:line="280"/>
      </w:pPr>
      <w:r>
        <w:rPr>
          <w:rFonts w:ascii="Arial" w:cs="Arial" w:eastAsia="Arial" w:hAnsi="Arial"/>
          <w:color w:val="14181D"/>
          <w:sz w:val="20"/>
          <w:szCs w:val="20"/>
        </w:rPr>
        <w:t xml:space="preserve">Her first paragraph: you select the services you can provide </w:t>
      </w:r>
      <w:r>
        <w:rPr>
          <w:rFonts w:ascii="Arial" w:cs="Arial" w:eastAsia="Arial" w:hAnsi="Arial"/>
          <w:b/>
          <w:bCs/>
          <w:color w:val="14181D"/>
          <w:sz w:val="20"/>
          <w:szCs w:val="20"/>
        </w:rPr>
        <w:t xml:space="preserve">"as well as the contract value bands that you can financially support."</w:t>
      </w:r>
    </w:p>
    <w:p>
      <w:pPr>
        <w:spacing w:after="90" w:before="90" w:line="280"/>
      </w:pPr>
      <w:r>
        <w:rPr>
          <w:rFonts w:ascii="Arial" w:cs="Arial" w:eastAsia="Arial" w:hAnsi="Arial"/>
          <w:color w:val="14181D"/>
          <w:sz w:val="20"/>
          <w:szCs w:val="20"/>
        </w:rPr>
        <w:t xml:space="preserve">The Financial Viability Risk Assessment is proportionate to what you claim. A company with no filed accounts that selects a high value band is assessed against a high value band, and fails. The same company selecting the lowest band it can genuinely support is assessed against that, and has a real chance.</w:t>
      </w:r>
    </w:p>
    <w:p>
      <w:pPr>
        <w:spacing w:after="90" w:before="90" w:line="280"/>
      </w:pPr>
      <w:r>
        <w:rPr>
          <w:rFonts w:ascii="Arial" w:cs="Arial" w:eastAsia="Arial" w:hAnsi="Arial"/>
          <w:b/>
          <w:bCs/>
          <w:color w:val="14181D"/>
          <w:sz w:val="20"/>
          <w:szCs w:val="20"/>
        </w:rPr>
        <w:t xml:space="preserve">Select the lowest band you can support.</w:t>
      </w:r>
      <w:r>
        <w:rPr>
          <w:rFonts w:ascii="Arial" w:cs="Arial" w:eastAsia="Arial" w:hAnsi="Arial"/>
          <w:color w:val="14181D"/>
          <w:sz w:val="20"/>
          <w:szCs w:val="20"/>
        </w:rPr>
        <w:t xml:space="preserve"> A DPS stays open for its whole life, admits suppliers throughout and lets you amend what you are registered for. Getting in at a low band and moving up on the strength of delivered work is a route that exists. Failing the financial assessment at a high band is a decline you then have to explain.</w:t>
      </w:r>
    </w:p>
    <w:p>
      <w:pPr>
        <w:spacing w:after="90" w:before="90" w:line="280"/>
      </w:pPr>
      <w:r>
        <w:rPr>
          <w:rFonts w:ascii="Arial" w:cs="Arial" w:eastAsia="Arial" w:hAnsi="Arial"/>
          <w:color w:val="14181D"/>
          <w:sz w:val="20"/>
          <w:szCs w:val="20"/>
        </w:rPr>
        <w:t xml:space="preserve">The same restraint applies to the service filters. Attachment 1 is the Filter Matrix; tick only what you can evidence and deliver.</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steps, in order</w:t>
      </w:r>
    </w:p>
    <w:p>
      <w:pPr>
        <w:pStyle w:val="ListParagraph"/>
        <w:numPr>
          <w:ilvl w:val="0"/>
          <w:numId w:val="2"/>
        </w:numPr>
        <w:spacing w:after="50" w:before="50" w:line="280"/>
      </w:pPr>
      <w:r>
        <w:rPr>
          <w:rFonts w:ascii="Arial" w:cs="Arial" w:eastAsia="Arial" w:hAnsi="Arial"/>
          <w:b/>
          <w:bCs/>
          <w:color w:val="14181D"/>
          <w:sz w:val="20"/>
          <w:szCs w:val="20"/>
        </w:rPr>
        <w:t xml:space="preserve">1. </w:t>
      </w:r>
      <w:r>
        <w:rPr>
          <w:rFonts w:ascii="Arial" w:cs="Arial" w:eastAsia="Arial" w:hAnsi="Arial"/>
          <w:b/>
          <w:bCs/>
          <w:color w:val="14181D"/>
          <w:sz w:val="20"/>
          <w:szCs w:val="20"/>
        </w:rPr>
        <w:t xml:space="preserve">Register on the Cabinet Office Supplier Registration Service</w:t>
      </w:r>
      <w:r>
        <w:rPr>
          <w:rFonts w:ascii="Arial" w:cs="Arial" w:eastAsia="Arial" w:hAnsi="Arial"/>
          <w:color w:val="14181D"/>
          <w:sz w:val="20"/>
          <w:szCs w:val="20"/>
        </w:rPr>
        <w:t xml:space="preserve"> at </w:t>
      </w:r>
      <w:r>
        <w:rPr>
          <w:rFonts w:ascii="Arial" w:cs="Arial" w:eastAsia="Arial" w:hAnsi="Arial"/>
          <w:i/>
          <w:iCs/>
          <w:color w:val="14181D"/>
          <w:sz w:val="20"/>
          <w:szCs w:val="20"/>
        </w:rPr>
        <w:t xml:space="preserve">supplierregistration.cabinetoffice.gov.uk</w:t>
      </w:r>
      <w:r>
        <w:rPr>
          <w:rFonts w:ascii="Arial" w:cs="Arial" w:eastAsia="Arial" w:hAnsi="Arial"/>
          <w:color w:val="14181D"/>
          <w:sz w:val="20"/>
          <w:szCs w:val="20"/>
        </w:rPr>
        <w:t xml:space="preserve">. It is free. </w:t>
      </w:r>
      <w:r>
        <w:rPr>
          <w:rFonts w:ascii="Arial" w:cs="Arial" w:eastAsia="Arial" w:hAnsi="Arial"/>
          <w:b/>
          <w:bCs/>
          <w:color w:val="14181D"/>
          <w:sz w:val="20"/>
          <w:szCs w:val="20"/>
        </w:rPr>
        <w:t xml:space="preserve">Never pay to register on a public procurement portal</w:t>
      </w:r>
      <w:r>
        <w:rPr>
          <w:rFonts w:ascii="Arial" w:cs="Arial" w:eastAsia="Arial" w:hAnsi="Arial"/>
          <w:color w:val="14181D"/>
          <w:sz w:val="20"/>
          <w:szCs w:val="20"/>
        </w:rPr>
        <w:t xml:space="preserve"> — if a page asks for a fee, you are on the wrong site.</w:t>
      </w:r>
    </w:p>
    <w:p>
      <w:pPr>
        <w:pStyle w:val="ListParagraph"/>
        <w:numPr>
          <w:ilvl w:val="0"/>
          <w:numId w:val="2"/>
        </w:numPr>
        <w:spacing w:after="50" w:before="50" w:line="280"/>
      </w:pPr>
      <w:r>
        <w:rPr>
          <w:rFonts w:ascii="Arial" w:cs="Arial" w:eastAsia="Arial" w:hAnsi="Arial"/>
          <w:b/>
          <w:bCs/>
          <w:color w:val="14181D"/>
          <w:sz w:val="20"/>
          <w:szCs w:val="20"/>
        </w:rPr>
        <w:t xml:space="preserve">2. </w:t>
      </w:r>
      <w:r>
        <w:rPr>
          <w:rFonts w:ascii="Arial" w:cs="Arial" w:eastAsia="Arial" w:hAnsi="Arial"/>
          <w:b/>
          <w:bCs/>
          <w:color w:val="14181D"/>
          <w:sz w:val="20"/>
          <w:szCs w:val="20"/>
        </w:rPr>
        <w:t xml:space="preserve">Find RM6242</w:t>
      </w:r>
      <w:r>
        <w:rPr>
          <w:rFonts w:ascii="Arial" w:cs="Arial" w:eastAsia="Arial" w:hAnsi="Arial"/>
          <w:color w:val="14181D"/>
          <w:sz w:val="20"/>
          <w:szCs w:val="20"/>
        </w:rPr>
        <w:t xml:space="preserve"> and download the whole document set.</w:t>
      </w:r>
    </w:p>
    <w:p>
      <w:pPr>
        <w:pStyle w:val="ListParagraph"/>
        <w:numPr>
          <w:ilvl w:val="0"/>
          <w:numId w:val="2"/>
        </w:numPr>
        <w:spacing w:after="50" w:before="50" w:line="280"/>
      </w:pPr>
      <w:r>
        <w:rPr>
          <w:rFonts w:ascii="Arial" w:cs="Arial" w:eastAsia="Arial" w:hAnsi="Arial"/>
          <w:b/>
          <w:bCs/>
          <w:color w:val="14181D"/>
          <w:sz w:val="20"/>
          <w:szCs w:val="20"/>
        </w:rPr>
        <w:t xml:space="preserve">3. </w:t>
      </w:r>
      <w:r>
        <w:rPr>
          <w:rFonts w:ascii="Arial" w:cs="Arial" w:eastAsia="Arial" w:hAnsi="Arial"/>
          <w:b/>
          <w:bCs/>
          <w:color w:val="14181D"/>
          <w:sz w:val="20"/>
          <w:szCs w:val="20"/>
        </w:rPr>
        <w:t xml:space="preserve">Read `READ FIRST RM6242 DPS Needs v4.0`</w:t>
      </w:r>
      <w:r>
        <w:rPr>
          <w:rFonts w:ascii="Arial" w:cs="Arial" w:eastAsia="Arial" w:hAnsi="Arial"/>
          <w:color w:val="14181D"/>
          <w:sz w:val="20"/>
          <w:szCs w:val="20"/>
        </w:rPr>
        <w:t xml:space="preserve"> before anything else. It is named that way for a reason.</w:t>
      </w:r>
    </w:p>
    <w:p>
      <w:pPr>
        <w:pStyle w:val="ListParagraph"/>
        <w:numPr>
          <w:ilvl w:val="0"/>
          <w:numId w:val="2"/>
        </w:numPr>
        <w:spacing w:after="50" w:before="50" w:line="280"/>
      </w:pPr>
      <w:r>
        <w:rPr>
          <w:rFonts w:ascii="Arial" w:cs="Arial" w:eastAsia="Arial" w:hAnsi="Arial"/>
          <w:b/>
          <w:bCs/>
          <w:color w:val="14181D"/>
          <w:sz w:val="20"/>
          <w:szCs w:val="20"/>
        </w:rPr>
        <w:t xml:space="preserve">4. </w:t>
      </w:r>
      <w:r>
        <w:rPr>
          <w:rFonts w:ascii="Arial" w:cs="Arial" w:eastAsia="Arial" w:hAnsi="Arial"/>
          <w:b/>
          <w:bCs/>
          <w:color w:val="14181D"/>
          <w:sz w:val="20"/>
          <w:szCs w:val="20"/>
        </w:rPr>
        <w:t xml:space="preserve">Open Attachment 6, the DPSQ.</w:t>
      </w:r>
      <w:r>
        <w:rPr>
          <w:rFonts w:ascii="Arial" w:cs="Arial" w:eastAsia="Arial" w:hAnsi="Arial"/>
          <w:color w:val="14181D"/>
          <w:sz w:val="20"/>
          <w:szCs w:val="20"/>
        </w:rPr>
        <w:t xml:space="preserve"> This is the selection questionnaire itself, so it replaces guesswork about what is asked with the actual questions. Read it end to end before answering anything.</w:t>
      </w:r>
    </w:p>
    <w:p>
      <w:pPr>
        <w:pStyle w:val="ListParagraph"/>
        <w:numPr>
          <w:ilvl w:val="0"/>
          <w:numId w:val="2"/>
        </w:numPr>
        <w:spacing w:after="50" w:before="50" w:line="280"/>
      </w:pPr>
      <w:r>
        <w:rPr>
          <w:rFonts w:ascii="Arial" w:cs="Arial" w:eastAsia="Arial" w:hAnsi="Arial"/>
          <w:b/>
          <w:bCs/>
          <w:color w:val="14181D"/>
          <w:sz w:val="20"/>
          <w:szCs w:val="20"/>
        </w:rPr>
        <w:t xml:space="preserve">5. </w:t>
      </w:r>
      <w:r>
        <w:rPr>
          <w:rFonts w:ascii="Arial" w:cs="Arial" w:eastAsia="Arial" w:hAnsi="Arial"/>
          <w:b/>
          <w:bCs/>
          <w:color w:val="14181D"/>
          <w:sz w:val="20"/>
          <w:szCs w:val="20"/>
        </w:rPr>
        <w:t xml:space="preserve">Open Attachment 1, the Filter Matrix</w:t>
      </w:r>
      <w:r>
        <w:rPr>
          <w:rFonts w:ascii="Arial" w:cs="Arial" w:eastAsia="Arial" w:hAnsi="Arial"/>
          <w:color w:val="14181D"/>
          <w:sz w:val="20"/>
          <w:szCs w:val="20"/>
        </w:rPr>
        <w:t xml:space="preserve">, and decide the services and the value bands. Decide the bands before you start writing — every financial answer downstream is calibrated to them.</w:t>
      </w:r>
    </w:p>
    <w:p>
      <w:pPr>
        <w:pStyle w:val="ListParagraph"/>
        <w:numPr>
          <w:ilvl w:val="0"/>
          <w:numId w:val="2"/>
        </w:numPr>
        <w:spacing w:after="50" w:before="50" w:line="280"/>
      </w:pPr>
      <w:r>
        <w:rPr>
          <w:rFonts w:ascii="Arial" w:cs="Arial" w:eastAsia="Arial" w:hAnsi="Arial"/>
          <w:b/>
          <w:bCs/>
          <w:color w:val="14181D"/>
          <w:sz w:val="20"/>
          <w:szCs w:val="20"/>
        </w:rPr>
        <w:t xml:space="preserve">6. </w:t>
      </w:r>
      <w:r>
        <w:rPr>
          <w:rFonts w:ascii="Arial" w:cs="Arial" w:eastAsia="Arial" w:hAnsi="Arial"/>
          <w:b/>
          <w:bCs/>
          <w:color w:val="14181D"/>
          <w:sz w:val="20"/>
          <w:szCs w:val="20"/>
        </w:rPr>
        <w:t xml:space="preserve">Open Attachment 3, the Financial Assessment Template</w:t>
      </w:r>
      <w:r>
        <w:rPr>
          <w:rFonts w:ascii="Arial" w:cs="Arial" w:eastAsia="Arial" w:hAnsi="Arial"/>
          <w:color w:val="14181D"/>
          <w:sz w:val="20"/>
          <w:szCs w:val="20"/>
        </w:rPr>
        <w:t xml:space="preserve">, and complete it early. This is the pinch point for a company without filed accounts, and it is the part that takes longest. Get the accountant on it.</w:t>
      </w:r>
    </w:p>
    <w:p>
      <w:pPr>
        <w:pStyle w:val="ListParagraph"/>
        <w:numPr>
          <w:ilvl w:val="0"/>
          <w:numId w:val="2"/>
        </w:numPr>
        <w:spacing w:after="50" w:before="50" w:line="280"/>
      </w:pPr>
      <w:r>
        <w:rPr>
          <w:rFonts w:ascii="Arial" w:cs="Arial" w:eastAsia="Arial" w:hAnsi="Arial"/>
          <w:b/>
          <w:bCs/>
          <w:color w:val="14181D"/>
          <w:sz w:val="20"/>
          <w:szCs w:val="20"/>
        </w:rPr>
        <w:t xml:space="preserve">7. </w:t>
      </w:r>
      <w:r>
        <w:rPr>
          <w:rFonts w:ascii="Arial" w:cs="Arial" w:eastAsia="Arial" w:hAnsi="Arial"/>
          <w:b/>
          <w:bCs/>
          <w:color w:val="14181D"/>
          <w:sz w:val="20"/>
          <w:szCs w:val="20"/>
        </w:rPr>
        <w:t xml:space="preserve">Complete the Financial Viability Risk Assessment</w:t>
      </w:r>
      <w:r>
        <w:rPr>
          <w:rFonts w:ascii="Arial" w:cs="Arial" w:eastAsia="Arial" w:hAnsi="Arial"/>
          <w:color w:val="14181D"/>
          <w:sz w:val="20"/>
          <w:szCs w:val="20"/>
        </w:rPr>
        <w:t xml:space="preserve"> with the management accounts, the cash position and the forecast — the same documents built for the other application. The forecast skeleton is at </w:t>
      </w:r>
      <w:r>
        <w:rPr>
          <w:rFonts w:ascii="Arial" w:cs="Arial" w:eastAsia="Arial" w:hAnsi="Arial"/>
          <w:i/>
          <w:iCs/>
          <w:color w:val="14181D"/>
          <w:sz w:val="20"/>
          <w:szCs w:val="20"/>
        </w:rPr>
        <w:t xml:space="preserve">business/bids/ETABLIX-cash-flow-forecast.xlsx</w:t>
      </w:r>
      <w:r>
        <w:rPr>
          <w:rFonts w:ascii="Arial" w:cs="Arial" w:eastAsia="Arial" w:hAnsi="Arial"/>
          <w:color w:val="14181D"/>
          <w:sz w:val="20"/>
          <w:szCs w:val="20"/>
        </w:rPr>
        <w:t xml:space="preserve">.</w:t>
      </w:r>
    </w:p>
    <w:p>
      <w:pPr>
        <w:pStyle w:val="ListParagraph"/>
        <w:numPr>
          <w:ilvl w:val="0"/>
          <w:numId w:val="2"/>
        </w:numPr>
        <w:spacing w:after="50" w:before="50" w:line="280"/>
      </w:pPr>
      <w:r>
        <w:rPr>
          <w:rFonts w:ascii="Arial" w:cs="Arial" w:eastAsia="Arial" w:hAnsi="Arial"/>
          <w:b/>
          <w:bCs/>
          <w:color w:val="14181D"/>
          <w:sz w:val="20"/>
          <w:szCs w:val="20"/>
        </w:rPr>
        <w:t xml:space="preserve">8. </w:t>
      </w:r>
      <w:r>
        <w:rPr>
          <w:rFonts w:ascii="Arial" w:cs="Arial" w:eastAsia="Arial" w:hAnsi="Arial"/>
          <w:b/>
          <w:bCs/>
          <w:color w:val="14181D"/>
          <w:sz w:val="20"/>
          <w:szCs w:val="20"/>
        </w:rPr>
        <w:t xml:space="preserve">Answer the DPSQ.</w:t>
      </w:r>
      <w:r>
        <w:rPr>
          <w:rFonts w:ascii="Arial" w:cs="Arial" w:eastAsia="Arial" w:hAnsi="Arial"/>
          <w:color w:val="14181D"/>
          <w:sz w:val="20"/>
          <w:szCs w:val="20"/>
        </w:rPr>
        <w:t xml:space="preserve"> Parts 1 and 2 are company facts and exclusion grounds. Part 3 is selection. Where a question asks for something not held, say so plainly and say when it will be — self-certifying something untrue here is a ground for exclusion later, not a gap that gets forgiven.</w:t>
      </w:r>
    </w:p>
    <w:p>
      <w:pPr>
        <w:pStyle w:val="ListParagraph"/>
        <w:numPr>
          <w:ilvl w:val="0"/>
          <w:numId w:val="2"/>
        </w:numPr>
        <w:spacing w:after="50" w:before="50" w:line="280"/>
      </w:pPr>
      <w:r>
        <w:rPr>
          <w:rFonts w:ascii="Arial" w:cs="Arial" w:eastAsia="Arial" w:hAnsi="Arial"/>
          <w:b/>
          <w:bCs/>
          <w:color w:val="14181D"/>
          <w:sz w:val="20"/>
          <w:szCs w:val="20"/>
        </w:rPr>
        <w:t xml:space="preserve">9. </w:t>
      </w:r>
      <w:r>
        <w:rPr>
          <w:rFonts w:ascii="Arial" w:cs="Arial" w:eastAsia="Arial" w:hAnsi="Arial"/>
          <w:b/>
          <w:bCs/>
          <w:color w:val="14181D"/>
          <w:sz w:val="20"/>
          <w:szCs w:val="20"/>
        </w:rPr>
        <w:t xml:space="preserve">Any question you still have goes on the portal message board</w:t>
      </w:r>
      <w:r>
        <w:rPr>
          <w:rFonts w:ascii="Arial" w:cs="Arial" w:eastAsia="Arial" w:hAnsi="Arial"/>
          <w:color w:val="14181D"/>
          <w:sz w:val="20"/>
          <w:szCs w:val="20"/>
        </w:rPr>
        <w:t xml:space="preserve">, not to Jan Williams by email.</w:t>
      </w:r>
    </w:p>
    <w:p>
      <w:pPr>
        <w:pStyle w:val="ListParagraph"/>
        <w:numPr>
          <w:ilvl w:val="0"/>
          <w:numId w:val="2"/>
        </w:numPr>
        <w:spacing w:after="50" w:before="50" w:line="280"/>
      </w:pPr>
      <w:r>
        <w:rPr>
          <w:rFonts w:ascii="Arial" w:cs="Arial" w:eastAsia="Arial" w:hAnsi="Arial"/>
          <w:b/>
          <w:bCs/>
          <w:color w:val="14181D"/>
          <w:sz w:val="20"/>
          <w:szCs w:val="20"/>
        </w:rPr>
        <w:t xml:space="preserve">10. </w:t>
      </w:r>
      <w:r>
        <w:rPr>
          <w:rFonts w:ascii="Arial" w:cs="Arial" w:eastAsia="Arial" w:hAnsi="Arial"/>
          <w:b/>
          <w:bCs/>
          <w:color w:val="14181D"/>
          <w:sz w:val="20"/>
          <w:szCs w:val="20"/>
        </w:rPr>
        <w:t xml:space="preserve">Submit.</w:t>
      </w:r>
      <w:r>
        <w:rPr>
          <w:rFonts w:ascii="Arial" w:cs="Arial" w:eastAsia="Arial" w:hAnsi="Arial"/>
          <w:color w:val="14181D"/>
          <w:sz w:val="20"/>
          <w:szCs w:val="20"/>
        </w:rPr>
        <w:t xml:space="preserve"> Then wait for the finance team rather than pre-empting them.</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What carries over from the CHIC pack</w:t>
      </w:r>
    </w:p>
    <w:p>
      <w:pPr>
        <w:spacing w:after="90" w:before="90" w:line="280"/>
      </w:pPr>
      <w:r>
        <w:rPr>
          <w:rFonts w:ascii="Arial" w:cs="Arial" w:eastAsia="Arial" w:hAnsi="Arial"/>
          <w:color w:val="14181D"/>
          <w:sz w:val="20"/>
          <w:szCs w:val="20"/>
        </w:rPr>
        <w:t xml:space="preserve">Almost all of it. The health and safety policy, the equality and diversity policy, the environmental policy, the quality management arrangements, your CV, the method statement and the forecast are the same documents. Build them once. The differences are the questionnaire itself, the filter and band selection, and the Financial Viability Risk Assessment, which is specific to this route.</w:t>
      </w:r>
    </w:p>
    <w:p>
      <w:pPr>
        <w:pStyle w:val="Heading1"/>
        <w:keepNext/>
        <w:pBdr>
          <w:bottom w:val="single" w:color="9C7A3C" w:sz="8" w:space="6"/>
        </w:pBdr>
        <w:spacing w:after="150" w:before="380"/>
      </w:pPr>
      <w:r>
        <w:rPr>
          <w:rFonts w:ascii="Arial" w:cs="Arial" w:eastAsia="Arial" w:hAnsi="Arial"/>
          <w:b/>
          <w:bCs/>
          <w:color w:val="14181D"/>
          <w:sz w:val="26"/>
          <w:szCs w:val="26"/>
        </w:rPr>
        <w:t xml:space="preserve">One standing caution</w:t>
      </w:r>
    </w:p>
    <w:p>
      <w:pPr>
        <w:spacing w:after="90" w:before="90" w:line="280"/>
      </w:pPr>
      <w:r>
        <w:rPr>
          <w:rFonts w:ascii="Arial" w:cs="Arial" w:eastAsia="Arial" w:hAnsi="Arial"/>
          <w:color w:val="14181D"/>
          <w:sz w:val="20"/>
          <w:szCs w:val="20"/>
        </w:rPr>
        <w:t xml:space="preserve">Selecting a service element you cannot deliver gets you admitted to something you then have to decline at mini-competition, and declining invitations damages the record that admission was meant to build. Tick less than you are tempted to.</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RM6242 Construction Professional Services DPS — where and how to start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RM6242 CONSTRUCTION PROFESSIONAL SERVICES DPS — WHERE AND HOW TO START</dc:title>
  <dc:creator>ETABLIX — Integrated Site Services</dc:creator>
  <dc:description>ETABLIX RM6242 CONSTRUCTION PROFESSIONAL SERVICES DPS — WHERE AND HOW TO START</dc:description>
  <cp:lastModifiedBy>Un-named</cp:lastModifiedBy>
  <cp:revision>1</cp:revision>
  <dcterms:created xsi:type="dcterms:W3CDTF">2026-10-02T09:56:13.298Z</dcterms:created>
  <dcterms:modified xsi:type="dcterms:W3CDTF">2026-10-02T09:56:13.298Z</dcterms:modified>
</cp:coreProperties>
</file>

<file path=docProps/custom.xml><?xml version="1.0" encoding="utf-8"?>
<Properties xmlns="http://schemas.openxmlformats.org/officeDocument/2006/custom-properties" xmlns:vt="http://schemas.openxmlformats.org/officeDocument/2006/docPropsVTypes"/>
</file>