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TWELVE THREADS, NO REVENUE, AND ONE BOTTLENECK</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Twelve threads, no revenue, and one bottleneck</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business/strategy/the-bottleneck.md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count</w:t>
      </w:r>
    </w:p>
    <w:p>
      <w:pPr>
        <w:spacing w:after="90" w:before="90" w:line="280"/>
      </w:pPr>
      <w:r>
        <w:rPr>
          <w:rFonts w:ascii="Arial" w:cs="Arial" w:eastAsia="Arial" w:hAnsi="Arial"/>
          <w:color w:val="14181D"/>
          <w:sz w:val="20"/>
          <w:szCs w:val="20"/>
        </w:rPr>
        <w:t xml:space="preserve">Procurement and registration threads opened or progressed in the last few weeks: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65"/>
        <w:gridCol w:w="4935"/>
      </w:tblGrid>
      <w:tr>
        <w:trPr>
          <w:tblHeader/>
        </w:trPr>
        <w:tc>
          <w:tcPr>
            <w:tcW w:type="dxa" w:w="336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Thread</w:t>
            </w:r>
          </w:p>
        </w:tc>
        <w:tc>
          <w:tcPr>
            <w:tcW w:type="dxa" w:w="493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Where it stands</w:t>
            </w:r>
          </w:p>
        </w:tc>
      </w:tr>
      <w:tr>
        <w:tc>
          <w:tcPr>
            <w:tcW w:type="dxa" w:w="33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RM6242 Construction Professional Services DPS</w:t>
            </w:r>
          </w:p>
        </w:tc>
        <w:tc>
          <w:tcPr>
            <w:tcW w:type="dxa" w:w="49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Registered 1. Needs one completed contract example + Attachment 1a</w:t>
            </w:r>
          </w:p>
        </w:tc>
      </w:tr>
      <w:tr>
        <w:tc>
          <w:tcPr>
            <w:tcW w:type="dxa" w:w="33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RM6264 Facilities Management DPS</w:t>
            </w:r>
          </w:p>
        </w:tc>
        <w:tc>
          <w:tcPr>
            <w:tcW w:type="dxa" w:w="49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Needs insurance at required limits + Cyber Essentials</w:t>
            </w:r>
          </w:p>
        </w:tc>
      </w:tr>
      <w:tr>
        <w:tc>
          <w:tcPr>
            <w:tcW w:type="dxa" w:w="33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CHIC Development DPS</w:t>
            </w:r>
          </w:p>
        </w:tc>
        <w:tc>
          <w:tcPr>
            <w:tcW w:type="dxa" w:w="49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Returned. Needs resubmission via the eSourcing portal</w:t>
            </w:r>
          </w:p>
        </w:tc>
      </w:tr>
      <w:tr>
        <w:tc>
          <w:tcPr>
            <w:tcW w:type="dxa" w:w="33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GCA FM Category Team</w:t>
            </w:r>
          </w:p>
        </w:tc>
        <w:tc>
          <w:tcPr>
            <w:tcW w:type="dxa" w:w="49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Awaiting contact details confirmation</w:t>
            </w:r>
          </w:p>
        </w:tc>
      </w:tr>
      <w:tr>
        <w:tc>
          <w:tcPr>
            <w:tcW w:type="dxa" w:w="33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second GCA DPS</w:t>
            </w:r>
          </w:p>
        </w:tc>
        <w:tc>
          <w:tcPr>
            <w:tcW w:type="dxa" w:w="49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Registered 1. Mandatory items outstanding</w:t>
            </w:r>
          </w:p>
        </w:tc>
      </w:tr>
      <w:tr>
        <w:tc>
          <w:tcPr>
            <w:tcW w:type="dxa" w:w="33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Housing Maintenance and Repair DPS</w:t>
            </w:r>
          </w:p>
        </w:tc>
        <w:tc>
          <w:tcPr>
            <w:tcW w:type="dxa" w:w="49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Rejected</w:t>
            </w:r>
          </w:p>
        </w:tc>
      </w:tr>
      <w:tr>
        <w:tc>
          <w:tcPr>
            <w:tcW w:type="dxa" w:w="33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Connected Places Catapult Scale-Up</w:t>
            </w:r>
          </w:p>
        </w:tc>
        <w:tc>
          <w:tcPr>
            <w:tcW w:type="dxa" w:w="49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Ineligible — not beyond R&amp;D, not piloted</w:t>
            </w:r>
          </w:p>
        </w:tc>
      </w:tr>
      <w:tr>
        <w:tc>
          <w:tcPr>
            <w:tcW w:type="dxa" w:w="33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Suffolk Chamber / Sizewell C portal</w:t>
            </w:r>
          </w:p>
        </w:tc>
        <w:tc>
          <w:tcPr>
            <w:tcW w:type="dxa" w:w="49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Ineligible — no East of England base. Jaggaer is separate</w:t>
            </w:r>
          </w:p>
        </w:tc>
      </w:tr>
      <w:tr>
        <w:tc>
          <w:tcPr>
            <w:tcW w:type="dxa" w:w="33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Hinkley Point C supply chain</w:t>
            </w:r>
          </w:p>
        </w:tc>
        <w:tc>
          <w:tcPr>
            <w:tcW w:type="dxa" w:w="49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Capability selection outstanding</w:t>
            </w:r>
          </w:p>
        </w:tc>
      </w:tr>
      <w:tr>
        <w:tc>
          <w:tcPr>
            <w:tcW w:type="dxa" w:w="33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Feltham Construction</w:t>
            </w:r>
          </w:p>
        </w:tc>
        <w:tc>
          <w:tcPr>
            <w:tcW w:type="dxa" w:w="49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Subcontractor questionnaire completed, unsigned</w:t>
            </w:r>
          </w:p>
        </w:tc>
      </w:tr>
      <w:tr>
        <w:tc>
          <w:tcPr>
            <w:tcW w:type="dxa" w:w="33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AtkinsRéalis</w:t>
            </w:r>
          </w:p>
        </w:tc>
        <w:tc>
          <w:tcPr>
            <w:tcW w:type="dxa" w:w="49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Cease-contact notice. Closed</w:t>
            </w:r>
          </w:p>
        </w:tc>
      </w:tr>
      <w:tr>
        <w:tc>
          <w:tcPr>
            <w:tcW w:type="dxa" w:w="33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RWE Peartree Hill</w:t>
            </w:r>
          </w:p>
        </w:tc>
        <w:tc>
          <w:tcPr>
            <w:tcW w:type="dxa" w:w="49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Holding reply, pre-construction</w:t>
            </w:r>
          </w:p>
        </w:tc>
      </w:tr>
    </w:tbl>
    <w:p>
      <w:pPr>
        <w:spacing w:after="90" w:before="90" w:line="280"/>
      </w:pPr>
      <w:r>
        <w:rPr>
          <w:rFonts w:ascii="Arial" w:cs="Arial" w:eastAsia="Arial" w:hAnsi="Arial"/>
          <w:b/>
          <w:bCs/>
          <w:color w:val="14181D"/>
          <w:sz w:val="20"/>
          <w:szCs w:val="20"/>
        </w:rPr>
        <w:t xml:space="preserve">Twelve threads. Zero pounds of revenue.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thing they now have in common</w:t>
      </w:r>
    </w:p>
    <w:p>
      <w:pPr>
        <w:spacing w:after="90" w:before="90" w:line="280"/>
      </w:pPr>
      <w:r>
        <w:rPr>
          <w:rFonts w:ascii="Arial" w:cs="Arial" w:eastAsia="Arial" w:hAnsi="Arial"/>
          <w:color w:val="14181D"/>
          <w:sz w:val="20"/>
          <w:szCs w:val="20"/>
        </w:rPr>
        <w:t xml:space="preserve">Read the blockers rather than the names and they collapse into one item.</w:t>
      </w:r>
    </w:p>
    <w:p>
      <w:pPr>
        <w:spacing w:after="90" w:before="90" w:line="280"/>
      </w:pPr>
      <w:r>
        <w:rPr>
          <w:rFonts w:ascii="Arial" w:cs="Arial" w:eastAsia="Arial" w:hAnsi="Arial"/>
          <w:color w:val="14181D"/>
          <w:sz w:val="20"/>
          <w:szCs w:val="20"/>
        </w:rPr>
        <w:t xml:space="preserve">RM6242 needs one completed contract example. CHIC was returned for insufficient evidence of delivery capability and invited referees it will telephone. The Catapult refused us because nothing has been piloted with a customer. Feltham wants a trade record. Every live thread is asking the same question in a different form: </w:t>
      </w:r>
      <w:r>
        <w:rPr>
          <w:rFonts w:ascii="Arial" w:cs="Arial" w:eastAsia="Arial" w:hAnsi="Arial"/>
          <w:b/>
          <w:bCs/>
          <w:color w:val="14181D"/>
          <w:sz w:val="20"/>
          <w:szCs w:val="20"/>
        </w:rPr>
        <w:t xml:space="preserve">has anyone paid you to do this, and will they say so?</w:t>
      </w:r>
    </w:p>
    <w:p>
      <w:pPr>
        <w:spacing w:after="90" w:before="90" w:line="280"/>
      </w:pPr>
      <w:r>
        <w:rPr>
          <w:rFonts w:ascii="Arial" w:cs="Arial" w:eastAsia="Arial" w:hAnsi="Arial"/>
          <w:b/>
          <w:bCs/>
          <w:color w:val="14181D"/>
          <w:sz w:val="20"/>
          <w:szCs w:val="20"/>
        </w:rPr>
        <w:t xml:space="preserve">It is not twelve problems. It is one problem, twelve times.</w:t>
      </w:r>
      <w:r>
        <w:rPr>
          <w:rFonts w:ascii="Arial" w:cs="Arial" w:eastAsia="Arial" w:hAnsi="Arial"/>
          <w:color w:val="14181D"/>
          <w:sz w:val="20"/>
          <w:szCs w:val="20"/>
        </w:rPr>
        <w:t xml:space="preserve"> And it is not a documentation problem — the documents are built, and the GCA assessment proves they work: the management accounts, the statement of financial position and the cash flow were accepted on their own merits under Question 128, with no guarantor.</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the GCA confirmed, and why it ends the argument</w:t>
      </w:r>
    </w:p>
    <w:p>
      <w:pPr>
        <w:spacing w:after="90" w:before="90" w:line="280"/>
      </w:pPr>
      <w:r>
        <w:rPr>
          <w:rFonts w:ascii="Arial" w:cs="Arial" w:eastAsia="Arial" w:hAnsi="Arial"/>
          <w:color w:val="14181D"/>
          <w:sz w:val="20"/>
          <w:szCs w:val="20"/>
        </w:rPr>
        <w:t xml:space="preserve">Asked directly whether a completed fixed-scope advisory appointment — a written report on site establishment requirements and costs for one site, delivered end to end and accepted by the client — would satisfy the contract example requirement, the assessment team replied that it </w:t>
      </w:r>
      <w:r>
        <w:rPr>
          <w:rFonts w:ascii="Arial" w:cs="Arial" w:eastAsia="Arial" w:hAnsi="Arial"/>
          <w:b/>
          <w:bCs/>
          <w:color w:val="14181D"/>
          <w:sz w:val="20"/>
          <w:szCs w:val="20"/>
        </w:rPr>
        <w:t xml:space="preserve">"fully satisfies the requirement."</w:t>
      </w:r>
      <w:r>
        <w:rPr>
          <w:rFonts w:ascii="Arial" w:cs="Arial" w:eastAsia="Arial" w:hAnsi="Arial"/>
          <w:color w:val="14181D"/>
          <w:sz w:val="20"/>
          <w:szCs w:val="20"/>
        </w:rPr>
        <w:t xml:space="preserve"> No minimum value. No maximum value. One example for a single service heading.</w:t>
      </w:r>
    </w:p>
    <w:p>
      <w:pPr>
        <w:spacing w:after="90" w:before="90" w:line="280"/>
      </w:pPr>
      <w:r>
        <w:rPr>
          <w:rFonts w:ascii="Arial" w:cs="Arial" w:eastAsia="Arial" w:hAnsi="Arial"/>
          <w:color w:val="14181D"/>
          <w:sz w:val="20"/>
          <w:szCs w:val="20"/>
        </w:rPr>
        <w:t xml:space="preserve">So the entry ticket to a four-year government framework is </w:t>
      </w:r>
      <w:r>
        <w:rPr>
          <w:rFonts w:ascii="Arial" w:cs="Arial" w:eastAsia="Arial" w:hAnsi="Arial"/>
          <w:b/>
          <w:bCs/>
          <w:color w:val="14181D"/>
          <w:sz w:val="20"/>
          <w:szCs w:val="20"/>
        </w:rPr>
        <w:t xml:space="preserve">one paid diagnostic, of any value, with a signed Attachment 1a.</w:t>
      </w:r>
    </w:p>
    <w:p>
      <w:pPr>
        <w:spacing w:after="90" w:before="90" w:line="280"/>
      </w:pPr>
      <w:r>
        <w:rPr>
          <w:rFonts w:ascii="Arial" w:cs="Arial" w:eastAsia="Arial" w:hAnsi="Arial"/>
          <w:color w:val="14181D"/>
          <w:sz w:val="20"/>
          <w:szCs w:val="20"/>
        </w:rPr>
        <w:t xml:space="preserve">That is the cheapest unlock available anywhere in this business, and it is the same unit of work the Facebook ads pack independently concluded was the only thing sellable cold. Two unrelated lines of analysis arrived at the same answer in the same week.</w:t>
      </w:r>
    </w:p>
    <w:p>
      <w:pPr>
        <w:pStyle w:val="Heading1"/>
        <w:keepNext/>
        <w:pBdr>
          <w:bottom w:val="single" w:color="9C7A3C" w:sz="8" w:space="6"/>
        </w:pBdr>
        <w:spacing w:after="150" w:before="380"/>
      </w:pPr>
      <w:r>
        <w:rPr>
          <w:rFonts w:ascii="Arial" w:cs="Arial" w:eastAsia="Arial" w:hAnsi="Arial"/>
          <w:b/>
          <w:bCs/>
          <w:color w:val="14181D"/>
          <w:sz w:val="26"/>
          <w:szCs w:val="26"/>
        </w:rPr>
        <w:t xml:space="preserve">So the instinct that this is becoming a distraction is half right</w:t>
      </w:r>
    </w:p>
    <w:p>
      <w:pPr>
        <w:spacing w:after="90" w:before="90" w:line="280"/>
      </w:pPr>
      <w:r>
        <w:rPr>
          <w:rFonts w:ascii="Arial" w:cs="Arial" w:eastAsia="Arial" w:hAnsi="Arial"/>
          <w:b/>
          <w:bCs/>
          <w:color w:val="14181D"/>
          <w:sz w:val="20"/>
          <w:szCs w:val="20"/>
        </w:rPr>
        <w:t xml:space="preserve">Right about the pattern.</w:t>
      </w:r>
      <w:r>
        <w:rPr>
          <w:rFonts w:ascii="Arial" w:cs="Arial" w:eastAsia="Arial" w:hAnsi="Arial"/>
          <w:color w:val="14181D"/>
          <w:sz w:val="20"/>
          <w:szCs w:val="20"/>
        </w:rPr>
        <w:t xml:space="preserve"> Twelve threads and no revenue is not a pipeline, it is an administrative habit. Each application feels like progress because it produces an artefact and a reply. None of them can convert, because every one of them terminates at the same locked door.</w:t>
      </w:r>
    </w:p>
    <w:p>
      <w:pPr>
        <w:spacing w:after="90" w:before="90" w:line="280"/>
      </w:pPr>
      <w:r>
        <w:rPr>
          <w:rFonts w:ascii="Arial" w:cs="Arial" w:eastAsia="Arial" w:hAnsi="Arial"/>
          <w:b/>
          <w:bCs/>
          <w:color w:val="14181D"/>
          <w:sz w:val="20"/>
          <w:szCs w:val="20"/>
        </w:rPr>
        <w:t xml:space="preserve">Wrong about this email.</w:t>
      </w:r>
      <w:r>
        <w:rPr>
          <w:rFonts w:ascii="Arial" w:cs="Arial" w:eastAsia="Arial" w:hAnsi="Arial"/>
          <w:color w:val="14181D"/>
          <w:sz w:val="20"/>
          <w:szCs w:val="20"/>
        </w:rPr>
        <w:t xml:space="preserve"> It is the opposite of a distraction: it is the one reply that identified the key and described its shape precisely. Treating it as noise because it arrived in the same inbox as eleven dead ends would be the expensive mistake.</w:t>
      </w:r>
    </w:p>
    <w:p>
      <w:pPr>
        <w:spacing w:after="90" w:before="90" w:line="280"/>
      </w:pPr>
      <w:r>
        <w:rPr>
          <w:rFonts w:ascii="Arial" w:cs="Arial" w:eastAsia="Arial" w:hAnsi="Arial"/>
          <w:b/>
          <w:bCs/>
          <w:color w:val="14181D"/>
          <w:sz w:val="20"/>
          <w:szCs w:val="20"/>
        </w:rPr>
        <w:t xml:space="preserve">The resolution is the same either way, which is how you know it is right: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Stop applying. Sell one diagnostic.</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that means in practice</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Reply to the GCA once, briefly, and close the thread.</w:t>
      </w:r>
      <w:r>
        <w:rPr>
          <w:rFonts w:ascii="Arial" w:cs="Arial" w:eastAsia="Arial" w:hAnsi="Arial"/>
          <w:color w:val="14181D"/>
          <w:sz w:val="20"/>
          <w:szCs w:val="20"/>
        </w:rPr>
        <w:t xml:space="preserve"> They have answered everything. Another round of questions is the distraction. Ask for the Attachment 1a template, say we will return with the completed example, stop.</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Do nothing further on any DPS</w:t>
      </w:r>
      <w:r>
        <w:rPr>
          <w:rFonts w:ascii="Arial" w:cs="Arial" w:eastAsia="Arial" w:hAnsi="Arial"/>
          <w:color w:val="14181D"/>
          <w:sz w:val="20"/>
          <w:szCs w:val="20"/>
        </w:rPr>
        <w:t xml:space="preserve"> that is blocked on a contract example. The work is done; the door is locked from the other side.</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Finish only what is blocked on something buyable.</w:t>
      </w:r>
      <w:r>
        <w:rPr>
          <w:rFonts w:ascii="Arial" w:cs="Arial" w:eastAsia="Arial" w:hAnsi="Arial"/>
          <w:color w:val="14181D"/>
          <w:sz w:val="20"/>
          <w:szCs w:val="20"/>
        </w:rPr>
        <w:t xml:space="preserve"> Cyber Essentials and insurance are purchases with lead times, not customers. They unlock RM6264 and they are prerequisites for appointment on RM6242 anyway. Buy them.</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Put the whole remaining effort into one paying client</w:t>
      </w:r>
      <w:r>
        <w:rPr>
          <w:rFonts w:ascii="Arial" w:cs="Arial" w:eastAsia="Arial" w:hAnsi="Arial"/>
          <w:color w:val="14181D"/>
          <w:sz w:val="20"/>
          <w:szCs w:val="20"/>
        </w:rPr>
        <w:t xml:space="preserve">, and scope the first engagement so that the Attachment 1a signature is in the engagement letter rather than requested afterwards. A client asked to sign a confirmation of works at the point of scoping signs it as a formality. The same client asked six weeks after the final invoice has to be persuaded.</w:t>
      </w:r>
    </w:p>
    <w:p>
      <w:pPr>
        <w:pStyle w:val="ListParagraph"/>
        <w:numPr>
          <w:ilvl w:val="0"/>
          <w:numId w:val="2"/>
        </w:numPr>
        <w:spacing w:after="50" w:before="50" w:line="280"/>
      </w:pPr>
      <w:r>
        <w:rPr>
          <w:rFonts w:ascii="Arial" w:cs="Arial" w:eastAsia="Arial" w:hAnsi="Arial"/>
          <w:b/>
          <w:bCs/>
          <w:color w:val="14181D"/>
          <w:sz w:val="20"/>
          <w:szCs w:val="20"/>
        </w:rPr>
        <w:t xml:space="preserve">5. </w:t>
      </w:r>
      <w:r>
        <w:rPr>
          <w:rFonts w:ascii="Arial" w:cs="Arial" w:eastAsia="Arial" w:hAnsi="Arial"/>
          <w:b/>
          <w:bCs/>
          <w:color w:val="14181D"/>
          <w:sz w:val="20"/>
          <w:szCs w:val="20"/>
        </w:rPr>
        <w:t xml:space="preserve">Select one service heading on RM6242</w:t>
      </w:r>
      <w:r>
        <w:rPr>
          <w:rFonts w:ascii="Arial" w:cs="Arial" w:eastAsia="Arial" w:hAnsi="Arial"/>
          <w:color w:val="14181D"/>
          <w:sz w:val="20"/>
          <w:szCs w:val="20"/>
        </w:rPr>
        <w:t xml:space="preserve">, not several. Two headings require two examples, doubling a bottleneck that currently stands at zero.</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measure that matters now</w:t>
      </w:r>
    </w:p>
    <w:p>
      <w:pPr>
        <w:spacing w:after="90" w:before="90" w:line="280"/>
      </w:pPr>
      <w:r>
        <w:rPr>
          <w:rFonts w:ascii="Arial" w:cs="Arial" w:eastAsia="Arial" w:hAnsi="Arial"/>
          <w:color w:val="14181D"/>
          <w:sz w:val="20"/>
          <w:szCs w:val="20"/>
        </w:rPr>
        <w:t xml:space="preserve">Not applications submitted. Not registrations held. </w:t>
      </w:r>
      <w:r>
        <w:rPr>
          <w:rFonts w:ascii="Arial" w:cs="Arial" w:eastAsia="Arial" w:hAnsi="Arial"/>
          <w:b/>
          <w:bCs/>
          <w:color w:val="14181D"/>
          <w:sz w:val="20"/>
          <w:szCs w:val="20"/>
        </w:rPr>
        <w:t xml:space="preserve">One signed Attachment 1a.</w:t>
      </w:r>
    </w:p>
    <w:p>
      <w:pPr>
        <w:spacing w:after="90" w:before="90" w:line="280"/>
      </w:pPr>
      <w:r>
        <w:rPr>
          <w:rFonts w:ascii="Arial" w:cs="Arial" w:eastAsia="Arial" w:hAnsi="Arial"/>
          <w:color w:val="14181D"/>
          <w:sz w:val="20"/>
          <w:szCs w:val="20"/>
        </w:rPr>
        <w:t xml:space="preserve">Everything in the procurement pipeline converts the day it exists, and nothing in it converts before.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Twelve threads, no revenue, and one bottleneck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TWELVE THREADS, NO REVENUE, AND ONE BOTTLENECK</dc:title>
  <dc:creator>ETABLIX — Integrated Site Services</dc:creator>
  <dc:description>ETABLIX TWELVE THREADS, NO REVENUE, AND ONE BOTTLENECK</dc:description>
  <cp:lastModifiedBy>Un-named</cp:lastModifiedBy>
  <cp:revision>1</cp:revision>
  <dcterms:created xsi:type="dcterms:W3CDTF">2026-10-02T09:56:44.743Z</dcterms:created>
  <dcterms:modified xsi:type="dcterms:W3CDTF">2026-10-02T09:56:44.743Z</dcterms:modified>
</cp:coreProperties>
</file>

<file path=docProps/custom.xml><?xml version="1.0" encoding="utf-8"?>
<Properties xmlns="http://schemas.openxmlformats.org/officeDocument/2006/custom-properties" xmlns:vt="http://schemas.openxmlformats.org/officeDocument/2006/docPropsVTypes"/>
</file>