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THREE MONTHS OF RUNWAY: WHAT ACTUALLY PAYS THE MORTGAGE</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Three months of runway: what actually pays the mortgage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business/strategy/three-months.md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arithmetic, said once and plainly</w:t>
      </w:r>
    </w:p>
    <w:p>
      <w:pPr>
        <w:spacing w:after="90" w:before="90" w:line="280"/>
      </w:pPr>
      <w:r>
        <w:rPr>
          <w:rFonts w:ascii="Arial" w:cs="Arial" w:eastAsia="Arial" w:hAnsi="Arial"/>
          <w:b/>
          <w:bCs/>
          <w:color w:val="14181D"/>
          <w:sz w:val="20"/>
          <w:szCs w:val="20"/>
        </w:rPr>
        <w:t xml:space="preserve">ETABLIX will not pay a mortgage within three months.</w:t>
      </w:r>
      <w:r>
        <w:rPr>
          <w:rFonts w:ascii="Arial" w:cs="Arial" w:eastAsia="Arial" w:hAnsi="Arial"/>
          <w:color w:val="14181D"/>
          <w:sz w:val="20"/>
          <w:szCs w:val="20"/>
        </w:rPr>
        <w:t xml:space="preserve"> Not because the proposition is wrong — the GCA just confirmed in writing that the diagnostic is a qualifying contract example, which is real validation — but because of the cycle. A new company with no completed contract, no insurance in place and no certification sells its first advisory engagement in two to six months from first contact, and a single small diagnostic does not cover three months of a household.</w:t>
      </w:r>
    </w:p>
    <w:p>
      <w:pPr>
        <w:spacing w:after="90" w:before="90" w:line="280"/>
      </w:pPr>
      <w:r>
        <w:rPr>
          <w:rFonts w:ascii="Arial" w:cs="Arial" w:eastAsia="Arial" w:hAnsi="Arial"/>
          <w:color w:val="14181D"/>
          <w:sz w:val="20"/>
          <w:szCs w:val="20"/>
        </w:rPr>
        <w:t xml:space="preserve">Pretending otherwise would be the most expensive thing in this document. So the plan below has two tracks, and </w:t>
      </w:r>
      <w:r>
        <w:rPr>
          <w:rFonts w:ascii="Arial" w:cs="Arial" w:eastAsia="Arial" w:hAnsi="Arial"/>
          <w:b/>
          <w:bCs/>
          <w:color w:val="14181D"/>
          <w:sz w:val="20"/>
          <w:szCs w:val="20"/>
        </w:rPr>
        <w:t xml:space="preserve">the first one is not ETABLIX.</w:t>
      </w:r>
    </w:p>
    <w:p>
      <w:pPr>
        <w:pStyle w:val="Heading1"/>
        <w:keepNext/>
        <w:pBdr>
          <w:bottom w:val="single" w:color="9C7A3C" w:sz="8" w:space="6"/>
        </w:pBdr>
        <w:spacing w:after="150" w:before="380"/>
      </w:pPr>
      <w:r>
        <w:rPr>
          <w:rFonts w:ascii="Arial" w:cs="Arial" w:eastAsia="Arial" w:hAnsi="Arial"/>
          <w:b/>
          <w:bCs/>
          <w:color w:val="14181D"/>
          <w:sz w:val="26"/>
          <w:szCs w:val="26"/>
        </w:rPr>
        <w:t xml:space="preserve">Track A — the thing that actually solves it, and it solves two problems at once</w:t>
      </w:r>
    </w:p>
    <w:p>
      <w:pPr>
        <w:spacing w:after="90" w:before="90" w:line="280"/>
      </w:pPr>
      <w:r>
        <w:rPr>
          <w:rFonts w:ascii="Arial" w:cs="Arial" w:eastAsia="Arial" w:hAnsi="Arial"/>
          <w:b/>
          <w:bCs/>
          <w:color w:val="14181D"/>
          <w:sz w:val="20"/>
          <w:szCs w:val="20"/>
        </w:rPr>
        <w:t xml:space="preserve">Contract back into the transmission market, through JNN GLOBAL LTD.</w:t>
      </w:r>
    </w:p>
    <w:p>
      <w:pPr>
        <w:spacing w:after="90" w:before="90" w:line="280"/>
      </w:pPr>
      <w:r>
        <w:rPr>
          <w:rFonts w:ascii="Arial" w:cs="Arial" w:eastAsia="Arial" w:hAnsi="Arial"/>
          <w:color w:val="14181D"/>
          <w:sz w:val="20"/>
          <w:szCs w:val="20"/>
        </w:rPr>
        <w:t xml:space="preserve">The market is live and it is named. In April 2026 National Grid appointed thirteen contractors to a dynamic framework for a substation works surge. SSEN Transmission is letting 400 kV substation work under the £10 billion Accelerated Strategic Transmission Investment framework — BAM and Siemens Energy took Greens in Aberdeenshire. The top tier for EPC substation construction is BAM Nuttall, Costain, Laing O'Rourke, Siemens Energy and Skanska, all competing for turnkey schemes on live 400 kV sites.</w:t>
      </w:r>
    </w:p>
    <w:p>
      <w:pPr>
        <w:spacing w:after="90" w:before="90" w:line="280"/>
      </w:pPr>
      <w:r>
        <w:rPr>
          <w:rFonts w:ascii="Arial" w:cs="Arial" w:eastAsia="Arial" w:hAnsi="Arial"/>
          <w:color w:val="14181D"/>
          <w:sz w:val="20"/>
          <w:szCs w:val="20"/>
        </w:rPr>
        <w:t xml:space="preserve">Every one of those firms is staffing up right now for work they have just won. And the profile they cannot find enough of is </w:t>
      </w:r>
      <w:r>
        <w:rPr>
          <w:rFonts w:ascii="Arial" w:cs="Arial" w:eastAsia="Arial" w:hAnsi="Arial"/>
          <w:b/>
          <w:bCs/>
          <w:color w:val="14181D"/>
          <w:sz w:val="20"/>
          <w:szCs w:val="20"/>
        </w:rPr>
        <w:t xml:space="preserve">exactly</w:t>
      </w:r>
      <w:r>
        <w:rPr>
          <w:rFonts w:ascii="Arial" w:cs="Arial" w:eastAsia="Arial" w:hAnsi="Arial"/>
          <w:color w:val="14181D"/>
          <w:sz w:val="20"/>
          <w:szCs w:val="20"/>
        </w:rPr>
        <w:t xml:space="preserve"> the one on the CV: chartered construction manager, HV substation and overhead line delivery, subcontract management, Primavera P6, NEC, CEMAR, three years inside GE Vernova Grid Solutions on precisely this type of scheme, across the UK and Ireland.</w:t>
      </w:r>
    </w:p>
    <w:p>
      <w:pPr>
        <w:spacing w:after="90" w:before="90" w:line="280"/>
      </w:pPr>
      <w:r>
        <w:rPr>
          <w:rFonts w:ascii="Arial" w:cs="Arial" w:eastAsia="Arial" w:hAnsi="Arial"/>
          <w:color w:val="14181D"/>
          <w:sz w:val="20"/>
          <w:szCs w:val="20"/>
        </w:rPr>
        <w:t xml:space="preserve">That is a day-rate market and it moves in weeks, not months. Two or three agency conversations will establish the current rate far better than any guess here.</w:t>
      </w:r>
    </w:p>
    <w:p>
      <w:pPr>
        <w:pStyle w:val="Heading2"/>
        <w:keepNext/>
        <w:spacing w:after="110" w:before="260"/>
      </w:pPr>
      <w:r>
        <w:rPr>
          <w:rFonts w:ascii="Arial" w:cs="Arial" w:eastAsia="Arial" w:hAnsi="Arial"/>
          <w:b/>
          <w:bCs/>
          <w:color w:val="9C7A3C"/>
          <w:sz w:val="21"/>
          <w:szCs w:val="21"/>
        </w:rPr>
        <w:t xml:space="preserve">And here is the part that matters most</w:t>
      </w:r>
    </w:p>
    <w:p>
      <w:pPr>
        <w:spacing w:after="90" w:before="90" w:line="280"/>
      </w:pPr>
      <w:r>
        <w:rPr>
          <w:rFonts w:ascii="Arial" w:cs="Arial" w:eastAsia="Arial" w:hAnsi="Arial"/>
          <w:b/>
          <w:bCs/>
          <w:color w:val="14181D"/>
          <w:sz w:val="20"/>
          <w:szCs w:val="20"/>
        </w:rPr>
        <w:t xml:space="preserve">If the engagement is contracted to JNN GLOBAL LTD rather than to you personally, it is a contract performed by the bidding entity.</w:t>
      </w:r>
    </w:p>
    <w:p>
      <w:pPr>
        <w:spacing w:after="90" w:before="90" w:line="280"/>
      </w:pPr>
      <w:r>
        <w:rPr>
          <w:rFonts w:ascii="Arial" w:cs="Arial" w:eastAsia="Arial" w:hAnsi="Arial"/>
          <w:color w:val="14181D"/>
          <w:sz w:val="20"/>
          <w:szCs w:val="20"/>
        </w:rPr>
        <w:t xml:space="preserve">Re-read what the GCA confirmed: a contract example is valid where the organisation acted as </w:t>
      </w:r>
      <w:r>
        <w:rPr>
          <w:rFonts w:ascii="Arial" w:cs="Arial" w:eastAsia="Arial" w:hAnsi="Arial"/>
          <w:b/>
          <w:bCs/>
          <w:color w:val="14181D"/>
          <w:sz w:val="20"/>
          <w:szCs w:val="20"/>
        </w:rPr>
        <w:t xml:space="preserve">prime contractor, sub-contractor, or a member of a Group of Economic Operators.</w:t>
      </w:r>
      <w:r>
        <w:rPr>
          <w:rFonts w:ascii="Arial" w:cs="Arial" w:eastAsia="Arial" w:hAnsi="Arial"/>
          <w:color w:val="14181D"/>
          <w:sz w:val="20"/>
          <w:szCs w:val="20"/>
        </w:rPr>
        <w:t xml:space="preserve"> There is no minimum value. A completed project phase counts, where all deliverables for that phase are finished. It must fall within the technical service filters selected, and construction project management and subcontract management sit squarely inside Construction Professional Services.</w:t>
      </w:r>
    </w:p>
    <w:p>
      <w:pPr>
        <w:spacing w:after="90" w:before="90" w:line="280"/>
      </w:pPr>
      <w:r>
        <w:rPr>
          <w:rFonts w:ascii="Arial" w:cs="Arial" w:eastAsia="Arial" w:hAnsi="Arial"/>
          <w:color w:val="14181D"/>
          <w:sz w:val="20"/>
          <w:szCs w:val="20"/>
        </w:rPr>
        <w:t xml:space="preserve">So a contract role, structured correctly, produces:</w:t>
      </w:r>
    </w:p>
    <w:p>
      <w:pPr>
        <w:pStyle w:val="ListParagraph"/>
        <w:numPr>
          <w:ilvl w:val="0"/>
          <w:numId w:val="2"/>
        </w:numPr>
        <w:spacing w:after="50" w:before="50" w:line="280"/>
      </w:pPr>
      <w:r>
        <w:rPr>
          <w:rFonts w:ascii="Arial" w:cs="Arial" w:eastAsia="Arial" w:hAnsi="Arial"/>
          <w:b/>
          <w:bCs/>
          <w:color w:val="14181D"/>
          <w:sz w:val="20"/>
          <w:szCs w:val="20"/>
        </w:rPr>
        <w:t xml:space="preserve">Income inside weeks</w:t>
      </w:r>
      <w:r>
        <w:rPr>
          <w:rFonts w:ascii="Arial" w:cs="Arial" w:eastAsia="Arial" w:hAnsi="Arial"/>
          <w:color w:val="14181D"/>
          <w:sz w:val="20"/>
          <w:szCs w:val="20"/>
        </w:rPr>
        <w:t xml:space="preserve">, which is the actual problem.</w:t>
      </w:r>
    </w:p>
    <w:p>
      <w:pPr>
        <w:pStyle w:val="ListParagraph"/>
        <w:numPr>
          <w:ilvl w:val="0"/>
          <w:numId w:val="2"/>
        </w:numPr>
        <w:spacing w:after="50" w:before="50" w:line="280"/>
      </w:pPr>
      <w:r>
        <w:rPr>
          <w:rFonts w:ascii="Arial" w:cs="Arial" w:eastAsia="Arial" w:hAnsi="Arial"/>
          <w:b/>
          <w:bCs/>
          <w:color w:val="14181D"/>
          <w:sz w:val="20"/>
          <w:szCs w:val="20"/>
        </w:rPr>
        <w:t xml:space="preserve">The completed contract example</w:t>
      </w:r>
      <w:r>
        <w:rPr>
          <w:rFonts w:ascii="Arial" w:cs="Arial" w:eastAsia="Arial" w:hAnsi="Arial"/>
          <w:color w:val="14181D"/>
          <w:sz w:val="20"/>
          <w:szCs w:val="20"/>
        </w:rPr>
        <w:t xml:space="preserve"> that every single one of the twelve stalled procurement threads is waiting for.</w:t>
      </w:r>
    </w:p>
    <w:p>
      <w:pPr>
        <w:pStyle w:val="ListParagraph"/>
        <w:numPr>
          <w:ilvl w:val="0"/>
          <w:numId w:val="2"/>
        </w:numPr>
        <w:spacing w:after="50" w:before="50" w:line="280"/>
      </w:pPr>
      <w:r>
        <w:rPr>
          <w:rFonts w:ascii="Arial" w:cs="Arial" w:eastAsia="Arial" w:hAnsi="Arial"/>
          <w:b/>
          <w:bCs/>
          <w:color w:val="14181D"/>
          <w:sz w:val="20"/>
          <w:szCs w:val="20"/>
        </w:rPr>
        <w:t xml:space="preserve">A customer who can sign Attachment 1a</w:t>
      </w:r>
      <w:r>
        <w:rPr>
          <w:rFonts w:ascii="Arial" w:cs="Arial" w:eastAsia="Arial" w:hAnsi="Arial"/>
          <w:color w:val="14181D"/>
          <w:sz w:val="20"/>
          <w:szCs w:val="20"/>
        </w:rPr>
        <w:t xml:space="preserve">, and who has just watched you deliver.</w:t>
      </w:r>
    </w:p>
    <w:p>
      <w:pPr>
        <w:spacing w:after="90" w:before="90" w:line="280"/>
      </w:pPr>
      <w:r>
        <w:rPr>
          <w:rFonts w:ascii="Arial" w:cs="Arial" w:eastAsia="Arial" w:hAnsi="Arial"/>
          <w:color w:val="14181D"/>
          <w:sz w:val="20"/>
          <w:szCs w:val="20"/>
        </w:rPr>
        <w:t xml:space="preserve">One decision closes the cash gap and unlocks the framework. Nothing else available does both.</w:t>
      </w:r>
    </w:p>
    <w:p>
      <w:pPr>
        <w:pStyle w:val="Heading2"/>
        <w:keepNext/>
        <w:spacing w:after="110" w:before="260"/>
      </w:pPr>
      <w:r>
        <w:rPr>
          <w:rFonts w:ascii="Arial" w:cs="Arial" w:eastAsia="Arial" w:hAnsi="Arial"/>
          <w:b/>
          <w:bCs/>
          <w:color w:val="9C7A3C"/>
          <w:sz w:val="21"/>
          <w:szCs w:val="21"/>
        </w:rPr>
        <w:t xml:space="preserve">The three conditions, and they are not optional</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It must be a business-to-business contract with JNN GLOBAL LTD as the supplier.</w:t>
      </w:r>
      <w:r>
        <w:rPr>
          <w:rFonts w:ascii="Arial" w:cs="Arial" w:eastAsia="Arial" w:hAnsi="Arial"/>
          <w:color w:val="14181D"/>
          <w:sz w:val="20"/>
          <w:szCs w:val="20"/>
        </w:rPr>
        <w:t xml:space="preserve"> An umbrella arrangement or agency PAYE is employment. It pays the mortgage and it produces nothing for the DPS. Push for outside-IR35 or direct-to-client engagements for this reason, and say so to the agencies — it is a normal thing for a limited company contractor to insist on.</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Ask about the confirmation of works at the start, not the end.</w:t>
      </w:r>
      <w:r>
        <w:rPr>
          <w:rFonts w:ascii="Arial" w:cs="Arial" w:eastAsia="Arial" w:hAnsi="Arial"/>
          <w:color w:val="14181D"/>
          <w:sz w:val="20"/>
          <w:szCs w:val="20"/>
        </w:rPr>
        <w:t xml:space="preserve"> Put it in the engagement letter: on completion of each defined phase, the client will be asked to countersign a short confirmation of the services delivered. Asked at scoping it is a formality. Asked six weeks after the final invoice it is a favour.</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Check with the GCA who may sign</w:t>
      </w:r>
      <w:r>
        <w:rPr>
          <w:rFonts w:ascii="Arial" w:cs="Arial" w:eastAsia="Arial" w:hAnsi="Arial"/>
          <w:color w:val="14181D"/>
          <w:sz w:val="20"/>
          <w:szCs w:val="20"/>
        </w:rPr>
        <w:t xml:space="preserve"> where the contract is through an agency — the agency is your customer, but confirm whether Attachment 1a may be signed by the agency or must be signed by the end client. One email, asked before the engagement rather than after it.</w:t>
      </w:r>
    </w:p>
    <w:p>
      <w:pPr>
        <w:pStyle w:val="Heading1"/>
        <w:keepNext/>
        <w:pBdr>
          <w:bottom w:val="single" w:color="9C7A3C" w:sz="8" w:space="6"/>
        </w:pBdr>
        <w:spacing w:after="150" w:before="380"/>
      </w:pPr>
      <w:r>
        <w:rPr>
          <w:rFonts w:ascii="Arial" w:cs="Arial" w:eastAsia="Arial" w:hAnsi="Arial"/>
          <w:b/>
          <w:bCs/>
          <w:color w:val="14181D"/>
          <w:sz w:val="26"/>
          <w:szCs w:val="26"/>
        </w:rPr>
        <w:t xml:space="preserve">Track B — the fastest realistic ETABLIX money</w:t>
      </w:r>
    </w:p>
    <w:p>
      <w:pPr>
        <w:spacing w:after="90" w:before="90" w:line="280"/>
      </w:pPr>
      <w:r>
        <w:rPr>
          <w:rFonts w:ascii="Arial" w:cs="Arial" w:eastAsia="Arial" w:hAnsi="Arial"/>
          <w:color w:val="14181D"/>
          <w:sz w:val="20"/>
          <w:szCs w:val="20"/>
        </w:rPr>
        <w:t xml:space="preserve">Run this alongside, in the evenings. Three rules:</w:t>
      </w:r>
    </w:p>
    <w:p>
      <w:pPr>
        <w:spacing w:after="90" w:before="90" w:line="280"/>
      </w:pPr>
      <w:r>
        <w:rPr>
          <w:rFonts w:ascii="Arial" w:cs="Arial" w:eastAsia="Arial" w:hAnsi="Arial"/>
          <w:b/>
          <w:bCs/>
          <w:color w:val="14181D"/>
          <w:sz w:val="20"/>
          <w:szCs w:val="20"/>
        </w:rPr>
        <w:t xml:space="preserve">Warm only.</w:t>
      </w:r>
      <w:r>
        <w:rPr>
          <w:rFonts w:ascii="Arial" w:cs="Arial" w:eastAsia="Arial" w:hAnsi="Arial"/>
          <w:color w:val="14181D"/>
          <w:sz w:val="20"/>
          <w:szCs w:val="20"/>
        </w:rPr>
        <w:t xml:space="preserve"> Twelve procurement threads produced no revenue. Three live referral routes exist and former colleagues at Mott MacDonald, Turner &amp; Townsend, the West Midlands Combined Authority and GE Vernova are the warmest market available. Cold outreach has a six-week lead time to a decision and cannot land inside the window.</w:t>
      </w:r>
    </w:p>
    <w:p>
      <w:pPr>
        <w:spacing w:after="90" w:before="90" w:line="280"/>
      </w:pPr>
      <w:r>
        <w:rPr>
          <w:rFonts w:ascii="Arial" w:cs="Arial" w:eastAsia="Arial" w:hAnsi="Arial"/>
          <w:b/>
          <w:bCs/>
          <w:color w:val="14181D"/>
          <w:sz w:val="20"/>
          <w:szCs w:val="20"/>
        </w:rPr>
        <w:t xml:space="preserve">Small enough to avoid procurement.</w:t>
      </w:r>
      <w:r>
        <w:rPr>
          <w:rFonts w:ascii="Arial" w:cs="Arial" w:eastAsia="Arial" w:hAnsi="Arial"/>
          <w:color w:val="14181D"/>
          <w:sz w:val="20"/>
          <w:szCs w:val="20"/>
        </w:rPr>
        <w:t xml:space="preserve"> The reason a first sale stalls is not price, it is the approval route. Most organisations let a manager approve low-value professional services on a purchase order without a tender. Price the first engagement to sit under that threshold deliberately. A small invoice paid this quarter is worth more than a large proposal in a procurement queue, and the Attachment 1a is identical either way.</w:t>
      </w:r>
    </w:p>
    <w:p>
      <w:pPr>
        <w:spacing w:after="90" w:before="90" w:line="280"/>
      </w:pPr>
      <w:r>
        <w:rPr>
          <w:rFonts w:ascii="Arial" w:cs="Arial" w:eastAsia="Arial" w:hAnsi="Arial"/>
          <w:b/>
          <w:bCs/>
          <w:color w:val="14181D"/>
          <w:sz w:val="20"/>
          <w:szCs w:val="20"/>
        </w:rPr>
        <w:t xml:space="preserve">Approach as a supplier, never as a candidate.</w:t>
      </w:r>
      <w:r>
        <w:rPr>
          <w:rFonts w:ascii="Arial" w:cs="Arial" w:eastAsia="Arial" w:hAnsi="Arial"/>
          <w:color w:val="14181D"/>
          <w:sz w:val="20"/>
          <w:szCs w:val="20"/>
        </w:rPr>
        <w:t xml:space="preserve"> The AtkinsRéalis notice is the lesson: a capability email carrying a curriculum vitae reads as an agency touting a person, and the answer is a supplier-code notice against the whole company. Describe what the company does. Never attach the CV.</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CV is costing you interviews today, and it is a ten-minute fix</w:t>
      </w:r>
    </w:p>
    <w:p>
      <w:pPr>
        <w:spacing w:after="90" w:before="90" w:line="280"/>
      </w:pPr>
      <w:r>
        <w:rPr>
          <w:rFonts w:ascii="Arial" w:cs="Arial" w:eastAsia="Arial" w:hAnsi="Arial"/>
          <w:color w:val="14181D"/>
          <w:sz w:val="20"/>
          <w:szCs w:val="20"/>
        </w:rPr>
        <w:t xml:space="preserve">AZES RDC is confirmed as a title with no pay, contingent on senior Congolese ministerial approval that may take a long time or may never come. Treat it as a lottery ticket, not a plan, and spend no further time on it until the approval arrives.</w:t>
      </w:r>
    </w:p>
    <w:p>
      <w:pPr>
        <w:spacing w:after="90" w:before="90" w:line="280"/>
      </w:pPr>
      <w:r>
        <w:rPr>
          <w:rFonts w:ascii="Arial" w:cs="Arial" w:eastAsia="Arial" w:hAnsi="Arial"/>
          <w:color w:val="14181D"/>
          <w:sz w:val="20"/>
          <w:szCs w:val="20"/>
        </w:rPr>
        <w:t xml:space="preserve">But it is doing active harm where it sits. The CV currently opens: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AGENCE DES ZONES ÉCONOMIQUES SPÉCIALES (AZES RDC) Technical Director of Operations (Contract) | Jan 2026 – Present</w:t>
      </w:r>
    </w:p>
    <w:p>
      <w:pPr>
        <w:spacing w:after="90" w:before="90" w:line="280"/>
      </w:pPr>
      <w:r>
        <w:rPr>
          <w:rFonts w:ascii="Arial" w:cs="Arial" w:eastAsia="Arial" w:hAnsi="Arial"/>
          <w:color w:val="14181D"/>
          <w:sz w:val="20"/>
          <w:szCs w:val="20"/>
        </w:rPr>
        <w:t xml:space="preserve">A resourcing manager at a tier-one contractor reads the top third of a CV and nothing else. What that says is: </w:t>
      </w:r>
      <w:r>
        <w:rPr>
          <w:rFonts w:ascii="Arial" w:cs="Arial" w:eastAsia="Arial" w:hAnsi="Arial"/>
          <w:i/>
          <w:iCs/>
          <w:color w:val="14181D"/>
          <w:sz w:val="20"/>
          <w:szCs w:val="20"/>
        </w:rPr>
        <w:t xml:space="preserve">currently employed as an executive in the DRC.</w:t>
      </w:r>
      <w:r>
        <w:rPr>
          <w:rFonts w:ascii="Arial" w:cs="Arial" w:eastAsia="Arial" w:hAnsi="Arial"/>
          <w:color w:val="14181D"/>
          <w:sz w:val="20"/>
          <w:szCs w:val="20"/>
        </w:rPr>
        <w:t xml:space="preserve"> Which means not available, probably expensive, and almost certainly not interested in a site-based contract role in Scotland. </w:t>
      </w:r>
      <w:r>
        <w:rPr>
          <w:rFonts w:ascii="Arial" w:cs="Arial" w:eastAsia="Arial" w:hAnsi="Arial"/>
          <w:b/>
          <w:bCs/>
          <w:color w:val="14181D"/>
          <w:sz w:val="20"/>
          <w:szCs w:val="20"/>
        </w:rPr>
        <w:t xml:space="preserve">It is a stop sign on the first thing they read</w:t>
      </w:r>
      <w:r>
        <w:rPr>
          <w:rFonts w:ascii="Arial" w:cs="Arial" w:eastAsia="Arial" w:hAnsi="Arial"/>
          <w:color w:val="14181D"/>
          <w:sz w:val="20"/>
          <w:szCs w:val="20"/>
        </w:rPr>
        <w:t xml:space="preserve">, and it is the reason a very employable CV may be getting no calls.</w:t>
      </w:r>
    </w:p>
    <w:p>
      <w:pPr>
        <w:spacing w:after="90" w:before="90" w:line="280"/>
      </w:pPr>
      <w:r>
        <w:rPr>
          <w:rFonts w:ascii="Arial" w:cs="Arial" w:eastAsia="Arial" w:hAnsi="Arial"/>
          <w:color w:val="14181D"/>
          <w:sz w:val="20"/>
          <w:szCs w:val="20"/>
        </w:rPr>
        <w:t xml:space="preserve">Three changes, all true, none of them spin:</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Add one line directly under the name</w:t>
      </w:r>
      <w:r>
        <w:rPr>
          <w:rFonts w:ascii="Arial" w:cs="Arial" w:eastAsia="Arial" w:hAnsi="Arial"/>
          <w:color w:val="14181D"/>
          <w:sz w:val="20"/>
          <w:szCs w:val="20"/>
        </w:rPr>
        <w:t xml:space="preserve">, before anything else: </w:t>
      </w:r>
      <w:r>
        <w:rPr>
          <w:rFonts w:ascii="Arial" w:cs="Arial" w:eastAsia="Arial" w:hAnsi="Arial"/>
          <w:i/>
          <w:iCs/>
          <w:color w:val="14181D"/>
          <w:sz w:val="20"/>
          <w:szCs w:val="20"/>
        </w:rPr>
        <w:t xml:space="preserve">Available immediately for contract · Limited company (JNN GLOBAL LTD) · Outside IR35 preferred · UK-wide and Ireland.</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Relabel AZES so it cannot be read as current employment.</w:t>
      </w:r>
      <w:r>
        <w:rPr>
          <w:rFonts w:ascii="Arial" w:cs="Arial" w:eastAsia="Arial" w:hAnsi="Arial"/>
          <w:color w:val="14181D"/>
          <w:sz w:val="20"/>
          <w:szCs w:val="20"/>
        </w:rPr>
        <w:t xml:space="preserve"> It is an appointment that has not mobilised, so say that: </w:t>
      </w:r>
      <w:r>
        <w:rPr>
          <w:rFonts w:ascii="Arial" w:cs="Arial" w:eastAsia="Arial" w:hAnsi="Arial"/>
          <w:i/>
          <w:iCs/>
          <w:color w:val="14181D"/>
          <w:sz w:val="20"/>
          <w:szCs w:val="20"/>
        </w:rPr>
        <w:t xml:space="preserve">Technical Director of Operations (appointment, Jan 2026 — programme awaiting government funding approval, not yet mobilised).</w:t>
      </w:r>
      <w:r>
        <w:rPr>
          <w:rFonts w:ascii="Arial" w:cs="Arial" w:eastAsia="Arial" w:hAnsi="Arial"/>
          <w:color w:val="14181D"/>
          <w:sz w:val="20"/>
          <w:szCs w:val="20"/>
        </w:rPr>
        <w:t xml:space="preserve"> Move it below GE Vernova. Nobody reasonable penalises an unmobilised appointment; everybody skips a current executive.</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Make GE Vernova the headline.</w:t>
      </w:r>
      <w:r>
        <w:rPr>
          <w:rFonts w:ascii="Arial" w:cs="Arial" w:eastAsia="Arial" w:hAnsi="Arial"/>
          <w:color w:val="14181D"/>
          <w:sz w:val="20"/>
          <w:szCs w:val="20"/>
        </w:rPr>
        <w:t xml:space="preserve"> It is the most recent delivery, it is the market being applied to, and it is three years of exactly the work those thirteen newly appointed framework contractors are staffing for. It should be the first employer on the page.</w:t>
      </w:r>
    </w:p>
    <w:p>
      <w:pPr>
        <w:spacing w:after="90" w:before="90" w:line="280"/>
      </w:pPr>
      <w:r>
        <w:rPr>
          <w:rFonts w:ascii="Arial" w:cs="Arial" w:eastAsia="Arial" w:hAnsi="Arial"/>
          <w:color w:val="14181D"/>
          <w:sz w:val="20"/>
          <w:szCs w:val="20"/>
        </w:rPr>
        <w:t xml:space="preserve">The same correction has been made in </w:t>
      </w:r>
      <w:r>
        <w:rPr>
          <w:rFonts w:ascii="Arial" w:cs="Arial" w:eastAsia="Arial" w:hAnsi="Arial"/>
          <w:i/>
          <w:iCs/>
          <w:color w:val="14181D"/>
          <w:sz w:val="20"/>
          <w:szCs w:val="20"/>
        </w:rPr>
        <w:t xml:space="preserve">Director's Relevant Experience</w:t>
      </w:r>
      <w:r>
        <w:rPr>
          <w:rFonts w:ascii="Arial" w:cs="Arial" w:eastAsia="Arial" w:hAnsi="Arial"/>
          <w:color w:val="14181D"/>
          <w:sz w:val="20"/>
          <w:szCs w:val="20"/>
        </w:rPr>
        <w:t xml:space="preserve">, where the AZES row originally described directing EPC contractors across power, roads, water and industrial facilities. None of that has happened. In the one document that offers referees and invites a buyer to telephone them, that was the kind of overclaim that discredits every true row beside it.</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conversation to have this week, before anything else</w:t>
      </w:r>
    </w:p>
    <w:p>
      <w:pPr>
        <w:spacing w:after="90" w:before="90" w:line="280"/>
      </w:pPr>
      <w:r>
        <w:rPr>
          <w:rFonts w:ascii="Arial" w:cs="Arial" w:eastAsia="Arial" w:hAnsi="Arial"/>
          <w:b/>
          <w:bCs/>
          <w:color w:val="14181D"/>
          <w:sz w:val="20"/>
          <w:szCs w:val="20"/>
        </w:rPr>
        <w:t xml:space="preserve">Telephone the mortgage lender now, while the account is up to date.</w:t>
      </w:r>
      <w:r>
        <w:rPr>
          <w:rFonts w:ascii="Arial" w:cs="Arial" w:eastAsia="Arial" w:hAnsi="Arial"/>
          <w:color w:val="14181D"/>
          <w:sz w:val="20"/>
          <w:szCs w:val="20"/>
        </w:rPr>
        <w:t xml:space="preserve"> This is the single highest-value hour in the whole plan and it costs nothing.</w:t>
      </w:r>
    </w:p>
    <w:p>
      <w:pPr>
        <w:spacing w:after="90" w:before="90" w:line="280"/>
      </w:pPr>
      <w:r>
        <w:rPr>
          <w:rFonts w:ascii="Arial" w:cs="Arial" w:eastAsia="Arial" w:hAnsi="Arial"/>
          <w:color w:val="14181D"/>
          <w:sz w:val="20"/>
          <w:szCs w:val="20"/>
        </w:rPr>
        <w:t xml:space="preserve">A lender dealing with a customer who is in good standing and says "my income stopped, here is my plan, I need breathing space" has real options available, and is regulated to treat customers in financial difficulty fairly. The usual ones are a payment deferral, a temporary switch to interest only, or extending the term to reduce the monthly payment. All of them are easier to arrange </w:t>
      </w:r>
      <w:r>
        <w:rPr>
          <w:rFonts w:ascii="Arial" w:cs="Arial" w:eastAsia="Arial" w:hAnsi="Arial"/>
          <w:b/>
          <w:bCs/>
          <w:color w:val="14181D"/>
          <w:sz w:val="20"/>
          <w:szCs w:val="20"/>
        </w:rPr>
        <w:t xml:space="preserve">before</w:t>
      </w:r>
      <w:r>
        <w:rPr>
          <w:rFonts w:ascii="Arial" w:cs="Arial" w:eastAsia="Arial" w:hAnsi="Arial"/>
          <w:color w:val="14181D"/>
          <w:sz w:val="20"/>
          <w:szCs w:val="20"/>
        </w:rPr>
        <w:t xml:space="preserve"> a payment is missed. After arrears begin, the same conversation is harder and the credit consequences are already running.</w:t>
      </w:r>
    </w:p>
    <w:p>
      <w:pPr>
        <w:spacing w:after="90" w:before="90" w:line="280"/>
      </w:pPr>
      <w:r>
        <w:rPr>
          <w:rFonts w:ascii="Arial" w:cs="Arial" w:eastAsia="Arial" w:hAnsi="Arial"/>
          <w:b/>
          <w:bCs/>
          <w:color w:val="14181D"/>
          <w:sz w:val="20"/>
          <w:szCs w:val="20"/>
        </w:rPr>
        <w:t xml:space="preserve">Get free regulated advice rather than taking any of this as financial advice.</w:t>
      </w:r>
      <w:r>
        <w:rPr>
          <w:rFonts w:ascii="Arial" w:cs="Arial" w:eastAsia="Arial" w:hAnsi="Arial"/>
          <w:color w:val="14181D"/>
          <w:sz w:val="20"/>
          <w:szCs w:val="20"/>
        </w:rPr>
        <w:t xml:space="preserve"> StepChange, National Debtline and Citizens Advice are free, confidential, and deal with exactly this situation every day. They will also check whether there is any entitlement being left unclaimed, which after ten months may be material.</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to stop doing</w:t>
      </w:r>
    </w:p>
    <w:p>
      <w:pPr>
        <w:spacing w:after="90" w:before="90" w:line="280"/>
      </w:pPr>
      <w:r>
        <w:rPr>
          <w:rFonts w:ascii="Arial" w:cs="Arial" w:eastAsia="Arial" w:hAnsi="Arial"/>
          <w:b/>
          <w:bCs/>
          <w:color w:val="14181D"/>
          <w:sz w:val="20"/>
          <w:szCs w:val="20"/>
        </w:rPr>
        <w:t xml:space="preserve">Stop applying to frameworks.</w:t>
      </w:r>
      <w:r>
        <w:rPr>
          <w:rFonts w:ascii="Arial" w:cs="Arial" w:eastAsia="Arial" w:hAnsi="Arial"/>
          <w:color w:val="14181D"/>
          <w:sz w:val="20"/>
          <w:szCs w:val="20"/>
        </w:rPr>
        <w:t xml:space="preserve"> Every one of them is blocked on the same thing, and no further submission changes that. The documents are built. They will be waiting when there is an Attachment 1a to attach.</w:t>
      </w:r>
    </w:p>
    <w:p>
      <w:pPr>
        <w:spacing w:after="90" w:before="90" w:line="280"/>
      </w:pPr>
      <w:r>
        <w:rPr>
          <w:rFonts w:ascii="Arial" w:cs="Arial" w:eastAsia="Arial" w:hAnsi="Arial"/>
          <w:b/>
          <w:bCs/>
          <w:color w:val="14181D"/>
          <w:sz w:val="20"/>
          <w:szCs w:val="20"/>
        </w:rPr>
        <w:t xml:space="preserve">Spend nothing on Cyber Essentials or insurance until there is income.</w:t>
      </w:r>
      <w:r>
        <w:rPr>
          <w:rFonts w:ascii="Arial" w:cs="Arial" w:eastAsia="Arial" w:hAnsi="Arial"/>
          <w:color w:val="14181D"/>
          <w:sz w:val="20"/>
          <w:szCs w:val="20"/>
        </w:rPr>
        <w:t xml:space="preserve"> They are prerequisites for appointment, not for registration, and the frameworks are open for four years. They can wait three months. Cash cannot.</w:t>
      </w:r>
    </w:p>
    <w:p>
      <w:pPr>
        <w:spacing w:after="90" w:before="90" w:line="280"/>
      </w:pPr>
      <w:r>
        <w:rPr>
          <w:rFonts w:ascii="Arial" w:cs="Arial" w:eastAsia="Arial" w:hAnsi="Arial"/>
          <w:b/>
          <w:bCs/>
          <w:color w:val="14181D"/>
          <w:sz w:val="20"/>
          <w:szCs w:val="20"/>
        </w:rPr>
        <w:t xml:space="preserve">Do not build anything else.</w:t>
      </w:r>
      <w:r>
        <w:rPr>
          <w:rFonts w:ascii="Arial" w:cs="Arial" w:eastAsia="Arial" w:hAnsi="Arial"/>
          <w:color w:val="14181D"/>
          <w:sz w:val="20"/>
          <w:szCs w:val="20"/>
        </w:rPr>
        <w:t xml:space="preserve"> The platform, the sixteen agents, the policy set, the specimen and the bid documents are all finished to a standard well beyond what the current stage requires. More building is the most comfortable way to avoid selling, and it is the thing that has filled ten months.</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This week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83"/>
        <w:gridCol w:w="6917"/>
      </w:tblGrid>
      <w:tr>
        <w:trPr>
          <w:tblHeader/>
        </w:trPr>
        <w:tc>
          <w:tcPr>
            <w:tcW w:type="dxa" w:w="1383"/>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Day</w:t>
            </w:r>
          </w:p>
        </w:tc>
        <w:tc>
          <w:tcPr>
            <w:tcW w:type="dxa" w:w="6917"/>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Action</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Today</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Telephone the mortgage lender. Then book a free advice appointment.</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Today</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Update the LinkedIn headline to the contract market: chartered construction manager, HV substation and OHL delivery, available for contract.</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Tomorrow</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Three agencies specialising in transmission and energy contract staffing. Say: limited company, outside IR35 preferred, available immediately.</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Tomorrow</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Direct approaches to the thirteen named National Grid framework contractors and the ASTI tier — supply chain and resourcing, not recruitment inboxes.</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This week</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Four warm former colleagues. Not a pitch. "I have set up on my own doing site establishment specification — is there a single site you would let me look at?"</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This week</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One email to the GCA asking who may countersign Attachment 1a on an agency-routed contract.</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The honest summary</w:t>
      </w:r>
    </w:p>
    <w:p>
      <w:pPr>
        <w:spacing w:after="90" w:before="90" w:line="280"/>
      </w:pPr>
      <w:r>
        <w:rPr>
          <w:rFonts w:ascii="Arial" w:cs="Arial" w:eastAsia="Arial" w:hAnsi="Arial"/>
          <w:color w:val="14181D"/>
          <w:sz w:val="20"/>
          <w:szCs w:val="20"/>
        </w:rPr>
        <w:t xml:space="preserve">The business is not the problem. The sequence was. Ten months went into building something genuinely good and into twelve applications that all terminate at the same locked door, and none of it could ever have produced cash in the window available.</w:t>
      </w:r>
    </w:p>
    <w:p>
      <w:pPr>
        <w:spacing w:after="90" w:before="90" w:line="280"/>
      </w:pPr>
      <w:r>
        <w:rPr>
          <w:rFonts w:ascii="Arial" w:cs="Arial" w:eastAsia="Arial" w:hAnsi="Arial"/>
          <w:b/>
          <w:bCs/>
          <w:color w:val="14181D"/>
          <w:sz w:val="20"/>
          <w:szCs w:val="20"/>
        </w:rPr>
        <w:t xml:space="preserve">The way out is to go back into the market you know, through your own company, and let that engagement be both the income and the contract example.</w:t>
      </w:r>
      <w:r>
        <w:rPr>
          <w:rFonts w:ascii="Arial" w:cs="Arial" w:eastAsia="Arial" w:hAnsi="Arial"/>
          <w:color w:val="14181D"/>
          <w:sz w:val="20"/>
          <w:szCs w:val="20"/>
        </w:rPr>
        <w:t xml:space="preserve"> Then ETABLIX has a signed Attachment 1a, a referee who has just watched you work, and a founder who is not three months from the wall.</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Three months of runway: what actually pays the mortgage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MONTHS OF RUNWAY: WHAT ACTUALLY PAYS THE MORTGAGE</dc:title>
  <dc:creator>ETABLIX — Integrated Site Services</dc:creator>
  <dc:description>ETABLIX THREE MONTHS OF RUNWAY: WHAT ACTUALLY PAYS THE MORTGAGE</dc:description>
  <cp:lastModifiedBy>Un-named</cp:lastModifiedBy>
  <cp:revision>1</cp:revision>
  <dcterms:created xsi:type="dcterms:W3CDTF">2026-10-02T11:22:32.760Z</dcterms:created>
  <dcterms:modified xsi:type="dcterms:W3CDTF">2026-10-02T11:22:32.760Z</dcterms:modified>
</cp:coreProperties>
</file>

<file path=docProps/custom.xml><?xml version="1.0" encoding="utf-8"?>
<Properties xmlns="http://schemas.openxmlformats.org/officeDocument/2006/custom-properties" xmlns:vt="http://schemas.openxmlformats.org/officeDocument/2006/docPropsVTypes"/>
</file>