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30 September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Set out in full at 3.1 above.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and delivery partners. Recorded here because it is current and because a record checked against a curriculum vitae should not have a hole in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Sofia Offshore Wind Farm — grid connection, 1,400 MW</w:t>
      </w:r>
    </w:p>
    <w:p>
      <w:pPr>
        <w:spacing w:after="90" w:before="90" w:line="280"/>
      </w:pPr>
      <w:r>
        <w:rPr>
          <w:rFonts w:ascii="Arial" w:cs="Arial" w:eastAsia="Arial" w:hAnsi="Arial"/>
          <w:color w:val="14181D"/>
          <w:sz w:val="20"/>
          <w:szCs w:val="20"/>
        </w:rPr>
        <w:t xml:space="preserve">Held under the scope set out at 3.1. On this scheme the director carried the site establishment and workforce-living scope as the single accountable interface — requirements and tender-stage specification, procurement, integration into the construction programme, mobilisation, daily operation, and demobilisation and reinstatement — alongside subcontract management of the construction works.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Established the site requirement from the construction programme — headcount, shift pattern, duration, location, and the ground and consent constraints — and converted it into an enquiry scope and a tender-stage budget allowance, before any price existed.</w:t>
      </w:r>
    </w:p>
    <w:p>
      <w:pPr>
        <w:pStyle w:val="ListParagraph"/>
        <w:numPr>
          <w:ilvl w:val="0"/>
          <w:numId w:val="2"/>
        </w:numPr>
        <w:spacing w:after="50" w:before="50" w:line="280"/>
      </w:pPr>
      <w:r>
        <w:rPr>
          <w:rFonts w:ascii="Arial" w:cs="Arial" w:eastAsia="Arial" w:hAnsi="Arial"/>
          <w:color w:val="14181D"/>
          <w:sz w:val="20"/>
          <w:szCs w:val="20"/>
        </w:rPr>
        <w:t xml:space="preserve">Identified and approached the contractor and supplier market for each package and built the bidder list. Where no suitable contractor was already established in the territory, found and qualified new ones rather than accepting a thin field.</w:t>
      </w:r>
    </w:p>
    <w:p>
      <w:pPr>
        <w:pStyle w:val="ListParagraph"/>
        <w:numPr>
          <w:ilvl w:val="0"/>
          <w:numId w:val="2"/>
        </w:numPr>
        <w:spacing w:after="50" w:before="50" w:line="280"/>
      </w:pPr>
      <w:r>
        <w:rPr>
          <w:rFonts w:ascii="Arial" w:cs="Arial" w:eastAsia="Arial" w:hAnsi="Arial"/>
          <w:color w:val="14181D"/>
          <w:sz w:val="20"/>
          <w:szCs w:val="20"/>
        </w:rPr>
        <w:t xml:space="preserve">Issued the enquiry documents: scope, specification, programme dates, site constraints and the pricing schedule against which returns would be compared on the same basis.</w:t>
      </w:r>
    </w:p>
    <w:p>
      <w:pPr>
        <w:pStyle w:val="ListParagraph"/>
        <w:numPr>
          <w:ilvl w:val="0"/>
          <w:numId w:val="2"/>
        </w:numPr>
        <w:spacing w:after="50" w:before="50" w:line="280"/>
      </w:pPr>
      <w:r>
        <w:rPr>
          <w:rFonts w:ascii="Arial" w:cs="Arial" w:eastAsia="Arial" w:hAnsi="Arial"/>
          <w:color w:val="14181D"/>
          <w:sz w:val="20"/>
          <w:szCs w:val="20"/>
        </w:rPr>
        <w:t xml:space="preserve">Assessed the returned quotations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Integrated the appointed works into the construction programme and the site logistics, and held the interfaces with engineering, planning, HSE and commissioning through mobilisation, installation and connection.</w:t>
      </w:r>
    </w:p>
    <w:p>
      <w:pPr>
        <w:pStyle w:val="ListParagraph"/>
        <w:numPr>
          <w:ilvl w:val="0"/>
          <w:numId w:val="2"/>
        </w:numPr>
        <w:spacing w:after="50" w:before="50" w:line="280"/>
      </w:pPr>
      <w:r>
        <w:rPr>
          <w:rFonts w:ascii="Arial" w:cs="Arial" w:eastAsia="Arial" w:hAnsi="Arial"/>
          <w:color w:val="14181D"/>
          <w:sz w:val="20"/>
          <w:szCs w:val="20"/>
        </w:rPr>
        <w:t xml:space="preserve">Monitored the appointed contractors for the life of the establishment against scope, programme, quality, HSE and commercial position; raised non-conformance and closed it out.</w:t>
      </w:r>
    </w:p>
    <w:p>
      <w:pPr>
        <w:pStyle w:val="ListParagraph"/>
        <w:numPr>
          <w:ilvl w:val="0"/>
          <w:numId w:val="2"/>
        </w:numPr>
        <w:spacing w:after="50" w:before="50" w:line="280"/>
      </w:pPr>
      <w:r>
        <w:rPr>
          <w:rFonts w:ascii="Arial" w:cs="Arial" w:eastAsia="Arial" w:hAnsi="Arial"/>
          <w:color w:val="14181D"/>
          <w:sz w:val="20"/>
          <w:szCs w:val="20"/>
        </w:rPr>
        <w:t xml:space="preserve">Closed out demobilisation: removal, off-hire, reinstatement of the land to the condition the agreement required, and the final account.</w:t>
      </w:r>
    </w:p>
    <w:p>
      <w:pPr>
        <w:pStyle w:val="Heading2"/>
        <w:keepNext/>
        <w:spacing w:after="110" w:before="260"/>
      </w:pPr>
      <w:r>
        <w:rPr>
          <w:rFonts w:ascii="Arial" w:cs="Arial" w:eastAsia="Arial" w:hAnsi="Arial"/>
          <w:b/>
          <w:bCs/>
          <w:color w:val="9C7A3C"/>
          <w:sz w:val="21"/>
          <w:szCs w:val="21"/>
        </w:rPr>
        <w:t xml:space="preserve">4.2  Midland Main Line Upgrade</w:t>
      </w:r>
    </w:p>
    <w:p>
      <w:pPr>
        <w:spacing w:after="90" w:before="90" w:line="280"/>
      </w:pPr>
      <w:r>
        <w:rPr>
          <w:rFonts w:ascii="Arial" w:cs="Arial" w:eastAsia="Arial" w:hAnsi="Arial"/>
          <w:color w:val="14181D"/>
          <w:sz w:val="20"/>
          <w:szCs w:val="20"/>
        </w:rPr>
        <w:t xml:space="preserve">Offered because it evidences delivery in a live operational environment, where the establishment and the works have to be sequenced around an asset that cannot be stopped. That constraint is the one most often underestimated in site establishment pricing.</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Senior Project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Oct 2018 – Nov 2021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Coordinated civil and mechanical, electrical and plumbing works in a live operational rail environment, sequencing construction around operational running rather than around the design.</w:t>
      </w:r>
    </w:p>
    <w:p>
      <w:pPr>
        <w:pStyle w:val="ListParagraph"/>
        <w:numPr>
          <w:ilvl w:val="0"/>
          <w:numId w:val="2"/>
        </w:numPr>
        <w:spacing w:after="50" w:before="50" w:line="280"/>
      </w:pPr>
      <w:r>
        <w:rPr>
          <w:rFonts w:ascii="Arial" w:cs="Arial" w:eastAsia="Arial" w:hAnsi="Arial"/>
          <w:color w:val="14181D"/>
          <w:sz w:val="20"/>
          <w:szCs w:val="20"/>
        </w:rPr>
        <w:t xml:space="preserve">Implemented programme controls and earned value monitoring on the scope, and reported performance against the baseline rather than against the last report.</w:t>
      </w:r>
    </w:p>
    <w:p>
      <w:pPr>
        <w:pStyle w:val="ListParagraph"/>
        <w:numPr>
          <w:ilvl w:val="0"/>
          <w:numId w:val="2"/>
        </w:numPr>
        <w:spacing w:after="50" w:before="50" w:line="280"/>
      </w:pPr>
      <w:r>
        <w:rPr>
          <w:rFonts w:ascii="Arial" w:cs="Arial" w:eastAsia="Arial" w:hAnsi="Arial"/>
          <w:color w:val="14181D"/>
          <w:sz w:val="20"/>
          <w:szCs w:val="20"/>
        </w:rPr>
        <w:t xml:space="preserve">Controlled the technical interfaces between designers, contractors, consultants and the client's operational teams, and ran the requests for information and contractor queries through to resolution.</w:t>
      </w:r>
    </w:p>
    <w:p>
      <w:pPr>
        <w:pStyle w:val="ListParagraph"/>
        <w:numPr>
          <w:ilvl w:val="0"/>
          <w:numId w:val="2"/>
        </w:numPr>
        <w:spacing w:after="50" w:before="50" w:line="280"/>
      </w:pPr>
      <w:r>
        <w:rPr>
          <w:rFonts w:ascii="Arial" w:cs="Arial" w:eastAsia="Arial" w:hAnsi="Arial"/>
          <w:color w:val="14181D"/>
          <w:sz w:val="20"/>
          <w:szCs w:val="20"/>
        </w:rPr>
        <w:t xml:space="preserve">Chaired progress and health and safety coordination meetings.</w:t>
      </w:r>
    </w:p>
    <w:p>
      <w:pPr>
        <w:pStyle w:val="ListParagraph"/>
        <w:numPr>
          <w:ilvl w:val="0"/>
          <w:numId w:val="2"/>
        </w:numPr>
        <w:spacing w:after="50" w:before="50" w:line="280"/>
      </w:pPr>
      <w:r>
        <w:rPr>
          <w:rFonts w:ascii="Arial" w:cs="Arial" w:eastAsia="Arial" w:hAnsi="Arial"/>
          <w:color w:val="14181D"/>
          <w:sz w:val="20"/>
          <w:szCs w:val="20"/>
        </w:rPr>
        <w:t xml:space="preserve">Administered the CDM 2015 obligations that sat within the appointment, including confirming the construction phase plan was in place and suitable before work started on site.</w:t>
      </w:r>
    </w:p>
    <w:p>
      <w:pPr>
        <w:pStyle w:val="ListParagraph"/>
        <w:numPr>
          <w:ilvl w:val="0"/>
          <w:numId w:val="2"/>
        </w:numPr>
        <w:spacing w:after="50" w:before="50" w:line="280"/>
      </w:pPr>
      <w:r>
        <w:rPr>
          <w:rFonts w:ascii="Arial" w:cs="Arial" w:eastAsia="Arial" w:hAnsi="Arial"/>
          <w:color w:val="14181D"/>
          <w:sz w:val="20"/>
          <w:szCs w:val="20"/>
        </w:rPr>
        <w:t xml:space="preserve">Managed cost performance and the risk register against the scope, and escalated where intervention above project level was required.</w:t>
      </w:r>
    </w:p>
    <w:p>
      <w:pPr>
        <w:pStyle w:val="ListParagraph"/>
        <w:numPr>
          <w:ilvl w:val="0"/>
          <w:numId w:val="2"/>
        </w:numPr>
        <w:spacing w:after="50" w:before="50" w:line="280"/>
      </w:pPr>
      <w:r>
        <w:rPr>
          <w:rFonts w:ascii="Arial" w:cs="Arial" w:eastAsia="Arial" w:hAnsi="Arial"/>
          <w:color w:val="14181D"/>
          <w:sz w:val="20"/>
          <w:szCs w:val="20"/>
        </w:rPr>
        <w:t xml:space="preserve">Took the scope through testing, commissioning and operational handover.</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2026-09-30T10:18:21.319Z</dcterms:created>
  <dcterms:modified xsi:type="dcterms:W3CDTF">2026-09-30T10:18:21.319Z</dcterms:modified>
</cp:coreProperties>
</file>

<file path=docProps/custom.xml><?xml version="1.0" encoding="utf-8"?>
<Properties xmlns="http://schemas.openxmlformats.org/officeDocument/2006/custom-properties" xmlns:vt="http://schemas.openxmlformats.org/officeDocument/2006/docPropsVTypes"/>
</file>