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DELIVERY RECORD</w:t>
      </w:r>
    </w:p>
    <w:p>
      <w:pPr>
        <w:spacing w:after="0" w:before="0"/>
      </w:pPr>
      <w:r>
        <w:rPr>
          <w:rFonts w:ascii="Arial" w:cs="Arial" w:eastAsia="Arial" w:hAnsi="Arial"/>
          <w:b/>
          <w:bCs/>
          <w:color w:val="14181D"/>
          <w:sz w:val="44"/>
          <w:szCs w:val="44"/>
        </w:rPr>
        <w:t xml:space="preserve">AND CAPABILITY</w:t>
      </w:r>
    </w:p>
    <w:p>
      <w:pPr>
        <w:spacing w:after="420" w:before="60"/>
      </w:pPr>
      <w:r>
        <w:rPr>
          <w:rFonts w:ascii="Arial" w:cs="Arial" w:eastAsia="Arial" w:hAnsi="Arial"/>
          <w:color w:val="5B6672"/>
          <w:sz w:val="26"/>
          <w:szCs w:val="26"/>
        </w:rPr>
        <w:t xml:space="preserve">the schemes, the scope, and who can confirm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and capability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number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record from employment. Verifiable against the employer named.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Issued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[recipient organisation]</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document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ETABLIX is a new company. It does not yet hold client case studies of its own, and this document does not pretend otherwise. </w:t>
      </w:r>
      <w:r>
        <w:rPr>
          <w:rFonts w:ascii="Arial" w:cs="Arial" w:eastAsia="Arial" w:hAnsi="Arial"/>
          <w:color w:val="14181D"/>
          <w:sz w:val="20"/>
          <w:szCs w:val="20"/>
        </w:rPr>
        <w:t xml:space="preserve">JNN GLOBAL LTD was incorporated in 2024 and trades as ETABLIX. It has not yet completed a client engagement under its own name, so there is no client to quote, no completed contract to cite and no testimonial to reproduce.</w:t>
      </w:r>
    </w:p>
    <w:p>
      <w:pPr>
        <w:spacing w:after="90" w:before="90" w:line="280"/>
      </w:pPr>
      <w:r>
        <w:rPr>
          <w:rFonts w:ascii="Arial" w:cs="Arial" w:eastAsia="Arial" w:hAnsi="Arial"/>
          <w:color w:val="14181D"/>
          <w:sz w:val="20"/>
          <w:szCs w:val="20"/>
        </w:rPr>
        <w:t xml:space="preserve">What exists instead is the delivery record of the person who will do the work. Every scheme in section 3 was delivered by the director as an employee of the organisation named against it, in the role stated, on the dates stated. None of it is claimed as an ETABLIX contract, and every item can be confirmed by the referee listed beside it.</w:t>
      </w:r>
    </w:p>
    <w:p>
      <w:pPr>
        <w:spacing w:after="90" w:before="90" w:line="280"/>
      </w:pPr>
      <w:r>
        <w:rPr>
          <w:rFonts w:ascii="Arial" w:cs="Arial" w:eastAsia="Arial" w:hAnsi="Arial"/>
          <w:color w:val="14181D"/>
          <w:sz w:val="20"/>
          <w:szCs w:val="20"/>
        </w:rPr>
        <w:t xml:space="preserve">That distinction matters and it is made deliberately. The appointments this company is bidding for — project manager, employer's agent, clerk of works, CDM co-ordinator, and site establishment specification — are personal-competence appointments. The capability of the organisation is the competence of the named individual, and a buyer assessing them is assessing a person. A record of what that person has actually run is the relevant evidence. A case study invented for a company that has not yet traded is not evidence of anything.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Stating the gap in the first paragraph is not modesty and it is not a tactic. It is that everything else in this document becomes checkable, and therefore worth something. A buyer who is told the gap believes the rest of the pack. A buyer who discovers the gap believes none of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scope, and where it was performed before</w:t>
      </w:r>
    </w:p>
    <w:p>
      <w:pPr>
        <w:spacing w:after="90" w:before="90" w:line="280"/>
      </w:pPr>
      <w:r>
        <w:rPr>
          <w:rFonts w:ascii="Arial" w:cs="Arial" w:eastAsia="Arial" w:hAnsi="Arial"/>
          <w:b/>
          <w:bCs/>
          <w:color w:val="14181D"/>
          <w:sz w:val="20"/>
          <w:szCs w:val="20"/>
        </w:rPr>
        <w:t xml:space="preserve">At GE Vernova – Grid Solutions, between December 2022 and December 2025,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He held that scope across multiple concurrent sites, from tender stage through to handover, across Northern and Southern Europe including the United Kingdom and the Republic of Ireland. Clients dealt with one accountable interface across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is the same scope ETABLIX is offering, and it is stated first because it is the relevant fact. It was performed as an employee of GE Vernova and is not presented as a contract held by this company. The individual schemes it covers, with referees, are at section 3.</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 was performed as the accountable interface rather than as self-delivery: the accommodation, welfare and utilities themselves were supplied and installed by specialist subcontractors, under terms the director specified, procured and held. ETABLIX operates the same way.</w:t>
      </w:r>
    </w:p>
    <w:p>
      <w:pPr>
        <w:pStyle w:val="Heading2"/>
        <w:keepNext/>
        <w:spacing w:after="110" w:before="260"/>
      </w:pPr>
      <w:r>
        <w:rPr>
          <w:rFonts w:ascii="Arial" w:cs="Arial" w:eastAsia="Arial" w:hAnsi="Arial"/>
          <w:b/>
          <w:bCs/>
          <w:color w:val="9C7A3C"/>
          <w:sz w:val="21"/>
          <w:szCs w:val="21"/>
        </w:rPr>
        <w:t xml:space="preserve">2.1  What ETABLIX does</w:t>
      </w:r>
    </w:p>
    <w:p>
      <w:pPr>
        <w:spacing w:after="90" w:before="90" w:line="280"/>
        <w:ind w:left="170"/>
      </w:pPr>
      <w:r>
        <w:rPr>
          <w:rFonts w:ascii="Arial" w:cs="Arial" w:eastAsia="Arial" w:hAnsi="Arial"/>
          <w:i/>
          <w:iCs/>
          <w:color w:val="5B6672"/>
          <w:sz w:val="19"/>
          <w:szCs w:val="19"/>
        </w:rPr>
        <w:t xml:space="preserve">Three short paragraphs. What the company does, who for, and what the client receives. No adjectives that cannot be tested — remove 'leading', 'innovative', 'world-class' and anything like them. Write it so a supply chain manager who reads nothing else knows whether to forward it.</w:t>
      </w:r>
    </w:p>
    <w:p>
      <w:pPr>
        <w:spacing w:after="90" w:before="90" w:line="280"/>
        <w:ind w:left="170"/>
      </w:pPr>
      <w:r>
        <w:rPr>
          <w:rFonts w:ascii="Arial" w:cs="Arial" w:eastAsia="Arial" w:hAnsi="Arial"/>
          <w:i/>
          <w:iCs/>
          <w:color w:val="5B6672"/>
          <w:sz w:val="19"/>
          <w:szCs w:val="19"/>
        </w:rPr>
        <w:t xml:space="preserve">Paragraph one: the problem. What goes wrong with site establishment when it is priced from a benchmark rather than worked out from the programme and the location.</w:t>
      </w:r>
    </w:p>
    <w:p>
      <w:pPr>
        <w:spacing w:after="90" w:before="90" w:line="280"/>
        <w:ind w:left="170"/>
      </w:pPr>
      <w:r>
        <w:rPr>
          <w:rFonts w:ascii="Arial" w:cs="Arial" w:eastAsia="Arial" w:hAnsi="Arial"/>
          <w:i/>
          <w:iCs/>
          <w:color w:val="5B6672"/>
          <w:sz w:val="19"/>
          <w:szCs w:val="19"/>
        </w:rPr>
        <w:t xml:space="preserve">Paragraph two: what the company does about it. The diagnostic, what it examines, and what the client gets at the end — a specification, a quantified requirement, and a number that can be defended.</w:t>
      </w:r>
    </w:p>
    <w:p>
      <w:pPr>
        <w:spacing w:after="90" w:before="90" w:line="280"/>
        <w:ind w:left="170"/>
      </w:pPr>
      <w:r>
        <w:rPr>
          <w:rFonts w:ascii="Arial" w:cs="Arial" w:eastAsia="Arial" w:hAnsi="Arial"/>
          <w:i/>
          <w:iCs/>
          <w:color w:val="5B6672"/>
          <w:sz w:val="19"/>
          <w:szCs w:val="19"/>
        </w:rPr>
        <w:t xml:space="preserve">Paragraph three: where it sits commercially. Single point of responsibility for site establishment rather than a set of separate subcontracts, and the point in the programme at which the work has to happen for it to be worth anything — which is bid stage, before the fence goes up.</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delivery record</w:t>
      </w:r>
    </w:p>
    <w:p>
      <w:pPr>
        <w:spacing w:after="90" w:before="90" w:line="280"/>
      </w:pPr>
      <w:r>
        <w:rPr>
          <w:rFonts w:ascii="Arial" w:cs="Arial" w:eastAsia="Arial" w:hAnsi="Arial"/>
          <w:color w:val="14181D"/>
          <w:sz w:val="20"/>
          <w:szCs w:val="20"/>
        </w:rPr>
        <w:t xml:space="preserve">Each entry below records a scheme the director delivered as an employee, the scope he was personally accountable for, and a referee who can confirm it. The employer is named in every case. No entry is presented as a contract held by ETABLIX.</w:t>
      </w:r>
    </w:p>
    <w:p>
      <w:pPr>
        <w:spacing w:after="90" w:before="90" w:line="280"/>
        <w:ind w:left="170"/>
      </w:pPr>
      <w:r>
        <w:rPr>
          <w:rFonts w:ascii="Arial" w:cs="Arial" w:eastAsia="Arial" w:hAnsi="Arial"/>
          <w:i/>
          <w:iCs/>
          <w:color w:val="5B6672"/>
          <w:sz w:val="19"/>
          <w:szCs w:val="19"/>
        </w:rPr>
        <w:t xml:space="preserve">Fill one block per scheme, strongest first. Three is the target — CHIC asks for up to three contract examples and three is what a procurement assessor expects. Two well-evidenced entries beat three where the last is thin.</w:t>
      </w:r>
    </w:p>
    <w:p>
      <w:pPr>
        <w:pStyle w:val="Heading2"/>
        <w:keepNext/>
        <w:spacing w:after="110" w:before="260"/>
      </w:pPr>
      <w:r>
        <w:rPr>
          <w:rFonts w:ascii="Arial" w:cs="Arial" w:eastAsia="Arial" w:hAnsi="Arial"/>
          <w:b/>
          <w:bCs/>
          <w:color w:val="9C7A3C"/>
          <w:sz w:val="21"/>
          <w:szCs w:val="21"/>
        </w:rPr>
        <w:t xml:space="preserve">3.1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3.2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3.3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Specified, negotiated and recommended the award of NN subcontracts covering fencing, security, temporary power, water and waste; held single-point responsibility for their interfaces and for performance against the terms. Use the verb that is true of how the order was actually placed.]</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 worked specimen of the deliverable</w:t>
      </w:r>
    </w:p>
    <w:p>
      <w:pPr>
        <w:spacing w:after="90" w:before="90" w:line="280"/>
      </w:pPr>
      <w:r>
        <w:rPr>
          <w:rFonts w:ascii="Arial" w:cs="Arial" w:eastAsia="Arial" w:hAnsi="Arial"/>
          <w:color w:val="14181D"/>
          <w:sz w:val="20"/>
          <w:szCs w:val="20"/>
        </w:rPr>
        <w:t xml:space="preserve">Because there is no client engagement to show, a specimen is provided instead. It is a full worked example of the diagnostic output on an illustrative scheme, so a reader can see exactly what is delivered rather than being told about it.</w:t>
      </w:r>
    </w:p>
    <w:p>
      <w:pPr>
        <w:spacing w:after="90" w:before="90" w:line="280"/>
      </w:pPr>
      <w:r>
        <w:rPr>
          <w:rFonts w:ascii="Arial" w:cs="Arial" w:eastAsia="Arial" w:hAnsi="Arial"/>
          <w:b/>
          <w:bCs/>
          <w:color w:val="14181D"/>
          <w:sz w:val="20"/>
          <w:szCs w:val="20"/>
        </w:rPr>
        <w:t xml:space="preserve">It is labelled a specimen because it is one. </w:t>
      </w:r>
      <w:r>
        <w:rPr>
          <w:rFonts w:ascii="Arial" w:cs="Arial" w:eastAsia="Arial" w:hAnsi="Arial"/>
          <w:color w:val="14181D"/>
          <w:sz w:val="20"/>
          <w:szCs w:val="20"/>
        </w:rPr>
        <w:t xml:space="preserve">The scheme in it is not real and no part of it is drawn from a client's tender pack, anonymised or otherwise. Another client's pack will never be shown to a third party, and a document that hides which of those two things it is would tell a buyer exactly the wrong thing about how this company handles information.</w:t>
      </w:r>
    </w:p>
    <w:p>
      <w:pPr>
        <w:spacing w:after="90" w:before="90" w:line="280"/>
        <w:ind w:left="170"/>
      </w:pPr>
      <w:r>
        <w:rPr>
          <w:rFonts w:ascii="Arial" w:cs="Arial" w:eastAsia="Arial" w:hAnsi="Arial"/>
          <w:i/>
          <w:iCs/>
          <w:color w:val="5B6672"/>
          <w:sz w:val="19"/>
          <w:szCs w:val="19"/>
        </w:rPr>
        <w:t xml:space="preserve">Attach or link the specimen diagnostic. Keep the word ILLUSTRATIVE on every page of it, in the body text and in the metadata — not only in a footer that survives no screenshot.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Standing position</w:t>
      </w:r>
    </w:p>
    <w:p>
      <w:pPr>
        <w:spacing w:after="90" w:before="90" w:line="280"/>
      </w:pPr>
      <w:r>
        <w:rPr>
          <w:rFonts w:ascii="Arial" w:cs="Arial" w:eastAsia="Arial" w:hAnsi="Arial"/>
          <w:color w:val="14181D"/>
          <w:sz w:val="20"/>
          <w:szCs w:val="20"/>
        </w:rPr>
        <w:t xml:space="preserve">Stated plainly, including what is not yet held. Every line here is checkable, which is the point of putting them in one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Item</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Company number 15405437.</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Incorporated</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accounting reference date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 not yet reached, so no statutory accounts are yet due or filed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information available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Director-prepared management information: income and expenditure, statement of financial position, cash flow statement and a 36-month forecast. Unaudited.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'to be placed on appointment', which is normal and says so]</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Professional indemnity insurance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the same]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 — state it even if the answer is that there are no employees yet]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One working director is a legitimate answer and pretending otherwise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held</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only what is actually held]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in progress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with the stage each has reached — 'application submitted [date]' is credible; 'pending' alone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position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does not hold, and does not accept by implication, appointment as Principal Contractor or Principal Designer. Any such appointment is made in writing or not at all.</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handling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line on how client tender information is held and who can see it]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CDM line is not boilerplate. A consultant who drifts into a duty holder role by conduct rather than appointment carries the duty anyway, and a buyer who sees that risk managed on paper reads the rest of the document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spacing w:after="90" w:before="90" w:line="280"/>
      </w:pPr>
      <w:r>
        <w:rPr>
          <w:rFonts w:ascii="Arial" w:cs="Arial" w:eastAsia="Arial" w:hAnsi="Arial"/>
          <w:color w:val="14181D"/>
          <w:sz w:val="20"/>
          <w:szCs w:val="20"/>
        </w:rPr>
        <w:t xml:space="preserve">Listed here rather than left to be discovered.</w:t>
      </w:r>
    </w:p>
    <w:p>
      <w:pPr>
        <w:pStyle w:val="ListParagraph"/>
        <w:numPr>
          <w:ilvl w:val="0"/>
          <w:numId w:val="2"/>
        </w:numPr>
        <w:spacing w:after="50" w:before="50" w:line="280"/>
      </w:pPr>
      <w:r>
        <w:rPr>
          <w:rFonts w:ascii="Arial" w:cs="Arial" w:eastAsia="Arial" w:hAnsi="Arial"/>
          <w:color w:val="14181D"/>
          <w:sz w:val="20"/>
          <w:szCs w:val="20"/>
        </w:rPr>
        <w:t xml:space="preserve">No completed client engagement under the company's own name, and therefore no client reference that belongs to ETABLIX rather than to its director. This is the first thing the company is working to change and section 7 says how.</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The quality, environmental, health and safety, equality and occupational health arrangements are documented and issued, and they state on their own faces that they are not certified.</w:t>
      </w:r>
    </w:p>
    <w:p>
      <w:pPr>
        <w:pStyle w:val="ListParagraph"/>
        <w:numPr>
          <w:ilvl w:val="0"/>
          <w:numId w:val="2"/>
        </w:numPr>
        <w:spacing w:after="50" w:before="50" w:line="280"/>
      </w:pPr>
      <w:r>
        <w:rPr>
          <w:rFonts w:ascii="Arial" w:cs="Arial" w:eastAsia="Arial" w:hAnsi="Arial"/>
          <w:color w:val="14181D"/>
          <w:sz w:val="20"/>
          <w:szCs w:val="20"/>
        </w:rPr>
        <w:t xml:space="preserve">No second competent person. The company is one working director. Where an appointment requires independent review, that is procured and is stated in the fee.</w:t>
      </w:r>
    </w:p>
    <w:p>
      <w:pPr>
        <w:spacing w:after="90" w:before="90" w:line="280"/>
        <w:ind w:left="170"/>
      </w:pPr>
      <w:r>
        <w:rPr>
          <w:rFonts w:ascii="Arial" w:cs="Arial" w:eastAsia="Arial" w:hAnsi="Arial"/>
          <w:i/>
          <w:iCs/>
          <w:color w:val="5B6672"/>
          <w:sz w:val="19"/>
          <w:szCs w:val="19"/>
        </w:rPr>
        <w:t xml:space="preserve">Add anything else that is true. Resist the urge to stop the list early — a buyer who finds a fourth item you did not list stops trusting the three you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The proposal that closes the gap</w:t>
      </w:r>
    </w:p>
    <w:p>
      <w:pPr>
        <w:spacing w:after="90" w:before="90" w:line="280"/>
      </w:pPr>
      <w:r>
        <w:rPr>
          <w:rFonts w:ascii="Arial" w:cs="Arial" w:eastAsia="Arial" w:hAnsi="Arial"/>
          <w:color w:val="14181D"/>
          <w:sz w:val="20"/>
          <w:szCs w:val="20"/>
        </w:rPr>
        <w:t xml:space="preserve">The absence of a client case study is a fact about the calendar rather than about the capability, and it is solved by one engagement rather than by argument.</w:t>
      </w:r>
    </w:p>
    <w:p>
      <w:pPr>
        <w:spacing w:after="90" w:before="90" w:line="280"/>
        <w:ind w:left="170"/>
      </w:pPr>
      <w:r>
        <w:rPr>
          <w:rFonts w:ascii="Arial" w:cs="Arial" w:eastAsia="Arial" w:hAnsi="Arial"/>
          <w:i/>
          <w:iCs/>
          <w:color w:val="5B6672"/>
          <w:sz w:val="19"/>
          <w:szCs w:val="19"/>
        </w:rPr>
        <w:t xml:space="preserve">One paragraph offering a single-site diagnostic on one live scheme, at the rate you have already used, on the explicit basis that the client becomes the reference at the end of it. Say the rate, say the date it holds until, and say plainly that it does not carry forward to subsequent sites. A price with a reason and an expiry reads as a commercial decision. The same price without either reads as a discount, and a discount tells a buyer the first number was padded.</w:t>
      </w:r>
    </w:p>
    <w:p>
      <w:pPr>
        <w:spacing w:after="90" w:before="90" w:line="280"/>
        <w:ind w:left="170"/>
      </w:pPr>
      <w:r>
        <w:rPr>
          <w:rFonts w:ascii="Arial" w:cs="Arial" w:eastAsia="Arial" w:hAnsi="Arial"/>
          <w:i/>
          <w:iCs/>
          <w:color w:val="5B6672"/>
          <w:sz w:val="19"/>
          <w:szCs w:val="19"/>
        </w:rPr>
        <w:t xml:space="preserve">[Fill — and keep the rate out of anything that gets published. Pricing stays in documents issued to a named recipient.]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section is why the document opens the way it does. A buyer who has been told there are no case studies, and then offered a structured way to create the first one, is being asked to make a small decision with a clear return. A buyer who has been shown invented case studies is being asked to trust somebody who has just demonstrated they will invent things.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Delivery record and capability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CAPABILITY</dc:title>
  <dc:creator>ETABLIX — Integrated Site Services</dc:creator>
  <dc:description>ETABLIX AND CAPABILITY</dc:description>
  <cp:lastModifiedBy>Un-named</cp:lastModifiedBy>
  <cp:revision>1</cp:revision>
  <dcterms:created xsi:type="dcterms:W3CDTF">2026-09-30T10:13:15.038Z</dcterms:created>
  <dcterms:modified xsi:type="dcterms:W3CDTF">2026-09-30T10:13:15.038Z</dcterms:modified>
</cp:coreProperties>
</file>

<file path=docProps/custom.xml><?xml version="1.0" encoding="utf-8"?>
<Properties xmlns="http://schemas.openxmlformats.org/officeDocument/2006/custom-properties" xmlns:vt="http://schemas.openxmlformats.org/officeDocument/2006/docPropsVTypes"/>
</file>