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Submitted for</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the DPS, framework or category applied for]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statement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the dates are stated, and referees are offered at section 5 who can confirm the role and the scope from the other side of it.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what is being applied for rather than by date. The full chronology is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Set out in full at 3.1 above.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bl>
    <w:p>
      <w:pPr>
        <w:spacing w:after="90" w:before="90" w:line="280"/>
        <w:ind w:left="170"/>
      </w:pPr>
      <w:r>
        <w:rPr>
          <w:rFonts w:ascii="Arial" w:cs="Arial" w:eastAsia="Arial" w:hAnsi="Arial"/>
          <w:i/>
          <w:iCs/>
          <w:color w:val="5B6672"/>
          <w:sz w:val="19"/>
          <w:szCs w:val="19"/>
        </w:rPr>
        <w:t xml:space="preserve">Delete any row above that is not relevant to the specific categories applied for. The assessment team's test is relevance, not length, and a row that does not answer the category weakens the rows that do.</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is offered with a referee who can confirm it.</w:t>
      </w:r>
    </w:p>
    <w:p>
      <w:pPr>
        <w:pStyle w:val="Heading2"/>
        <w:keepNext/>
        <w:spacing w:after="110" w:before="260"/>
      </w:pPr>
      <w:r>
        <w:rPr>
          <w:rFonts w:ascii="Arial" w:cs="Arial" w:eastAsia="Arial" w:hAnsi="Arial"/>
          <w:b/>
          <w:bCs/>
          <w:color w:val="9C7A3C"/>
          <w:sz w:val="21"/>
          <w:szCs w:val="21"/>
        </w:rPr>
        <w:t xml:space="preserve">4.1  Sofia Offshore Wind Farm — grid connection, 1,400 MW</w:t>
      </w:r>
    </w:p>
    <w:p>
      <w:pPr>
        <w:spacing w:after="90" w:before="90" w:line="280"/>
      </w:pPr>
      <w:r>
        <w:rPr>
          <w:rFonts w:ascii="Arial" w:cs="Arial" w:eastAsia="Arial" w:hAnsi="Arial"/>
          <w:color w:val="14181D"/>
          <w:sz w:val="20"/>
          <w:szCs w:val="20"/>
        </w:rPr>
        <w:t xml:space="preserve">Held under the scope set out at 3.1. On this scheme the director carried the site establishment and workforce-living scope as the single accountable interface — requirements and tender-stage specification, procurement, integration into the construction programme, mobilisation, daily operation, and demobilisation and reinstatement — alongside subcontract management of the construction works.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or describe precisely where a confidentiality obligation prevents naming]</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Value of the scope personally held</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Peak workforce on site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 months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Referee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position, organisation, telephone, email — and the date they agreed to be named]</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Established the site requirement from the construction programme — headcount, shift pattern, duration, location, and the ground and consent constraints — and converted it into an enquiry scope and a tender-stage budget allowance, before any price existed.</w:t>
      </w:r>
    </w:p>
    <w:p>
      <w:pPr>
        <w:pStyle w:val="ListParagraph"/>
        <w:numPr>
          <w:ilvl w:val="0"/>
          <w:numId w:val="2"/>
        </w:numPr>
        <w:spacing w:after="50" w:before="50" w:line="280"/>
      </w:pPr>
      <w:r>
        <w:rPr>
          <w:rFonts w:ascii="Arial" w:cs="Arial" w:eastAsia="Arial" w:hAnsi="Arial"/>
          <w:color w:val="14181D"/>
          <w:sz w:val="20"/>
          <w:szCs w:val="20"/>
        </w:rPr>
        <w:t xml:space="preserve">Identified and approached the contractor and supplier market for each package and built the bidder list. Where no suitable contractor was already established in the territory, found and qualified new ones rather than accepting a thin field.</w:t>
      </w:r>
    </w:p>
    <w:p>
      <w:pPr>
        <w:pStyle w:val="ListParagraph"/>
        <w:numPr>
          <w:ilvl w:val="0"/>
          <w:numId w:val="2"/>
        </w:numPr>
        <w:spacing w:after="50" w:before="50" w:line="280"/>
      </w:pPr>
      <w:r>
        <w:rPr>
          <w:rFonts w:ascii="Arial" w:cs="Arial" w:eastAsia="Arial" w:hAnsi="Arial"/>
          <w:color w:val="14181D"/>
          <w:sz w:val="20"/>
          <w:szCs w:val="20"/>
        </w:rPr>
        <w:t xml:space="preserve">Issued the enquiry documents: scope, specification, programme dates, site constraints and the pricing schedule against which returns would be compared on the same basis.</w:t>
      </w:r>
    </w:p>
    <w:p>
      <w:pPr>
        <w:pStyle w:val="ListParagraph"/>
        <w:numPr>
          <w:ilvl w:val="0"/>
          <w:numId w:val="2"/>
        </w:numPr>
        <w:spacing w:after="50" w:before="50" w:line="280"/>
      </w:pPr>
      <w:r>
        <w:rPr>
          <w:rFonts w:ascii="Arial" w:cs="Arial" w:eastAsia="Arial" w:hAnsi="Arial"/>
          <w:color w:val="14181D"/>
          <w:sz w:val="20"/>
          <w:szCs w:val="20"/>
        </w:rPr>
        <w:t xml:space="preserve">Assessed the returned quotations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Integrated the appointed works into the construction programme and the site logistics, and held the interfaces with engineering, planning, HSE and commissioning through mobilisation, installation and connection.</w:t>
      </w:r>
    </w:p>
    <w:p>
      <w:pPr>
        <w:pStyle w:val="ListParagraph"/>
        <w:numPr>
          <w:ilvl w:val="0"/>
          <w:numId w:val="2"/>
        </w:numPr>
        <w:spacing w:after="50" w:before="50" w:line="280"/>
      </w:pPr>
      <w:r>
        <w:rPr>
          <w:rFonts w:ascii="Arial" w:cs="Arial" w:eastAsia="Arial" w:hAnsi="Arial"/>
          <w:color w:val="14181D"/>
          <w:sz w:val="20"/>
          <w:szCs w:val="20"/>
        </w:rPr>
        <w:t xml:space="preserve">Monitored the appointed contractors for the life of the establishment against scope, programme, quality, HSE and commercial position; raised non-conformance and closed it out.</w:t>
      </w:r>
    </w:p>
    <w:p>
      <w:pPr>
        <w:pStyle w:val="ListParagraph"/>
        <w:numPr>
          <w:ilvl w:val="0"/>
          <w:numId w:val="2"/>
        </w:numPr>
        <w:spacing w:after="50" w:before="50" w:line="280"/>
      </w:pPr>
      <w:r>
        <w:rPr>
          <w:rFonts w:ascii="Arial" w:cs="Arial" w:eastAsia="Arial" w:hAnsi="Arial"/>
          <w:color w:val="14181D"/>
          <w:sz w:val="20"/>
          <w:szCs w:val="20"/>
        </w:rPr>
        <w:t xml:space="preserve">Closed out demobilisation: removal, off-hire, reinstatement of the land to the condition the agreement required, and the final account.</w:t>
      </w:r>
    </w:p>
    <w:p>
      <w:pPr>
        <w:spacing w:after="90" w:before="90" w:line="280"/>
      </w:pPr>
      <w:r>
        <w:rPr>
          <w:rFonts w:ascii="Arial" w:cs="Arial" w:eastAsia="Arial" w:hAnsi="Arial"/>
          <w:b/>
          <w:bCs/>
          <w:color w:val="14181D"/>
          <w:sz w:val="20"/>
          <w:szCs w:val="20"/>
        </w:rPr>
        <w:t xml:space="preserve">What was different because you did it</w:t>
      </w:r>
    </w:p>
    <w:p>
      <w:pPr>
        <w:spacing w:after="90" w:before="90" w:line="280"/>
        <w:ind w:left="170"/>
      </w:pPr>
      <w:r>
        <w:rPr>
          <w:rFonts w:ascii="Arial" w:cs="Arial" w:eastAsia="Arial" w:hAnsi="Arial"/>
          <w:i/>
          <w:iCs/>
          <w:color w:val="5B6672"/>
          <w:sz w:val="19"/>
          <w:szCs w:val="19"/>
        </w:rPr>
        <w:t xml:space="preserve">One short paragraph, and the hardest to write. A quantity, a duration, a cost avoided, a problem that did not happen. If you have a number, use it and be ready to explain how you know it. If you do not, describe the change without a number rather than inventing one.</w:t>
      </w:r>
    </w:p>
    <w:p>
      <w:pPr>
        <w:pStyle w:val="Heading2"/>
        <w:keepNext/>
        <w:spacing w:after="110" w:before="260"/>
      </w:pPr>
      <w:r>
        <w:rPr>
          <w:rFonts w:ascii="Arial" w:cs="Arial" w:eastAsia="Arial" w:hAnsi="Arial"/>
          <w:b/>
          <w:bCs/>
          <w:color w:val="9C7A3C"/>
          <w:sz w:val="21"/>
          <w:szCs w:val="21"/>
        </w:rPr>
        <w:t xml:space="preserve">4.2  Midland Main Line Upgrade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Senior Project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Oct 2018 – Nov 2021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or describe precisely where a confidentiality obligation prevents naming]</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Value of the scope personally held</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Peak workforce on site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 months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Referee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position, organisation, telephone, email — and the date they agreed to be named]</w:t>
            </w:r>
          </w:p>
        </w:tc>
      </w:tr>
    </w:tbl>
    <w:p>
      <w:pPr>
        <w:spacing w:after="90" w:before="90" w:line="280"/>
      </w:pPr>
      <w:r>
        <w:rPr>
          <w:rFonts w:ascii="Arial" w:cs="Arial" w:eastAsia="Arial" w:hAnsi="Arial"/>
          <w:b/>
          <w:bCs/>
          <w:color w:val="14181D"/>
          <w:sz w:val="20"/>
          <w:szCs w:val="20"/>
        </w:rPr>
        <w:t xml:space="preserve">Scope personally accountable for</w:t>
      </w:r>
    </w:p>
    <w:p>
      <w:pPr>
        <w:spacing w:after="90" w:before="90" w:line="280"/>
        <w:ind w:left="170"/>
      </w:pPr>
      <w:r>
        <w:rPr>
          <w:rFonts w:ascii="Arial" w:cs="Arial" w:eastAsia="Arial" w:hAnsi="Arial"/>
          <w:i/>
          <w:iCs/>
          <w:color w:val="5B6672"/>
          <w:sz w:val="19"/>
          <w:szCs w:val="19"/>
        </w:rPr>
        <w:t xml:space="preserve">Four to eight bullets, one accountability per line, in the order the work actually happened. Use the verb you did — established, identified, issued, assessed, appointed, integrated, monitored, closed out — never 'was involved in' or 'was responsible for'. If a reader could not tell whether you led it or watched it, rewrite the line. Model it on 4.1.</w:t>
      </w:r>
    </w:p>
    <w:p>
      <w:pPr>
        <w:spacing w:after="90" w:before="90" w:line="280"/>
      </w:pPr>
      <w:r>
        <w:rPr>
          <w:rFonts w:ascii="Arial" w:cs="Arial" w:eastAsia="Arial" w:hAnsi="Arial"/>
          <w:b/>
          <w:bCs/>
          <w:color w:val="14181D"/>
          <w:sz w:val="20"/>
          <w:szCs w:val="20"/>
        </w:rPr>
        <w:t xml:space="preserve">What was different because you did it</w:t>
      </w:r>
    </w:p>
    <w:p>
      <w:pPr>
        <w:spacing w:after="90" w:before="90" w:line="280"/>
        <w:ind w:left="170"/>
      </w:pPr>
      <w:r>
        <w:rPr>
          <w:rFonts w:ascii="Arial" w:cs="Arial" w:eastAsia="Arial" w:hAnsi="Arial"/>
          <w:i/>
          <w:iCs/>
          <w:color w:val="5B6672"/>
          <w:sz w:val="19"/>
          <w:szCs w:val="19"/>
        </w:rPr>
        <w:t xml:space="preserve">One short paragraph, and the hardest to write. A quantity, a duration, a cost avoided, a problem that did not happen. If you have a number, use it and be ready to explain how you know it. If you do not, describe the change without a number rather than inventing one.</w:t>
      </w:r>
    </w:p>
    <w:p>
      <w:pPr>
        <w:pStyle w:val="Heading2"/>
        <w:keepNext/>
        <w:spacing w:after="110" w:before="260"/>
      </w:pPr>
      <w:r>
        <w:rPr>
          <w:rFonts w:ascii="Arial" w:cs="Arial" w:eastAsia="Arial" w:hAnsi="Arial"/>
          <w:b/>
          <w:bCs/>
          <w:color w:val="9C7A3C"/>
          <w:sz w:val="21"/>
          <w:szCs w:val="21"/>
        </w:rPr>
        <w:t xml:space="preserve">4.3  [Third scheme — choose the one closest to the categories applied for]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or describe precisely where a confidentiality obligation prevents naming]</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Value of the scope personally held</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Peak workforce on site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  ] months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Referee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[name, position, organisation, telephone, email — and the date they agreed to be named]</w:t>
            </w:r>
          </w:p>
        </w:tc>
      </w:tr>
    </w:tbl>
    <w:p>
      <w:pPr>
        <w:spacing w:after="90" w:before="90" w:line="280"/>
      </w:pPr>
      <w:r>
        <w:rPr>
          <w:rFonts w:ascii="Arial" w:cs="Arial" w:eastAsia="Arial" w:hAnsi="Arial"/>
          <w:b/>
          <w:bCs/>
          <w:color w:val="14181D"/>
          <w:sz w:val="20"/>
          <w:szCs w:val="20"/>
        </w:rPr>
        <w:t xml:space="preserve">Scope personally accountable for</w:t>
      </w:r>
    </w:p>
    <w:p>
      <w:pPr>
        <w:spacing w:after="90" w:before="90" w:line="280"/>
        <w:ind w:left="170"/>
      </w:pPr>
      <w:r>
        <w:rPr>
          <w:rFonts w:ascii="Arial" w:cs="Arial" w:eastAsia="Arial" w:hAnsi="Arial"/>
          <w:i/>
          <w:iCs/>
          <w:color w:val="5B6672"/>
          <w:sz w:val="19"/>
          <w:szCs w:val="19"/>
        </w:rPr>
        <w:t xml:space="preserve">Four to eight bullets, one accountability per line, in the order the work actually happened. Use the verb you did — established, identified, issued, assessed, appointed, integrated, monitored, closed out — never 'was involved in' or 'was responsible for'. If a reader could not tell whether you led it or watched it, rewrite the line. Model it on 4.1.</w:t>
      </w:r>
    </w:p>
    <w:p>
      <w:pPr>
        <w:spacing w:after="90" w:before="90" w:line="280"/>
      </w:pPr>
      <w:r>
        <w:rPr>
          <w:rFonts w:ascii="Arial" w:cs="Arial" w:eastAsia="Arial" w:hAnsi="Arial"/>
          <w:b/>
          <w:bCs/>
          <w:color w:val="14181D"/>
          <w:sz w:val="20"/>
          <w:szCs w:val="20"/>
        </w:rPr>
        <w:t xml:space="preserve">What was different because you did it</w:t>
      </w:r>
    </w:p>
    <w:p>
      <w:pPr>
        <w:spacing w:after="90" w:before="90" w:line="280"/>
        <w:ind w:left="170"/>
      </w:pPr>
      <w:r>
        <w:rPr>
          <w:rFonts w:ascii="Arial" w:cs="Arial" w:eastAsia="Arial" w:hAnsi="Arial"/>
          <w:i/>
          <w:iCs/>
          <w:color w:val="5B6672"/>
          <w:sz w:val="19"/>
          <w:szCs w:val="19"/>
        </w:rPr>
        <w:t xml:space="preserve">One short paragraph, and the hardest to write. A quantity, a duration, a cost avoided, a problem that did not happen. If you have a number, use it and be ready to explain how you know it. If you do not, describe the change without a number rather than inventing one.</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four quantity rows are the ones an assessor weighs and the ones nobody else can supply. A scheme entry without them reads as a job description; with them it reads as a record.</w:t>
      </w:r>
    </w:p>
    <w:p>
      <w:pPr>
        <w:pStyle w:val="Heading2"/>
        <w:keepNext/>
        <w:spacing w:after="110" w:before="260"/>
      </w:pPr>
      <w:r>
        <w:rPr>
          <w:rFonts w:ascii="Arial" w:cs="Arial" w:eastAsia="Arial" w:hAnsi="Arial"/>
          <w:b/>
          <w:bCs/>
          <w:color w:val="9C7A3C"/>
          <w:sz w:val="21"/>
          <w:szCs w:val="21"/>
        </w:rPr>
        <w:t xml:space="preserve">4.4  Three notes on the 4.1 bullets</w:t>
      </w:r>
    </w:p>
    <w:p>
      <w:pPr>
        <w:spacing w:after="90" w:before="90" w:line="280"/>
      </w:pPr>
      <w:r>
        <w:rPr>
          <w:rFonts w:ascii="Arial" w:cs="Arial" w:eastAsia="Arial" w:hAnsi="Arial"/>
          <w:b/>
          <w:bCs/>
          <w:color w:val="14181D"/>
          <w:sz w:val="20"/>
          <w:szCs w:val="20"/>
        </w:rPr>
        <w:t xml:space="preserve">The award bullet says recommended, not appointed, and that is the accurate position. </w:t>
      </w:r>
      <w:r>
        <w:rPr>
          <w:rFonts w:ascii="Arial" w:cs="Arial" w:eastAsia="Arial" w:hAnsi="Arial"/>
          <w:color w:val="14181D"/>
          <w:sz w:val="20"/>
          <w:szCs w:val="20"/>
        </w:rPr>
        <w:t xml:space="preserve">The director selected the contractor and recommended the award; the order was placed by the sourcing function, as it is in most organisations of that size. The bullet is written that way because an assessor may test it at the reference call and because a sourcing colleague asked to confirm it would describe it in exactly those terms.</w:t>
      </w:r>
    </w:p>
    <w:p>
      <w:pPr>
        <w:spacing w:after="90" w:before="90" w:line="280"/>
      </w:pPr>
      <w:r>
        <w:rPr>
          <w:rFonts w:ascii="Arial" w:cs="Arial" w:eastAsia="Arial" w:hAnsi="Arial"/>
          <w:b/>
          <w:bCs/>
          <w:color w:val="14181D"/>
          <w:sz w:val="20"/>
          <w:szCs w:val="20"/>
        </w:rPr>
        <w:t xml:space="preserve">It is also the better answer, not a concession. </w:t>
      </w:r>
      <w:r>
        <w:rPr>
          <w:rFonts w:ascii="Arial" w:cs="Arial" w:eastAsia="Arial" w:hAnsi="Arial"/>
          <w:color w:val="14181D"/>
          <w:sz w:val="20"/>
          <w:szCs w:val="20"/>
        </w:rPr>
        <w:t xml:space="preserve">A public buyer is reading for governance. Somebody who says they personally awarded every package in a large organisation is describing either an unusual delegation or a process with no separation between the person specifying the requirement and the person committing the money. Selection and recommendation held by the technical owner, with the order placed by a separate function, is the control a buyer wants to see — and the accountability for the outcome stayed with the director either way, which is what the rest of the bullets show.</w:t>
      </w:r>
    </w:p>
    <w:p>
      <w:pPr>
        <w:spacing w:after="90" w:before="90" w:line="280"/>
      </w:pPr>
      <w:r>
        <w:rPr>
          <w:rFonts w:ascii="Arial" w:cs="Arial" w:eastAsia="Arial" w:hAnsi="Arial"/>
          <w:b/>
          <w:bCs/>
          <w:color w:val="14181D"/>
          <w:sz w:val="20"/>
          <w:szCs w:val="20"/>
        </w:rPr>
        <w:t xml:space="preserve">The assessment bullet names the sourcing and civil engineering teams, deliberately. </w:t>
      </w:r>
      <w:r>
        <w:rPr>
          <w:rFonts w:ascii="Arial" w:cs="Arial" w:eastAsia="Arial" w:hAnsi="Arial"/>
          <w:color w:val="14181D"/>
          <w:sz w:val="20"/>
          <w:szCs w:val="20"/>
        </w:rPr>
        <w:t xml:space="preserve">Holding sole accountability for a scope and drawing on specialist colleagues to assess returns are not in tension: the first is the accountability, the second is how a competent person discharges it. An assessor reading that you evaluated multi-package quotations single-handed would not believe it. One who reads that you ran a cross-functional assessment and stayed accountable for the outcome will.</w:t>
      </w:r>
    </w:p>
    <w:p>
      <w:pPr>
        <w:pStyle w:val="ListParagraph"/>
        <w:numPr>
          <w:ilvl w:val="0"/>
          <w:numId w:val="2"/>
        </w:numPr>
        <w:spacing w:after="50" w:before="50" w:line="280"/>
      </w:pPr>
      <w:r>
        <w:rPr>
          <w:rFonts w:ascii="Arial" w:cs="Arial" w:eastAsia="Arial" w:hAnsi="Arial"/>
          <w:b/>
          <w:bCs/>
          <w:color w:val="14181D"/>
          <w:sz w:val="20"/>
          <w:szCs w:val="20"/>
        </w:rPr>
        <w:t xml:space="preserve">The strongest line in the eight is the one about qualifications and exclusions. </w:t>
      </w:r>
      <w:r>
        <w:rPr>
          <w:rFonts w:ascii="Arial" w:cs="Arial" w:eastAsia="Arial" w:hAnsi="Arial"/>
          <w:color w:val="14181D"/>
          <w:sz w:val="20"/>
          <w:szCs w:val="20"/>
        </w:rPr>
        <w:t xml:space="preserve">Anyone can compare two prices. Finding what a bidder has quietly written out of its own return is the skill that decides whether a site establishment budget holds, and it is precisely what ETABLIX sells. Leave it in and be ready to give an example.</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Each referee has been approached in advance and has agreed to respond. Client-side counterparts are offered where available: they observed the work from the other side of the table, they carry no conflict, and they are not a former employer's staff.</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2400"/>
        <w:gridCol w:w="2500"/>
      </w:tblGrid>
      <w:tr>
        <w:trPr>
          <w:tblHeader/>
        </w:trPr>
        <w:tc>
          <w:tcPr>
            <w:tcW w:type="dxa" w:w="1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Name and position</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Organisation and scheme</w:t>
            </w:r>
          </w:p>
        </w:tc>
        <w:tc>
          <w:tcPr>
            <w:tcW w:type="dxa" w:w="2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Contact, and date agreed</w:t>
            </w:r>
          </w:p>
        </w:tc>
      </w:tr>
      <w:tr>
        <w:tc>
          <w:tcPr>
            <w:tcW w:type="dxa" w:w="1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position]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 · scheme]</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[telephone · email · agreed on date]</w:t>
            </w:r>
          </w:p>
        </w:tc>
      </w:tr>
      <w:tr>
        <w:tc>
          <w:tcPr>
            <w:tcW w:type="dxa" w:w="1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position]</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 · scheme]</w:t>
            </w:r>
          </w:p>
        </w:tc>
        <w:tc>
          <w:tcPr>
            <w:tcW w:type="dxa" w:w="2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[telephone · email · agreed on date]</w:t>
            </w:r>
          </w:p>
        </w:tc>
      </w:tr>
      <w:tr>
        <w:tc>
          <w:tcPr>
            <w:tcW w:type="dxa" w:w="1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3</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position]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[organisation · scheme]</w:t>
            </w:r>
          </w:p>
        </w:tc>
        <w:tc>
          <w:tcPr>
            <w:tcW w:type="dxa" w:w="25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[telephone · email · agreed on date]</w:t>
            </w:r>
          </w:p>
        </w:tc>
      </w:tr>
    </w:tbl>
    <w:p>
      <w:pPr>
        <w:spacing w:after="90" w:before="90" w:line="280"/>
      </w:pPr>
      <w:r>
        <w:rPr>
          <w:rFonts w:ascii="Arial" w:cs="Arial" w:eastAsia="Arial" w:hAnsi="Arial"/>
          <w:b/>
          <w:bCs/>
          <w:color w:val="14181D"/>
          <w:sz w:val="20"/>
          <w:szCs w:val="20"/>
        </w:rPr>
        <w:t xml:space="preserve">What the referees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spacing w:after="90" w:before="90" w:line="280"/>
        <w:ind w:left="170"/>
      </w:pPr>
      <w:r>
        <w:rPr>
          <w:rFonts w:ascii="Arial" w:cs="Arial" w:eastAsia="Arial" w:hAnsi="Arial"/>
          <w:i/>
          <w:iCs/>
          <w:color w:val="5B6672"/>
          <w:sz w:val="19"/>
          <w:szCs w:val="19"/>
        </w:rPr>
        <w:t xml:space="preserve">Ask every referee before naming them. A referee telephoned cold gives a lukewarm answer, and a lukewarm reference is worse than a missing one. Record the date each agreed.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spacing w:after="90" w:before="90" w:line="280"/>
        <w:ind w:left="170"/>
      </w:pPr>
      <w:r>
        <w:rPr>
          <w:rFonts w:ascii="Arial" w:cs="Arial" w:eastAsia="Arial" w:hAnsi="Arial"/>
          <w:i/>
          <w:iCs/>
          <w:color w:val="5B6672"/>
          <w:sz w:val="19"/>
          <w:szCs w:val="19"/>
        </w:rPr>
        <w:t xml:space="preserve">Add anything else that is true of the specific categories applied for. Resist stopping the list early.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2026-09-30T10:13:13.915Z</dcterms:created>
  <dcterms:modified xsi:type="dcterms:W3CDTF">2026-09-30T10:13:13.915Z</dcterms:modified>
</cp:coreProperties>
</file>

<file path=docProps/custom.xml><?xml version="1.0" encoding="utf-8"?>
<Properties xmlns="http://schemas.openxmlformats.org/officeDocument/2006/custom-properties" xmlns:vt="http://schemas.openxmlformats.org/officeDocument/2006/docPropsVTypes"/>
</file>