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60"/>
      </w:pPr>
      <w:r>
        <w:rPr>
          <w:rFonts w:ascii="Arial" w:cs="Arial" w:eastAsia="Arial" w:hAnsi="Arial"/>
          <w:b/>
          <w:bCs/>
          <w:color w:val="14181D"/>
          <w:sz w:val="56"/>
          <w:szCs w:val="56"/>
        </w:rPr>
        <w:t xml:space="preserve">ETABLIX</w:t>
      </w:r>
    </w:p>
    <w:p>
      <w:pPr>
        <w:spacing w:after="60" w:before="0"/>
      </w:pPr>
      <w:r>
        <w:rPr>
          <w:rFonts w:ascii="Arial" w:cs="Arial" w:eastAsia="Arial" w:hAnsi="Arial"/>
          <w:b/>
          <w:bCs/>
          <w:color w:val="9C7A3C"/>
          <w:sz w:val="18"/>
          <w:szCs w:val="18"/>
        </w:rPr>
        <w:t xml:space="preserve">INTEGRATED SITE SERVICES</w:t>
      </w:r>
    </w:p>
    <w:p>
      <w:pPr>
        <w:pBdr>
          <w:bottom w:val="single" w:color="9C7A3C" w:sz="6" w:space="6"/>
        </w:pBdr>
        <w:spacing w:after="380" w:before="90" w:line="280"/>
      </w:pPr>
      <w:r>
        <w:rPr>
          <w:rFonts w:ascii="Arial" w:cs="Arial" w:eastAsia="Arial" w:hAnsi="Arial"/>
          <w:color w:val="5B6672"/>
          <w:sz w:val="18"/>
          <w:szCs w:val="18"/>
        </w:rPr>
        <w:t xml:space="preserve">A trading name of JNN GLOBAL LTD · Company number 15405437</w:t>
      </w:r>
    </w:p>
    <w:p>
      <w:pPr>
        <w:spacing w:after="0" w:before="260"/>
      </w:pPr>
      <w:r>
        <w:rPr>
          <w:rFonts w:ascii="Arial" w:cs="Arial" w:eastAsia="Arial" w:hAnsi="Arial"/>
          <w:b/>
          <w:bCs/>
          <w:color w:val="9C7A3C"/>
          <w:sz w:val="30"/>
          <w:szCs w:val="30"/>
        </w:rPr>
        <w:t xml:space="preserve">WORKING BRIEF</w:t>
      </w:r>
    </w:p>
    <w:p>
      <w:pPr>
        <w:spacing w:after="0" w:before="0"/>
      </w:pPr>
      <w:r>
        <w:rPr>
          <w:rFonts w:ascii="Arial" w:cs="Arial" w:eastAsia="Arial" w:hAnsi="Arial"/>
          <w:b/>
          <w:bCs/>
          <w:color w:val="14181D"/>
          <w:sz w:val="44"/>
          <w:szCs w:val="44"/>
        </w:rPr>
        <w:t xml:space="preserve">REPLY — EMECON ENGENHARIA DE ESTRUTURAS (BRAZIL)</w:t>
      </w:r>
    </w:p>
    <w:p>
      <w:pPr>
        <w:spacing w:after="420" w:before="60"/>
      </w:pPr>
      <w:r>
        <w:rPr>
          <w:rFonts w:ascii="Arial" w:cs="Arial" w:eastAsia="Arial" w:hAnsi="Arial"/>
          <w:color w:val="5B6672"/>
          <w:sz w:val="26"/>
          <w:szCs w:val="26"/>
        </w:rPr>
        <w:t xml:space="preserve">internal working document — not for issue to a client or a buyer</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6000"/>
      </w:tblGrid>
      <w:tr>
        <w:trPr>
          <w:tblHeader/>
        </w:trPr>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6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Document</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Reply — EMECON Engenharia de Estruturas (Brazil)</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Source</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business/marketing/emecon-brazil-reply.md</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Rendered</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13 October 2026</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Status</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Rendered from the markdown source. Edit the source and re-run; do not edit this file.</w:t>
            </w:r>
          </w:p>
        </w:tc>
      </w:tr>
    </w:tbl>
    <w:p>
      <w:pPr>
        <w:spacing w:after="300" w:before="90" w:line="280"/>
      </w:pPr>
      <w:r>
        <w:rPr>
          <w:rFonts w:ascii="Arial" w:cs="Arial" w:eastAsia="Arial" w:hAnsi="Arial"/>
          <w:color w:val="14181D"/>
          <w:sz w:val="20"/>
          <w:szCs w:val="20"/>
        </w:rPr>
        <w:t xml:space="preserve"/>
      </w:r>
    </w:p>
    <w:p>
      <w:r>
        <w:br w:type="page"/>
      </w:r>
    </w:p>
    <w:p>
      <w:pPr>
        <w:spacing w:after="90" w:before="90" w:line="280"/>
      </w:pPr>
      <w:r>
        <w:rPr>
          <w:rFonts w:ascii="Arial" w:cs="Arial" w:eastAsia="Arial" w:hAnsi="Arial"/>
          <w:b/>
          <w:bCs/>
          <w:color w:val="14181D"/>
          <w:sz w:val="20"/>
          <w:szCs w:val="20"/>
        </w:rPr>
        <w:t xml:space="preserve">From:</w:t>
      </w:r>
      <w:r>
        <w:rPr>
          <w:rFonts w:ascii="Arial" w:cs="Arial" w:eastAsia="Arial" w:hAnsi="Arial"/>
          <w:color w:val="14181D"/>
          <w:sz w:val="20"/>
          <w:szCs w:val="20"/>
        </w:rPr>
        <w:t xml:space="preserve"> Felipe Viruel de Medeiros, Director, EMECON Engenharia de Estruturas, Curitiba–PR, Brazil (currently in Toronto) </w:t>
      </w:r>
      <w:r>
        <w:rPr>
          <w:rFonts w:ascii="Arial" w:cs="Arial" w:eastAsia="Arial" w:hAnsi="Arial"/>
          <w:b/>
          <w:bCs/>
          <w:color w:val="14181D"/>
          <w:sz w:val="20"/>
          <w:szCs w:val="20"/>
        </w:rPr>
        <w:t xml:space="preserve">Received:</w:t>
      </w:r>
      <w:r>
        <w:rPr>
          <w:rFonts w:ascii="Arial" w:cs="Arial" w:eastAsia="Arial" w:hAnsi="Arial"/>
          <w:color w:val="14181D"/>
          <w:sz w:val="20"/>
          <w:szCs w:val="20"/>
        </w:rPr>
        <w:t xml:space="preserve"> inbound enquiry via the supply-chain page, with a 16-page English portfolio attached </w:t>
      </w:r>
      <w:r>
        <w:rPr>
          <w:rFonts w:ascii="Arial" w:cs="Arial" w:eastAsia="Arial" w:hAnsi="Arial"/>
          <w:b/>
          <w:bCs/>
          <w:color w:val="14181D"/>
          <w:sz w:val="20"/>
          <w:szCs w:val="20"/>
        </w:rPr>
        <w:t xml:space="preserve">Asked:</w:t>
      </w:r>
      <w:r>
        <w:rPr>
          <w:rFonts w:ascii="Arial" w:cs="Arial" w:eastAsia="Arial" w:hAnsi="Arial"/>
          <w:color w:val="14181D"/>
          <w:sz w:val="20"/>
          <w:szCs w:val="20"/>
        </w:rPr>
        <w:t xml:space="preserve"> does ETABLIX consider Brazil-based teams for remote engineering collaboration on defined design packages, and who is the right person to speak to </w:t>
      </w:r>
      <w:r>
        <w:rPr>
          <w:rFonts w:ascii="Arial" w:cs="Arial" w:eastAsia="Arial" w:hAnsi="Arial"/>
          <w:b/>
          <w:bCs/>
          <w:color w:val="14181D"/>
          <w:sz w:val="20"/>
          <w:szCs w:val="20"/>
        </w:rPr>
        <w:t xml:space="preserve">Date:</w:t>
      </w:r>
      <w:r>
        <w:rPr>
          <w:rFonts w:ascii="Arial" w:cs="Arial" w:eastAsia="Arial" w:hAnsi="Arial"/>
          <w:color w:val="14181D"/>
          <w:sz w:val="20"/>
          <w:szCs w:val="20"/>
        </w:rPr>
        <w:t xml:space="preserve"> 13 October 2026</w:t>
      </w:r>
    </w:p>
    <w:p>
      <w:pPr>
        <w:pStyle w:val="Heading1"/>
        <w:keepNext/>
        <w:pBdr>
          <w:bottom w:val="single" w:color="9C7A3C" w:sz="8" w:space="6"/>
        </w:pBdr>
        <w:spacing w:after="150" w:before="380"/>
      </w:pPr>
      <w:r>
        <w:rPr>
          <w:rFonts w:ascii="Arial" w:cs="Arial" w:eastAsia="Arial" w:hAnsi="Arial"/>
          <w:b/>
          <w:bCs/>
          <w:color w:val="14181D"/>
          <w:sz w:val="26"/>
          <w:szCs w:val="26"/>
        </w:rPr>
        <w:t xml:space="preserve">What they actually are</w:t>
      </w:r>
    </w:p>
    <w:p>
      <w:pPr>
        <w:spacing w:after="90" w:before="90" w:line="280"/>
      </w:pPr>
      <w:r>
        <w:rPr>
          <w:rFonts w:ascii="Arial" w:cs="Arial" w:eastAsia="Arial" w:hAnsi="Arial"/>
          <w:color w:val="14181D"/>
          <w:sz w:val="20"/>
          <w:szCs w:val="20"/>
        </w:rPr>
        <w:t xml:space="preserve">Founded 2015. Structural and geotechnical design. Water and wastewater (reservoirs, treatment tanks, pumping stations, a diaphragm-walled water intake at over 11 m excavation), port infrastructure (a concrete quay, an 18.64 m clear span steel walkway, a mobile construction platform supporting staged pile driving and drilling), road infrastructure (a 15 m steel-concrete composite bridge), and an industrial steel building of 5,393 m² at 16 m clear height with overhead cranes and runway beams. Allplan, SAP2000, Tekla Structures. Two directors, both civil engineers with postgraduate structural qualifications — Giovana on steel, Felipe on concrete, steel, foundations and strengthening.</w:t>
      </w:r>
    </w:p>
    <w:p>
      <w:pPr>
        <w:spacing w:after="90" w:before="90" w:line="280"/>
      </w:pPr>
      <w:r>
        <w:rPr>
          <w:rFonts w:ascii="Arial" w:cs="Arial" w:eastAsia="Arial" w:hAnsi="Arial"/>
          <w:b/>
          <w:bCs/>
          <w:color w:val="14181D"/>
          <w:sz w:val="20"/>
          <w:szCs w:val="20"/>
        </w:rPr>
        <w:t xml:space="preserve">The part that matters.</w:t>
      </w:r>
      <w:r>
        <w:rPr>
          <w:rFonts w:ascii="Arial" w:cs="Arial" w:eastAsia="Arial" w:hAnsi="Arial"/>
          <w:color w:val="14181D"/>
          <w:sz w:val="20"/>
          <w:szCs w:val="20"/>
        </w:rPr>
        <w:t xml:space="preserve"> Page 14 of their portfolio states their own operating model: design support inside the client's project team, with the locally authorised engineering team retaining responsibility for local review, approval and sealing. They have not asked to be the designer of record. That is the correct posture and it is the only reason this is a real conversation rather than a polite refusal.</w:t>
      </w:r>
    </w:p>
    <w:p>
      <w:pPr>
        <w:pStyle w:val="Heading1"/>
        <w:keepNext/>
        <w:pBdr>
          <w:bottom w:val="single" w:color="9C7A3C" w:sz="8" w:space="6"/>
        </w:pBdr>
        <w:spacing w:after="150" w:before="380"/>
      </w:pPr>
      <w:r>
        <w:rPr>
          <w:rFonts w:ascii="Arial" w:cs="Arial" w:eastAsia="Arial" w:hAnsi="Arial"/>
          <w:b/>
          <w:bCs/>
          <w:color w:val="14181D"/>
          <w:sz w:val="26"/>
          <w:szCs w:val="26"/>
        </w:rPr>
        <w:t xml:space="preserve">The reply</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Subject: Re: Remote engineering collaboration — EMECON and ETABLIX</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Dear Felipe,</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Thank you for the introduction, and for the portfolio, which I have read properly rather than filed.</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The direct answer to your question first. Yes, in principle. ETABLIX buys design and temporary-works engineering as defined packages, and remote delivery is not in itself an obstacle. But I will not let a conversation run on an implication: there is nothing out for enquiry at the moment. I would rather you had that now than after three exchanges.</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The right person to speak to is me. ETABLIX is a small company and there is no separate supply-chain function to route you through.</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On the fit, and its honest limit. You have already set this out correctly on page fourteen of your own portfolio. On UK work the designer of record has to be a UK-competent party who carries the design check and the designer duties under the Construction (Design and Management) Regulations 2015, and who signs. That means Eurocodes with the UK National Annexes, temporary works to BS 5975 with a stated design check category, and professional indemnity cover that responds in this jurisdiction. None of that is an obstacle to the arrangement you are proposing — it is the arrangement you are proposing. EMECON providing analysis, modelling and detailing behind a UK designer of record is workable. EMECON as the designer of record on a UK site is not.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Where the overlap is strongest is the temporary works, not the permanent structures. Your mobile construction platform for staged pile driving, and the diaphragm-walled excavation retention on the water intake, are temporary works design. That sits much closer to what ETABLIX actually buys than a storage reservoir does. If you have more of that kind of work, it is the part of the portfolio I would want to see.</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Now your real question — markets. We are not in Brazil and you are not in the United Kingdom, and neither of us should pretend the gap is smaller than it is. Your Toronto number is interesting, but I would not build on it either: we are not in Canada. So rather than a partnership neither side can presently feed, I would suggest something deliberately light: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1. Register on our supply-chain register — https://etablix.com/subcontractors#register. Nothing is live today; the register is how the list gets built for when something is. 2. Each side holds a current one-page capability note from the other, short enough to attach to a bid. Where a UK opportunity needs structural or geotechnical design support and remote delivery is acceptable to the client, I come to you first and name you only with your written consent for that bid. Where a Brazilian or Canadian opportunity needs site establishment and temporary works organised and bought as defined packages, you do the same. 3. No exclusivity and no volume commitment on either side, and no introduction fee between us unless we agree one in writing for a specific case. 4. No non-disclosure agreement until there is something specific to protect. A mutual one when a real package appears, not as an opening formality. 5. A check-in once a year, on whether either of us has moved into the other's market. That is the whole mechanism, and it costs neither of us anything to keep.</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So that you can recognise a referral when you see one: ETABLIX works on site establishment for UK infrastructure and construction — welfare and accommodation, temporary power, security, waste, catering, compound groundworks, reinstatement — scoped and bought as defined packages rather than taken on as labour. The design and temporary-works engineering behind that is bought in, not done in-house. Which is precisely why your email was worth answering properly.</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Keep my details. I will keep yours.</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Kind regards,</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Justin Ngolu Nseya MCIOB Managing Director, ETABLIX Limited</w:t>
      </w:r>
    </w:p>
    <w:p>
      <w:pPr>
        <w:pStyle w:val="Heading1"/>
        <w:keepNext/>
        <w:pBdr>
          <w:bottom w:val="single" w:color="9C7A3C" w:sz="8" w:space="6"/>
        </w:pBdr>
        <w:spacing w:after="150" w:before="380"/>
      </w:pPr>
      <w:r>
        <w:rPr>
          <w:rFonts w:ascii="Arial" w:cs="Arial" w:eastAsia="Arial" w:hAnsi="Arial"/>
          <w:b/>
          <w:bCs/>
          <w:color w:val="14181D"/>
          <w:sz w:val="26"/>
          <w:szCs w:val="26"/>
        </w:rPr>
        <w:t xml:space="preserve">Why it is written this way</w:t>
      </w:r>
    </w:p>
    <w:p>
      <w:pPr>
        <w:spacing w:after="90" w:before="90" w:line="280"/>
      </w:pPr>
      <w:r>
        <w:rPr>
          <w:rFonts w:ascii="Arial" w:cs="Arial" w:eastAsia="Arial" w:hAnsi="Arial"/>
          <w:b/>
          <w:bCs/>
          <w:color w:val="14181D"/>
          <w:sz w:val="20"/>
          <w:szCs w:val="20"/>
        </w:rPr>
        <w:t xml:space="preserve">The nothing-live sentence goes near the top, not the bottom.</w:t>
      </w:r>
      <w:r>
        <w:rPr>
          <w:rFonts w:ascii="Arial" w:cs="Arial" w:eastAsia="Arial" w:hAnsi="Arial"/>
          <w:color w:val="14181D"/>
          <w:sz w:val="20"/>
          <w:szCs w:val="20"/>
        </w:rPr>
        <w:t xml:space="preserve"> He has asked a direct question and he is a director, not a salesperson. Burying the honest answer under the pleasant part of the reply is how a register loses its credibility before anybody has registered on it.</w:t>
      </w:r>
    </w:p>
    <w:p>
      <w:pPr>
        <w:spacing w:after="90" w:before="90" w:line="280"/>
      </w:pPr>
      <w:r>
        <w:rPr>
          <w:rFonts w:ascii="Arial" w:cs="Arial" w:eastAsia="Arial" w:hAnsi="Arial"/>
          <w:b/>
          <w:bCs/>
          <w:color w:val="14181D"/>
          <w:sz w:val="20"/>
          <w:szCs w:val="20"/>
        </w:rPr>
        <w:t xml:space="preserve">Answering his page fourteen back to him does the qualifying work for free.</w:t>
      </w:r>
      <w:r>
        <w:rPr>
          <w:rFonts w:ascii="Arial" w:cs="Arial" w:eastAsia="Arial" w:hAnsi="Arial"/>
          <w:color w:val="14181D"/>
          <w:sz w:val="20"/>
          <w:szCs w:val="20"/>
        </w:rPr>
        <w:t xml:space="preserve"> He has already accepted that the locally authorised team signs. Quoting his own model back, with the UK specifics attached — UK National Annexes, BS 5975, a design check category, PI responding in this jurisdiction — tells him exactly where the line is without a single word of negotiation. It also makes clear that his portfolio was read, which almost no reply to a cold introduction manages.</w:t>
      </w:r>
    </w:p>
    <w:p>
      <w:pPr>
        <w:spacing w:after="90" w:before="90" w:line="280"/>
      </w:pPr>
      <w:r>
        <w:rPr>
          <w:rFonts w:ascii="Arial" w:cs="Arial" w:eastAsia="Arial" w:hAnsi="Arial"/>
          <w:b/>
          <w:bCs/>
          <w:color w:val="14181D"/>
          <w:sz w:val="20"/>
          <w:szCs w:val="20"/>
        </w:rPr>
        <w:t xml:space="preserve">Naming the temporary works is the one piece of real commercial insight in the letter.</w:t>
      </w:r>
      <w:r>
        <w:rPr>
          <w:rFonts w:ascii="Arial" w:cs="Arial" w:eastAsia="Arial" w:hAnsi="Arial"/>
          <w:color w:val="14181D"/>
          <w:sz w:val="20"/>
          <w:szCs w:val="20"/>
        </w:rPr>
        <w:t xml:space="preserve"> Their own portfolio leads on reservoirs and treatment tanks. The staged pile-driving platform and the diaphragm-walled excavation are buried on pages eight and eleven, and they are the items closest to what ETABLIX buys. A reply that re-sorts somebody's portfolio for them is remembered.</w:t>
      </w:r>
    </w:p>
    <w:p>
      <w:pPr>
        <w:spacing w:after="90" w:before="90" w:line="280"/>
      </w:pPr>
      <w:r>
        <w:rPr>
          <w:rFonts w:ascii="Arial" w:cs="Arial" w:eastAsia="Arial" w:hAnsi="Arial"/>
          <w:b/>
          <w:bCs/>
          <w:color w:val="14181D"/>
          <w:sz w:val="20"/>
          <w:szCs w:val="20"/>
        </w:rPr>
        <w:t xml:space="preserve">The five numbered points are the answer to the actual question.</w:t>
      </w:r>
      <w:r>
        <w:rPr>
          <w:rFonts w:ascii="Arial" w:cs="Arial" w:eastAsia="Arial" w:hAnsi="Arial"/>
          <w:color w:val="14181D"/>
          <w:sz w:val="20"/>
          <w:szCs w:val="20"/>
        </w:rPr>
        <w:t xml:space="preserve"> The question was how two companies in non-overlapping markets use each other. The answer is: a register entry, a capability note each way, a named-with-consent referral in both directions, nothing exclusive, no money, no NDA yet, and one call a year. That is small enough to actually survive, which is the only property that matters in a standing arrangement nobody is being paid to maintain.</w:t>
      </w:r>
    </w:p>
    <w:p>
      <w:pPr>
        <w:spacing w:after="90" w:before="90" w:line="280"/>
      </w:pPr>
      <w:r>
        <w:rPr>
          <w:rFonts w:ascii="Arial" w:cs="Arial" w:eastAsia="Arial" w:hAnsi="Arial"/>
          <w:b/>
          <w:bCs/>
          <w:color w:val="14181D"/>
          <w:sz w:val="20"/>
          <w:szCs w:val="20"/>
        </w:rPr>
        <w:t xml:space="preserve">What the reply deliberately withholds.</w:t>
      </w:r>
      <w:r>
        <w:rPr>
          <w:rFonts w:ascii="Arial" w:cs="Arial" w:eastAsia="Arial" w:hAnsi="Arial"/>
          <w:color w:val="14181D"/>
          <w:sz w:val="20"/>
          <w:szCs w:val="20"/>
        </w:rPr>
        <w:t xml:space="preserve"> No work is offered and no pipeline is implied. No client, scheme or former employer is named. No accreditation is claimed — ETABLIX holds none to claim. No price. Nothing implies a Principal Designer or Principal Contractor appointment under CDM 2015, and the designer duties are named as sitting on the designer of record precisely to keep that clear. And no NDA is signed as an opening courtesy.</w:t>
      </w:r>
    </w:p>
    <w:p>
      <w:pPr>
        <w:pStyle w:val="Heading1"/>
        <w:keepNext/>
        <w:pBdr>
          <w:bottom w:val="single" w:color="9C7A3C" w:sz="8" w:space="6"/>
        </w:pBdr>
        <w:spacing w:after="150" w:before="380"/>
      </w:pPr>
      <w:r>
        <w:rPr>
          <w:rFonts w:ascii="Arial" w:cs="Arial" w:eastAsia="Arial" w:hAnsi="Arial"/>
          <w:b/>
          <w:bCs/>
          <w:color w:val="14181D"/>
          <w:sz w:val="26"/>
          <w:szCs w:val="26"/>
        </w:rPr>
        <w:t xml:space="preserve">Before anything becomes real</w:t>
      </w:r>
    </w:p>
    <w:p>
      <w:pPr>
        <w:spacing w:after="90" w:before="90" w:line="280"/>
      </w:pPr>
      <w:r>
        <w:rPr>
          <w:rFonts w:ascii="Arial" w:cs="Arial" w:eastAsia="Arial" w:hAnsi="Arial"/>
          <w:color w:val="14181D"/>
          <w:sz w:val="20"/>
          <w:szCs w:val="20"/>
        </w:rPr>
        <w:t xml:space="preserve">If a package ever does arise for them, three things get checked before the enquiry goes out, not after: that their professional indemnity cover responds in England and Wales, that a UK designer of record is appointed and has accepted the design check category in writing, and that the split of responsibility between their analysis and that designer's approval is recorded in the subcontract rather than in an email thread. The arrangement is only as good as those three lines.</w:t>
      </w:r>
    </w:p>
    <w:sectPr>
      <w:headerReference w:type="default" r:id="rId6"/>
      <w:footerReference w:type="default" r:id="rId7"/>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4"/>
        <w:szCs w:val="14"/>
      </w:rPr>
      <w:t xml:space="preserve">JNN GLOBAL LTD · 15405437          </w:t>
    </w:r>
    <w:r>
      <w:rPr>
        <w:rFonts w:ascii="Arial" w:cs="Arial" w:eastAsia="Arial" w:hAnsi="Arial"/>
        <w:color w:val="5B6672"/>
        <w:sz w:val="14"/>
        <w:szCs w:val="14"/>
      </w:rPr>
      <w:fldChar w:fldCharType="begin"/>
      <w:instrText xml:space="preserve">PAGE</w:instrText>
      <w:fldChar w:fldCharType="separate"/>
      <w:fldChar w:fldCharType="end"/>
    </w:r>
    <w:r>
      <w:rPr>
        <w:rFonts w:ascii="Arial" w:cs="Arial" w:eastAsia="Arial" w:hAnsi="Arial"/>
        <w:color w:val="5B6672"/>
        <w:sz w:val="14"/>
        <w:szCs w:val="14"/>
      </w:rPr>
      <w:t xml:space="preserve"> of </w:t>
    </w:r>
    <w:r>
      <w:rPr>
        <w:rFonts w:ascii="Arial" w:cs="Arial" w:eastAsia="Arial" w:hAnsi="Arial"/>
        <w:color w:val="5B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E6D2" w:sz="4" w:space="4"/>
      </w:pBdr>
      <w:jc w:val="right"/>
    </w:pPr>
    <w:r>
      <w:rPr>
        <w:rFonts w:ascii="Arial" w:cs="Arial" w:eastAsia="Arial" w:hAnsi="Arial"/>
        <w:color w:val="5B6672"/>
        <w:sz w:val="14"/>
        <w:szCs w:val="14"/>
      </w:rPr>
      <w:t xml:space="preserve">ETABLIX · Reply — EMECON Engenharia de Estruturas (Brazil) · Rev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rPr>
        <w:rFonts w:ascii="Arial" w:cs="Arial" w:eastAsia="Arial" w:hAnsi="Arial"/>
        <w:b/>
        <w:bCs/>
        <w:color w:val="9C7A3C"/>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REPLY — EMECON ENGENHARIA DE ESTRUTURAS (BRAZIL)</dc:title>
  <dc:creator>ETABLIX — Integrated Site Services</dc:creator>
  <dc:description>ETABLIX REPLY — EMECON ENGENHARIA DE ESTRUTURAS (BRAZIL)</dc:description>
  <cp:lastModifiedBy>Un-named</cp:lastModifiedBy>
  <cp:revision>1</cp:revision>
  <dcterms:created xsi:type="dcterms:W3CDTF">2026-10-13T08:11:29.240Z</dcterms:created>
  <dcterms:modified xsi:type="dcterms:W3CDTF">2026-10-13T08:11:29.240Z</dcterms:modified>
</cp:coreProperties>
</file>

<file path=docProps/custom.xml><?xml version="1.0" encoding="utf-8"?>
<Properties xmlns="http://schemas.openxmlformats.org/officeDocument/2006/custom-properties" xmlns:vt="http://schemas.openxmlformats.org/officeDocument/2006/docPropsVTypes"/>
</file>