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LINKEDIN COMMENT — AMENTUM, SIZEWELL C MARINE AND TUNNELLING DESIGN</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comment — Amentum, Sizewell C marine and tunnelling design</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business/marketing/linkedin-amentum-sizewell-marine-tunnelling.md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Post, 14 October 2026.</w:t>
      </w:r>
      <w:r>
        <w:rPr>
          <w:rFonts w:ascii="Arial" w:cs="Arial" w:eastAsia="Arial" w:hAnsi="Arial"/>
          <w:color w:val="14181D"/>
          <w:sz w:val="20"/>
          <w:szCs w:val="20"/>
        </w:rPr>
        <w:t xml:space="preserve"> Amentum UK and International selected by the Civil Works Alliance to lead design of marine and tunnelling works at Sizewell C. Estimated value £22.3 million to Amentum: a three-year design project followed by seven years of design support. Subcontractors Jacobs on major tunnelling design support and ADDA on 3D reinforced concrete detailing. Scope covers three 3.5 km offshore tunnels, marine shafts and tunnel-to-shaft connections, marine heads, onshore galleries, connections to the main civil works, and a fish return system. CWA comprises Balfour Beatty, Bouygues Travaux Publics, Laing O'Rourke and Sizewell C Ltd. Loren Jones is quoted on replicating and enhancing lessons learned from Hinkley Point C, where Amentum led equivalent scope.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comment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three years of design followed by seven years of design support is the part I would point at.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Lessons learned usually evaporate because the people who learned them have demobilised long before anybody needs them again. Holding the designer on the hook for the seven years after the drawings is how continuity stops being an intention and becomes a contractual fact.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take the same view of site establishment at ETABLIX — one accountable interface from mobilisation through to reinstatement, not a handover at week one. Congratulations to the team.</w:t>
      </w:r>
    </w:p>
    <w:p>
      <w:pPr>
        <w:spacing w:after="90" w:before="90" w:line="280"/>
      </w:pPr>
      <w:r>
        <w:rPr>
          <w:rFonts w:ascii="Arial" w:cs="Arial" w:eastAsia="Arial" w:hAnsi="Arial"/>
          <w:i/>
          <w:iCs/>
          <w:color w:val="14181D"/>
          <w:sz w:val="20"/>
          <w:szCs w:val="20"/>
        </w:rPr>
        <w:t xml:space="preserve">88 words, three paragraphs, one idea.</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this one</w:t>
      </w:r>
    </w:p>
    <w:p>
      <w:pPr>
        <w:spacing w:after="90" w:before="90" w:line="280"/>
      </w:pPr>
      <w:r>
        <w:rPr>
          <w:rFonts w:ascii="Arial" w:cs="Arial" w:eastAsia="Arial" w:hAnsi="Arial"/>
          <w:b/>
          <w:bCs/>
          <w:color w:val="14181D"/>
          <w:sz w:val="20"/>
          <w:szCs w:val="20"/>
        </w:rPr>
        <w:t xml:space="preserve">Everybody else will comment on the tunnels or the cooling water.</w:t>
      </w:r>
      <w:r>
        <w:rPr>
          <w:rFonts w:ascii="Arial" w:cs="Arial" w:eastAsia="Arial" w:hAnsi="Arial"/>
          <w:color w:val="14181D"/>
          <w:sz w:val="20"/>
          <w:szCs w:val="20"/>
        </w:rPr>
        <w:t xml:space="preserve"> Three 3.5 km offshore bores and 4,200 Olympic pools a day are the arresting numbers, and they are also the numbers with nothing of mine to add. The structural fact in that announcement is the contract shape: three years of design, then seven years of support. Ten years of the same designer.</w:t>
      </w:r>
    </w:p>
    <w:p>
      <w:pPr>
        <w:spacing w:after="90" w:before="90" w:line="280"/>
      </w:pPr>
      <w:r>
        <w:rPr>
          <w:rFonts w:ascii="Arial" w:cs="Arial" w:eastAsia="Arial" w:hAnsi="Arial"/>
          <w:b/>
          <w:bCs/>
          <w:color w:val="14181D"/>
          <w:sz w:val="20"/>
          <w:szCs w:val="20"/>
        </w:rPr>
        <w:t xml:space="preserve">That shape is the strongest version of ETABLIX's own argument, made by somebody else.</w:t>
      </w:r>
      <w:r>
        <w:rPr>
          <w:rFonts w:ascii="Arial" w:cs="Arial" w:eastAsia="Arial" w:hAnsi="Arial"/>
          <w:color w:val="14181D"/>
          <w:sz w:val="20"/>
          <w:szCs w:val="20"/>
        </w:rPr>
        <w:t xml:space="preserve"> Continuity fails in this industry for a mechanical reason rather than a cultural one — the people who learned the lesson have gone before the lesson is needed. Amentum's contract answers it by keeping the designer contractually present for the seven years after the drawings. Site establishment has exactly the same failure and almost never the same answer: it is set up by whoever is free in the fortnight before mobilisation and then handed on, so nobody who made the decisions is there when the consequences arrive.</w:t>
      </w:r>
    </w:p>
    <w:p>
      <w:pPr>
        <w:spacing w:after="90" w:before="90" w:line="280"/>
      </w:pPr>
      <w:r>
        <w:rPr>
          <w:rFonts w:ascii="Arial" w:cs="Arial" w:eastAsia="Arial" w:hAnsi="Arial"/>
          <w:b/>
          <w:bCs/>
          <w:color w:val="14181D"/>
          <w:sz w:val="20"/>
          <w:szCs w:val="20"/>
        </w:rPr>
        <w:t xml:space="preserve">It praises a decision rather than diagnosing a fault.</w:t>
      </w:r>
      <w:r>
        <w:rPr>
          <w:rFonts w:ascii="Arial" w:cs="Arial" w:eastAsia="Arial" w:hAnsi="Arial"/>
          <w:color w:val="14181D"/>
          <w:sz w:val="20"/>
          <w:szCs w:val="20"/>
        </w:rPr>
        <w:t xml:space="preserve"> The observation is about how a contract was written, and it is admiring. Nothing suggests any party does this badly, and the general remark about demobilisation is about timing, which is structural and true of everyone.</w:t>
      </w:r>
    </w:p>
    <w:p>
      <w:pPr>
        <w:spacing w:after="90" w:before="90" w:line="280"/>
      </w:pPr>
      <w:r>
        <w:rPr>
          <w:rFonts w:ascii="Arial" w:cs="Arial" w:eastAsia="Arial" w:hAnsi="Arial"/>
          <w:b/>
          <w:bCs/>
          <w:color w:val="14181D"/>
          <w:sz w:val="20"/>
          <w:szCs w:val="20"/>
        </w:rPr>
        <w:t xml:space="preserve">What it withholds.</w:t>
      </w:r>
      <w:r>
        <w:rPr>
          <w:rFonts w:ascii="Arial" w:cs="Arial" w:eastAsia="Arial" w:hAnsi="Arial"/>
          <w:color w:val="14181D"/>
          <w:sz w:val="20"/>
          <w:szCs w:val="20"/>
        </w:rPr>
        <w:t xml:space="preserve"> No price — the £22.3 million is theirs, quoted as published, and nothing of ETABLIX's is mentioned. No invented statistic. No former employer and no scheme of mine named. No accreditation. Nothing implying a CDM 2015 duty holder appointment. No exclamation mark, and no question with an obvious answer.</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LinkedIn comment — Amentum, Sizewell C marine and tunnelling design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COMMENT — AMENTUM, SIZEWELL C MARINE AND TUNNELLING DESIGN</dc:title>
  <dc:creator>ETABLIX — Integrated Site Services</dc:creator>
  <dc:description>ETABLIX LINKEDIN COMMENT — AMENTUM, SIZEWELL C MARINE AND TUNNELLING DESIGN</dc:description>
  <cp:lastModifiedBy>Un-named</cp:lastModifiedBy>
  <cp:revision>1</cp:revision>
  <dcterms:created xsi:type="dcterms:W3CDTF">2026-10-14T13:35:34.819Z</dcterms:created>
  <dcterms:modified xsi:type="dcterms:W3CDTF">2026-10-14T13:35:34.820Z</dcterms:modified>
</cp:coreProperties>
</file>

<file path=docProps/custom.xml><?xml version="1.0" encoding="utf-8"?>
<Properties xmlns="http://schemas.openxmlformats.org/officeDocument/2006/custom-properties" xmlns:vt="http://schemas.openxmlformats.org/officeDocument/2006/docPropsVTypes"/>
</file>