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ATKINSRÉALIS: THE NOTICE, THE REPLY, AND THE RULE THAT FOLLOWS</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AtkinsRéalis: the notice, the reply, and the rule that follows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business/marketing/atkinsrealis-psl-notice.md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 September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AtkinsRéalis procurement has issued a supplier-code notice. It is worth reading closely before deciding what to do, because </w:t>
      </w:r>
      <w:r>
        <w:rPr>
          <w:rFonts w:ascii="Arial" w:cs="Arial" w:eastAsia="Arial" w:hAnsi="Arial"/>
          <w:b/>
          <w:bCs/>
          <w:color w:val="14181D"/>
          <w:sz w:val="20"/>
          <w:szCs w:val="20"/>
        </w:rPr>
        <w:t xml:space="preserve">what it says and what it means are different things</w:t>
      </w:r>
      <w:r>
        <w:rPr>
          <w:rFonts w:ascii="Arial" w:cs="Arial" w:eastAsia="Arial" w:hAnsi="Arial"/>
          <w:color w:val="14181D"/>
          <w:sz w:val="20"/>
          <w:szCs w:val="20"/>
        </w:rPr>
        <w:t xml:space="preserv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 notice actually does</w:t>
      </w:r>
    </w:p>
    <w:p>
      <w:pPr>
        <w:spacing w:after="90" w:before="90" w:line="280"/>
      </w:pPr>
      <w:r>
        <w:rPr>
          <w:rFonts w:ascii="Arial" w:cs="Arial" w:eastAsia="Arial" w:hAnsi="Arial"/>
          <w:color w:val="14181D"/>
          <w:sz w:val="20"/>
          <w:szCs w:val="20"/>
        </w:rPr>
        <w:t xml:space="preserve">It refuses us as a </w:t>
      </w:r>
      <w:r>
        <w:rPr>
          <w:rFonts w:ascii="Arial" w:cs="Arial" w:eastAsia="Arial" w:hAnsi="Arial"/>
          <w:b/>
          <w:bCs/>
          <w:color w:val="14181D"/>
          <w:sz w:val="20"/>
          <w:szCs w:val="20"/>
        </w:rPr>
        <w:t xml:space="preserve">recruitment agency</w:t>
      </w:r>
      <w:r>
        <w:rPr>
          <w:rFonts w:ascii="Arial" w:cs="Arial" w:eastAsia="Arial" w:hAnsi="Arial"/>
          <w:color w:val="14181D"/>
          <w:sz w:val="20"/>
          <w:szCs w:val="20"/>
        </w:rPr>
        <w:t xml:space="preserve">. Every term in it is a recruitment term: agencies, Preferred Suppliers List, speculative candidate information, CVs, hiring managers, the approved recruitment channel. It tells us that a speculative CV will be treated as a gift — a standard device for defeating an agency's later claim to an introduction fee — and it extends the notice to the entire organisation, subsidiaries and parent companies, asking that it be shared internally so that nobody makes contact again.</w:t>
      </w:r>
    </w:p>
    <w:p>
      <w:pPr>
        <w:spacing w:after="90" w:before="90" w:line="280"/>
      </w:pPr>
      <w:r>
        <w:rPr>
          <w:rFonts w:ascii="Arial" w:cs="Arial" w:eastAsia="Arial" w:hAnsi="Arial"/>
          <w:b/>
          <w:bCs/>
          <w:color w:val="14181D"/>
          <w:sz w:val="20"/>
          <w:szCs w:val="20"/>
        </w:rPr>
        <w:t xml:space="preserve">ETABLIX is not a recruitment agency and has never applied to be one.</w:t>
      </w:r>
      <w:r>
        <w:rPr>
          <w:rFonts w:ascii="Arial" w:cs="Arial" w:eastAsia="Arial" w:hAnsi="Arial"/>
          <w:color w:val="14181D"/>
          <w:sz w:val="20"/>
          <w:szCs w:val="20"/>
        </w:rPr>
        <w:t xml:space="preserve"> So this is not a rejection of what we do. It is a misclassification of who we are, and it is now recorded against every address AtkinsRéalis holds for us.</w:t>
      </w:r>
    </w:p>
    <w:p>
      <w:pPr>
        <w:spacing w:after="90" w:before="90" w:line="280"/>
      </w:pPr>
      <w:r>
        <w:rPr>
          <w:rFonts w:ascii="Arial" w:cs="Arial" w:eastAsia="Arial" w:hAnsi="Arial"/>
          <w:color w:val="14181D"/>
          <w:sz w:val="20"/>
          <w:szCs w:val="20"/>
        </w:rPr>
        <w:t xml:space="preserve">That is worse than a decline. A decline expires. A supplier-code notice sits in a procurement system and is what the next person sees.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happened</w:t>
      </w:r>
    </w:p>
    <w:p>
      <w:pPr>
        <w:spacing w:after="90" w:before="90" w:line="280"/>
      </w:pPr>
      <w:r>
        <w:rPr>
          <w:rFonts w:ascii="Arial" w:cs="Arial" w:eastAsia="Arial" w:hAnsi="Arial"/>
          <w:color w:val="14181D"/>
          <w:sz w:val="20"/>
          <w:szCs w:val="20"/>
        </w:rPr>
        <w:t xml:space="preserve">The playbook already carried the two rules that would have prevented it — </w:t>
      </w:r>
      <w:r>
        <w:rPr>
          <w:rFonts w:ascii="Arial" w:cs="Arial" w:eastAsia="Arial" w:hAnsi="Arial"/>
          <w:i/>
          <w:iCs/>
          <w:color w:val="14181D"/>
          <w:sz w:val="20"/>
          <w:szCs w:val="20"/>
        </w:rPr>
        <w:t xml:space="preserve">"skip the recruitment inboxes"</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"no attachment, one link"</w:t>
      </w:r>
      <w:r>
        <w:rPr>
          <w:rFonts w:ascii="Arial" w:cs="Arial" w:eastAsia="Arial" w:hAnsi="Arial"/>
          <w:color w:val="14181D"/>
          <w:sz w:val="20"/>
          <w:szCs w:val="20"/>
        </w:rPr>
        <w:t xml:space="preserve">. Something carrying the director's curriculum vitae reached a recruitment-facing queue, and from that queue there is only one thing it can look like.</w:t>
      </w:r>
    </w:p>
    <w:p>
      <w:pPr>
        <w:spacing w:after="90" w:before="90" w:line="280"/>
      </w:pPr>
      <w:r>
        <w:rPr>
          <w:rFonts w:ascii="Arial" w:cs="Arial" w:eastAsia="Arial" w:hAnsi="Arial"/>
          <w:color w:val="14181D"/>
          <w:sz w:val="20"/>
          <w:szCs w:val="20"/>
        </w:rPr>
        <w:t xml:space="preserve">The underlying error is a category error, and it is easy to keep making. The director's record is the strongest evidence this company has: it is the whole basis of the DPS submissions, section 4.1 of </w:t>
      </w:r>
      <w:r>
        <w:rPr>
          <w:rFonts w:ascii="Arial" w:cs="Arial" w:eastAsia="Arial" w:hAnsi="Arial"/>
          <w:i/>
          <w:iCs/>
          <w:color w:val="14181D"/>
          <w:sz w:val="20"/>
          <w:szCs w:val="20"/>
        </w:rPr>
        <w:t xml:space="preserve">Director's Relevant Experience</w:t>
      </w:r>
      <w:r>
        <w:rPr>
          <w:rFonts w:ascii="Arial" w:cs="Arial" w:eastAsia="Arial" w:hAnsi="Arial"/>
          <w:color w:val="14181D"/>
          <w:sz w:val="20"/>
          <w:szCs w:val="20"/>
        </w:rPr>
        <w:t xml:space="preserve">, and the answer to SQ 6.1. All of that is correct </w:t>
      </w:r>
      <w:r>
        <w:rPr>
          <w:rFonts w:ascii="Arial" w:cs="Arial" w:eastAsia="Arial" w:hAnsi="Arial"/>
          <w:b/>
          <w:bCs/>
          <w:color w:val="14181D"/>
          <w:sz w:val="20"/>
          <w:szCs w:val="20"/>
        </w:rPr>
        <w:t xml:space="preserve">inside a submitted document</w:t>
      </w:r>
      <w:r>
        <w:rPr>
          <w:rFonts w:ascii="Arial" w:cs="Arial" w:eastAsia="Arial" w:hAnsi="Arial"/>
          <w:color w:val="14181D"/>
          <w:sz w:val="20"/>
          <w:szCs w:val="20"/>
        </w:rPr>
        <w:t xml:space="preserve">. The same material in a cold email is not evidence of a company's competence. It is a person being offered.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rule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Never attach a curriculum vitae to an introduction, and never describe the director as available. The director's record belongs in a submitted document — a selection questionnaire, a tender response, a request to participate. Where competence has to be evidenced in an introduction, describe what the company did, never who is available.</w:t>
      </w:r>
    </w:p>
    <w:p>
      <w:pPr>
        <w:spacing w:after="90" w:before="90" w:line="280"/>
      </w:pPr>
      <w:r>
        <w:rPr>
          <w:rFonts w:ascii="Arial" w:cs="Arial" w:eastAsia="Arial" w:hAnsi="Arial"/>
          <w:color w:val="14181D"/>
          <w:sz w:val="20"/>
          <w:szCs w:val="20"/>
        </w:rPr>
        <w:t xml:space="preserve">Now added to the pre-send rules in </w:t>
      </w:r>
      <w:r>
        <w:rPr>
          <w:rFonts w:ascii="Arial" w:cs="Arial" w:eastAsia="Arial" w:hAnsi="Arial"/>
          <w:i/>
          <w:iCs/>
          <w:color w:val="14181D"/>
          <w:sz w:val="20"/>
          <w:szCs w:val="20"/>
        </w:rPr>
        <w:t xml:space="preserve">cold-introduction-500.html</w:t>
      </w:r>
      <w:r>
        <w:rPr>
          <w:rFonts w:ascii="Arial" w:cs="Arial" w:eastAsia="Arial" w:hAnsi="Arial"/>
          <w:color w:val="14181D"/>
          <w:sz w:val="20"/>
          <w:szCs w:val="20"/>
        </w:rPr>
        <w:t xml:space="preserv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Whether to reply at all</w:t>
      </w:r>
    </w:p>
    <w:p>
      <w:pPr>
        <w:spacing w:after="90" w:before="90" w:line="280"/>
      </w:pPr>
      <w:r>
        <w:rPr>
          <w:rFonts w:ascii="Arial" w:cs="Arial" w:eastAsia="Arial" w:hAnsi="Arial"/>
          <w:color w:val="14181D"/>
          <w:sz w:val="20"/>
          <w:szCs w:val="20"/>
        </w:rPr>
        <w:t xml:space="preserve">Yes, once, and then stop.</w:t>
      </w:r>
    </w:p>
    <w:p>
      <w:pPr>
        <w:spacing w:after="90" w:before="90" w:line="280"/>
      </w:pPr>
      <w:r>
        <w:rPr>
          <w:rFonts w:ascii="Arial" w:cs="Arial" w:eastAsia="Arial" w:hAnsi="Arial"/>
          <w:color w:val="14181D"/>
          <w:sz w:val="20"/>
          <w:szCs w:val="20"/>
        </w:rPr>
        <w:t xml:space="preserve">The case for silence is that they have told us to go away and any reply risks reading as a push-back. The case for replying is stronger: they have invited questions, and the record they are about to keep is factually wrong about what kind of company this is. Correcting it costs one short email and closes the matter properly.</w:t>
      </w:r>
    </w:p>
    <w:p>
      <w:pPr>
        <w:spacing w:after="90" w:before="90" w:line="280"/>
      </w:pPr>
      <w:r>
        <w:rPr>
          <w:rFonts w:ascii="Arial" w:cs="Arial" w:eastAsia="Arial" w:hAnsi="Arial"/>
          <w:b/>
          <w:bCs/>
          <w:color w:val="14181D"/>
          <w:sz w:val="20"/>
          <w:szCs w:val="20"/>
        </w:rPr>
        <w:t xml:space="preserve">The reply must therefore ask for nothing.</w:t>
      </w:r>
      <w:r>
        <w:rPr>
          <w:rFonts w:ascii="Arial" w:cs="Arial" w:eastAsia="Arial" w:hAnsi="Arial"/>
          <w:color w:val="14181D"/>
          <w:sz w:val="20"/>
          <w:szCs w:val="20"/>
        </w:rPr>
        <w:t xml:space="preserve"> No request to reconsider, no request to be added to any list, no request to be told when the PSL reopens, no description of the service beyond what is needed to correct the category. The moment it contains an ask, it becomes the thing they just told us not to send, and it proves their classification right.</w:t>
      </w:r>
    </w:p>
    <w:p>
      <w:pPr>
        <w:pStyle w:val="Heading1"/>
        <w:keepNext/>
        <w:pBdr>
          <w:bottom w:val="single" w:color="9C7A3C" w:sz="8" w:space="6"/>
        </w:pBdr>
        <w:spacing w:after="150" w:before="380"/>
      </w:pPr>
      <w:r>
        <w:rPr>
          <w:rFonts w:ascii="Arial" w:cs="Arial" w:eastAsia="Arial" w:hAnsi="Arial"/>
          <w:b/>
          <w:bCs/>
          <w:color w:val="14181D"/>
          <w:sz w:val="26"/>
          <w:szCs w:val="26"/>
        </w:rPr>
        <w:t xml:space="preserve">Not selling this one, deliberately</w:t>
      </w:r>
    </w:p>
    <w:p>
      <w:pPr>
        <w:spacing w:after="90" w:before="90" w:line="280"/>
      </w:pPr>
      <w:r>
        <w:rPr>
          <w:rFonts w:ascii="Arial" w:cs="Arial" w:eastAsia="Arial" w:hAnsi="Arial"/>
          <w:color w:val="14181D"/>
          <w:sz w:val="20"/>
          <w:szCs w:val="20"/>
        </w:rPr>
        <w:t xml:space="preserve">The standing rule is that anything touching what we do should also sell us. It does not apply here and applying it would be actively harmful. A cease-contact notice from a procurement team is one of the named exceptions in the house style: the correct response to being told to stop is to stop.</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it costs, and what it does not</w:t>
      </w:r>
    </w:p>
    <w:p>
      <w:pPr>
        <w:spacing w:after="90" w:before="90" w:line="280"/>
      </w:pPr>
      <w:r>
        <w:rPr>
          <w:rFonts w:ascii="Arial" w:cs="Arial" w:eastAsia="Arial" w:hAnsi="Arial"/>
          <w:color w:val="14181D"/>
          <w:sz w:val="20"/>
          <w:szCs w:val="20"/>
        </w:rPr>
        <w:t xml:space="preserve">AtkinsRéalis is closed for the foreseeable future, and that is a real loss — a tier-one designer with reach across exactly the sectors in the plan.</w:t>
      </w:r>
    </w:p>
    <w:p>
      <w:pPr>
        <w:spacing w:after="90" w:before="90" w:line="280"/>
      </w:pPr>
      <w:r>
        <w:rPr>
          <w:rFonts w:ascii="Arial" w:cs="Arial" w:eastAsia="Arial" w:hAnsi="Arial"/>
          <w:color w:val="14181D"/>
          <w:sz w:val="20"/>
          <w:szCs w:val="20"/>
        </w:rPr>
        <w:t xml:space="preserve">What it does not cost is the method. Nothing in the notice says the service is unwanted or the approach was wrong for a supplier; it says we were assessed as the wrong kind of supplier entirely, through a channel that could only reach that conclusion. The fix is channel discipline, not a change of proposition.</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AtkinsRéalis: the notice, the reply, and the rule that follows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ATKINSRÉALIS: THE NOTICE, THE REPLY, AND THE RULE THAT FOLLOWS</dc:title>
  <dc:creator>ETABLIX — Integrated Site Services</dc:creator>
  <dc:description>ETABLIX ATKINSRÉALIS: THE NOTICE, THE REPLY, AND THE RULE THAT FOLLOWS</dc:description>
  <cp:lastModifiedBy>Un-named</cp:lastModifiedBy>
  <cp:revision>1</cp:revision>
  <dcterms:created xsi:type="dcterms:W3CDTF">2026-09-30T15:30:44.817Z</dcterms:created>
  <dcterms:modified xsi:type="dcterms:W3CDTF">2026-09-30T15:30:44.817Z</dcterms:modified>
</cp:coreProperties>
</file>

<file path=docProps/custom.xml><?xml version="1.0" encoding="utf-8"?>
<Properties xmlns="http://schemas.openxmlformats.org/officeDocument/2006/custom-properties" xmlns:vt="http://schemas.openxmlformats.org/officeDocument/2006/docPropsVTypes"/>
</file>