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left"/>
      </w:pPr>
      <w:r>
        <w:rPr>
          <w:rFonts w:ascii="Calibri" w:cs="Calibri" w:eastAsia="Calibri" w:hAnsi="Calibri"/>
          <w:b/>
          <w:bCs/>
          <w:color w:val="1BA996"/>
          <w:sz w:val="72"/>
          <w:szCs w:val="72"/>
        </w:rPr>
        <w:t xml:space="preserve">KINSHASA MOSOLO</w:t>
      </w:r>
    </w:p>
    <w:p>
      <w:pPr>
        <w:pBdr>
          <w:bottom w:val="single" w:color="1BA996" w:sz="12" w:space="6"/>
        </w:pBdr>
        <w:spacing w:after="240"/>
        <w:jc w:val="left"/>
      </w:pPr>
      <w:r>
        <w:rPr>
          <w:color w:val="10262C"/>
          <w:sz w:val="28"/>
          <w:szCs w:val="28"/>
        </w:rPr>
        <w:t xml:space="preserve">Système d'exploitation souverain de maximisation des recettes de la Ville Province de Kinshasa</w:t>
      </w:r>
    </w:p>
    <w:p>
      <w:pPr>
        <w:spacing w:after="160"/>
      </w:pPr>
      <w:r>
        <w:rPr>
          <w:i/>
          <w:iCs/>
          <w:sz w:val="22"/>
          <w:szCs w:val="22"/>
        </w:rPr>
        <w:t xml:space="preserve">Plateforme unique de recensement, de géolocalisation, de gestion, de paiement, de contrôle et de maximisation des recettes de la Ville Province de Kinshasa</w:t>
      </w:r>
    </w:p>
    <w:p>
      <w:pPr>
        <w:spacing w:after="400"/>
      </w:pPr>
      <w:r>
        <w:rPr>
          <w:b/>
          <w:bCs/>
          <w:color w:val="1BA996"/>
          <w:sz w:val="24"/>
          <w:szCs w:val="24"/>
        </w:rPr>
        <w:t xml:space="preserve">« Une ville, un contribuable, une donnée, une quittance. »</w:t>
      </w:r>
    </w:p>
    <w:p>
      <w:pPr>
        <w:spacing w:after="80"/>
      </w:pPr>
      <w:r>
        <w:rPr>
          <w:b/>
          <w:bCs/>
          <w:sz w:val="22"/>
          <w:szCs w:val="22"/>
        </w:rPr>
        <w:t xml:space="preserve">Document maître de conception, de gouvernance et de mise en œuvre</w:t>
      </w:r>
    </w:p>
    <w:p>
      <w:pPr>
        <w:spacing w:after="80"/>
      </w:pPr>
      <w:r>
        <w:rPr>
          <w:sz w:val="20"/>
          <w:szCs w:val="20"/>
        </w:rPr>
        <w:t xml:space="preserve">Destinataires : Gouvernement provincial de Kinshasa ; Direction générale des impôts provinciaux de Kinshasa ; Direction générale des recettes de Kinshasa ; ministères et services provinciaux compétents ; communes et entités publiques autorisées ; partenaires techniques et financiers ; équipes de réalisation.</w:t>
      </w:r>
    </w:p>
    <w:p>
      <w:pPr>
        <w:spacing w:after="80"/>
      </w:pPr>
      <w:r>
        <w:rPr>
          <w:sz w:val="20"/>
          <w:szCs w:val="20"/>
        </w:rPr>
        <w:t xml:space="preserve">Version 1.0 — 24 septembre 2026</w:t>
      </w:r>
    </w:p>
    <w:p>
      <w:pPr>
        <w:spacing w:after="80"/>
      </w:pPr>
      <w:r>
        <w:rPr>
          <w:sz w:val="20"/>
          <w:szCs w:val="20"/>
        </w:rPr>
        <w:t xml:space="preserve">Préparé par Groupe Nseya Digital / JNN Global Ltd — Birmingham et Kinshasa</w:t>
      </w:r>
    </w:p>
    <w:p>
      <w:pPr>
        <w:spacing w:before="400"/>
      </w:pPr>
      <w:r>
        <w:rPr>
          <w:i/>
          <w:iCs/>
          <w:color w:val="4D6168"/>
          <w:sz w:val="18"/>
          <w:szCs w:val="18"/>
        </w:rPr>
        <w:t xml:space="preserve">Document de travail soumis à validation juridique provinciale. Aucune règle, aucun taux et aucune projection contenus dans ce document ne peuvent être mis en production avant certification par les services juridiques compétents.</w:t>
      </w:r>
    </w:p>
    <w:p>
      <w:r>
        <w:br w:type="page"/>
      </w:r>
    </w:p>
    <w:p>
      <w:pPr>
        <w:spacing w:after="200"/>
      </w:pPr>
      <w:r>
        <w:rPr>
          <w:b/>
          <w:bCs/>
          <w:color w:val="10262C"/>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Résumé exécutif</w:t>
      </w:r>
    </w:p>
    <w:p>
      <w:pPr>
        <w:spacing w:after="120" w:line="276"/>
        <w:jc w:val="both"/>
      </w:pPr>
      <w:r>
        <w:rPr>
          <w:b w:val="false"/>
          <w:bCs w:val="false"/>
          <w:i w:val="false"/>
          <w:iCs w:val="false"/>
          <w:sz w:val="21"/>
          <w:szCs w:val="21"/>
        </w:rPr>
        <w:t xml:space="preserve">La Ville Province de Kinshasa, capitale d'environ vingt millions d'habitants, fonctionne avec un budget provincial de l'ordre de 1,2 milliard de dollars américains, très en deçà de ce que mobilisent des métropoles africaines de taille comparable. Ce n'est pas d'abord un problème de taux : c'est un problème de connaissance, de traçabilité et de chaîne de recouvrement. La Ville ne dispose pas aujourd'hui d'un registre géolocalisé complet de ses contribuables et de ses objets imposables, la procédure de télépaiement n'est pas pleinement opérationnelle et la chaîne constat–liquidation–paiement–quittance–comptabilisation comporte des ruptures qui rendent la déperdition difficile à mesurer et plus difficile encore à prouver.</w:t>
      </w:r>
    </w:p>
    <w:p>
      <w:pPr>
        <w:spacing w:after="120" w:line="276"/>
        <w:jc w:val="both"/>
      </w:pPr>
      <w:r>
        <w:rPr>
          <w:b w:val="false"/>
          <w:bCs w:val="false"/>
          <w:i w:val="false"/>
          <w:iCs w:val="false"/>
          <w:sz w:val="21"/>
          <w:szCs w:val="21"/>
        </w:rPr>
        <w:t xml:space="preserve">KINSHASA MOSOLO est conçu comme le système d'exploitation souverain des recettes de Kinshasa : une infrastructure unique de recensement, de géolocalisation, de qualification juridique, de liquidation, de notification, de paiement, de rapprochement, de quittancement, de contrôle, de recouvrement, d'audit et de planification. Le principe fondateur est simple : on ne cherche plus seulement le contribuable, on identifie et on localise chaque objet générateur de recettes, puis on le rattache à une identité fiscale unique.</w:t>
      </w:r>
    </w:p>
    <w:p>
      <w:pPr>
        <w:spacing w:after="120" w:line="276"/>
        <w:jc w:val="both"/>
      </w:pPr>
      <w:r>
        <w:rPr>
          <w:b/>
          <w:bCs/>
          <w:sz w:val="21"/>
          <w:szCs w:val="21"/>
        </w:rPr>
        <w:t xml:space="preserve">Ce que le système fait. </w:t>
      </w:r>
      <w:r>
        <w:rPr>
          <w:sz w:val="21"/>
          <w:szCs w:val="21"/>
        </w:rPr>
        <w:t xml:space="preserve">Il crée un compte unique par personne physique ou morale, y rattache l'ensemble de ses parcelles, unités louées, commerces, véhicules, panneaux publicitaires, embarcations, concessions, autorisations et occupations du domaine public, applique uniquement des règles fiscales officiellement validées et versionnées, oriente chaque paiement vers le compte public désigné, produit une quittance électronique vérifiable par code QR, rapproche automatiquement obligation, paiement, règlement bancaire et comptabilisation, et conserve une preuve d'audit inaltérable de chaque action.</w:t>
      </w:r>
    </w:p>
    <w:p>
      <w:pPr>
        <w:spacing w:after="120" w:line="276"/>
        <w:jc w:val="both"/>
      </w:pPr>
      <w:r>
        <w:rPr>
          <w:b/>
          <w:bCs/>
          <w:sz w:val="21"/>
          <w:szCs w:val="21"/>
        </w:rPr>
        <w:t xml:space="preserve">Ce que le système ne fait pas. </w:t>
      </w:r>
      <w:r>
        <w:rPr>
          <w:sz w:val="21"/>
          <w:szCs w:val="21"/>
        </w:rPr>
        <w:t xml:space="preserve">Il ne crée aucun impôt, aucune taxe, aucune pénalité et aucun taux. Il n'encaisse pas dans un compte privé. Il ne transforme pas un signal statistique en dette fiscale. Il n'autorise aucun acteur, quel que soit son rang politique, administratif ou technique, à modifier seul une dette, à annuler un paiement, à substituer un compte bénéficiaire ou à effacer une trace.</w:t>
      </w:r>
    </w:p>
    <w:p>
      <w:pPr>
        <w:spacing w:after="120" w:line="276"/>
        <w:jc w:val="both"/>
      </w:pPr>
      <w:r>
        <w:rPr>
          <w:b w:val="false"/>
          <w:bCs w:val="false"/>
          <w:i w:val="false"/>
          <w:iCs w:val="false"/>
          <w:sz w:val="21"/>
          <w:szCs w:val="21"/>
        </w:rPr>
        <w:t xml:space="preserve">Trois décisions institutionnelles récentes structurent la conception. D'abord, la Ville a présenté en 2026 le quitus fiscal provincial, qui atteste du paiement de l'impôt foncier, de l'impôt sur les revenus locatifs et, le cas échéant, de la taxe sur les véhicules, et qui conditionne notamment l'accès aux marchés publics et à certaines autorisations : c'est le levier de conformité le plus puissant dont dispose la Ville, et MOSOLO le rend numérique, instantané et vérifiable. Ensuite, les projets de textes créant la Direction générale des recettes fiscales de Kinshasa et la Direction générale des taxes de Kinshasa ont été examinés en mai 2026 : la plateforme doit donc être indépendante de la régie, l'administration compétente étant une donnée de configuration et non une règle codée en dur. Enfin, l'évaluation TADAT restituée en septembre 2025 a identifié précisément les faiblesses que ce programme doit corriger : registre des contribuables incomplet et peu fiable, télépaiement non opérationnel, faiblesse du contrôle interne, audit interne non fonctionnel, faible capacité de prévision.</w:t>
      </w:r>
    </w:p>
    <w:p>
      <w:pPr>
        <w:pBdr>
          <w:left w:val="single" w:color="1BA996" w:sz="18" w:space="8"/>
        </w:pBdr>
        <w:spacing w:after="160" w:before="120" w:line="264"/>
        <w:ind w:left="180"/>
      </w:pPr>
      <w:r>
        <w:rPr>
          <w:b/>
          <w:bCs/>
          <w:color w:val="10262C"/>
          <w:sz w:val="20"/>
          <w:szCs w:val="20"/>
        </w:rPr>
        <w:t xml:space="preserve">Alerte juridique majeure. </w:t>
      </w:r>
      <w:r>
        <w:rPr>
          <w:sz w:val="20"/>
          <w:szCs w:val="20"/>
        </w:rPr>
        <w:t xml:space="preserve">Le document de projet de référence s'appuie sur l'Ordonnance-loi n° 13/001 du 23 février 2013. Ce texte a été abrogé par l'Ordonnance-loi n° 18/004 du 13 mars 2018 fixant la nomenclature des impôts, droits, taxes et redevances de la province et de l'entité territoriale décentralisée ainsi que les modalités de leur répartition. Aucune règle de MOSOLO ne doit être publiée sur la base de la nomenclature de 2013. La refondation du référentiel sur l'Ordonnance-loi n° 18/004, complétée par l'édit budgétaire en vigueur de la Ville, est la première tâche du programme.</w:t>
      </w:r>
    </w:p>
    <w:p>
      <w:pPr>
        <w:spacing w:after="120" w:line="276"/>
        <w:jc w:val="both"/>
      </w:pPr>
      <w:r>
        <w:rPr>
          <w:b w:val="false"/>
          <w:bCs w:val="false"/>
          <w:i w:val="false"/>
          <w:iCs w:val="false"/>
          <w:sz w:val="21"/>
          <w:szCs w:val="21"/>
        </w:rPr>
        <w:t xml:space="preserve">La proposition soumise au Gouvernement provincial est la suivante : approuver la conception, faire valider le référentiel juridique par les services juridiques provinciaux et la Direction générale des recettes, puis lancer un pilote de 180 jours dans quatre communes représentatives, calé sur le calendrier fiscal afin que la campagne foncière et locative de février 2027 constitue le premier test de recettes réelles du système.</w:t>
      </w:r>
    </w:p>
    <w:p>
      <w:pPr>
        <w:pStyle w:val="Heading2"/>
        <w:spacing w:after="120" w:before="260"/>
      </w:pPr>
      <w:r>
        <w:t xml:space="preserve">Les huit résultats attendus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3931"/>
        <w:gridCol w:w="3931"/>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Axe</w:t>
            </w:r>
          </w:p>
        </w:tc>
        <w:tc>
          <w:tcPr>
            <w:tcW w:type="dxa" w:w="3931"/>
            <w:shd w:fill="E6F4F1" w:color="auto" w:val="clear"/>
            <w:tcMar>
              <w:top w:type="dxa" w:w="60"/>
              <w:left w:type="dxa" w:w="90"/>
              <w:bottom w:type="dxa" w:w="60"/>
              <w:right w:type="dxa" w:w="90"/>
            </w:tcMar>
          </w:tcPr>
          <w:p>
            <w:pPr>
              <w:spacing w:after="20" w:line="240"/>
            </w:pPr>
            <w:r>
              <w:rPr>
                <w:b/>
                <w:bCs/>
                <w:sz w:val="18"/>
                <w:szCs w:val="18"/>
              </w:rPr>
              <w:t xml:space="preserve">Résultat visé</w:t>
            </w:r>
          </w:p>
        </w:tc>
        <w:tc>
          <w:tcPr>
            <w:tcW w:type="dxa" w:w="3931"/>
            <w:shd w:fill="E6F4F1" w:color="auto" w:val="clear"/>
            <w:tcMar>
              <w:top w:type="dxa" w:w="60"/>
              <w:left w:type="dxa" w:w="90"/>
              <w:bottom w:type="dxa" w:w="60"/>
              <w:right w:type="dxa" w:w="90"/>
            </w:tcMar>
          </w:tcPr>
          <w:p>
            <w:pPr>
              <w:spacing w:after="20" w:line="240"/>
            </w:pPr>
            <w:r>
              <w:rPr>
                <w:b/>
                <w:bCs/>
                <w:sz w:val="18"/>
                <w:szCs w:val="18"/>
              </w:rPr>
              <w:t xml:space="preserve">Mécanisme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Couverture</w:t>
            </w:r>
          </w:p>
        </w:tc>
        <w:tc>
          <w:tcPr>
            <w:tcW w:type="dxa" w:w="3931"/>
            <w:tcMar>
              <w:top w:type="dxa" w:w="60"/>
              <w:left w:type="dxa" w:w="90"/>
              <w:bottom w:type="dxa" w:w="60"/>
              <w:right w:type="dxa" w:w="90"/>
            </w:tcMar>
          </w:tcPr>
          <w:p>
            <w:pPr>
              <w:spacing w:after="20" w:line="240"/>
            </w:pPr>
            <w:r>
              <w:rPr>
                <w:b w:val="false"/>
                <w:bCs w:val="false"/>
                <w:sz w:val="18"/>
                <w:szCs w:val="18"/>
              </w:rPr>
              <w:t xml:space="preserve">Registre géofiscal continu des objets imposables des communes pilotes</w:t>
            </w:r>
          </w:p>
        </w:tc>
        <w:tc>
          <w:tcPr>
            <w:tcW w:type="dxa" w:w="3931"/>
            <w:tcMar>
              <w:top w:type="dxa" w:w="60"/>
              <w:left w:type="dxa" w:w="90"/>
              <w:bottom w:type="dxa" w:w="60"/>
              <w:right w:type="dxa" w:w="90"/>
            </w:tcMar>
          </w:tcPr>
          <w:p>
            <w:pPr>
              <w:spacing w:after="20" w:line="240"/>
            </w:pPr>
            <w:r>
              <w:rPr>
                <w:b w:val="false"/>
                <w:bCs w:val="false"/>
                <w:sz w:val="18"/>
                <w:szCs w:val="18"/>
              </w:rPr>
              <w:t xml:space="preserve">Recensement terrain hors ligne, auto-enrôlement, recoupement de données partenaires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Assiette</w:t>
            </w:r>
          </w:p>
        </w:tc>
        <w:tc>
          <w:tcPr>
            <w:tcW w:type="dxa" w:w="3931"/>
            <w:tcMar>
              <w:top w:type="dxa" w:w="60"/>
              <w:left w:type="dxa" w:w="90"/>
              <w:bottom w:type="dxa" w:w="60"/>
              <w:right w:type="dxa" w:w="90"/>
            </w:tcMar>
          </w:tcPr>
          <w:p>
            <w:pPr>
              <w:spacing w:after="20" w:line="240"/>
            </w:pPr>
            <w:r>
              <w:rPr>
                <w:b w:val="false"/>
                <w:bCs w:val="false"/>
                <w:sz w:val="18"/>
                <w:szCs w:val="18"/>
              </w:rPr>
              <w:t xml:space="preserve">Élargissement légal de l'assiette sans création de taxe nouvelle</w:t>
            </w:r>
          </w:p>
        </w:tc>
        <w:tc>
          <w:tcPr>
            <w:tcW w:type="dxa" w:w="3931"/>
            <w:tcMar>
              <w:top w:type="dxa" w:w="60"/>
              <w:left w:type="dxa" w:w="90"/>
              <w:bottom w:type="dxa" w:w="60"/>
              <w:right w:type="dxa" w:w="90"/>
            </w:tcMar>
          </w:tcPr>
          <w:p>
            <w:pPr>
              <w:spacing w:after="20" w:line="240"/>
            </w:pPr>
            <w:r>
              <w:rPr>
                <w:b w:val="false"/>
                <w:bCs w:val="false"/>
                <w:sz w:val="18"/>
                <w:szCs w:val="18"/>
              </w:rPr>
              <w:t xml:space="preserve">Détection des objets non enregistrés, régularisation volontaire, requalification contrôlée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Encaissement</w:t>
            </w:r>
          </w:p>
        </w:tc>
        <w:tc>
          <w:tcPr>
            <w:tcW w:type="dxa" w:w="3931"/>
            <w:tcMar>
              <w:top w:type="dxa" w:w="60"/>
              <w:left w:type="dxa" w:w="90"/>
              <w:bottom w:type="dxa" w:w="60"/>
              <w:right w:type="dxa" w:w="90"/>
            </w:tcMar>
          </w:tcPr>
          <w:p>
            <w:pPr>
              <w:spacing w:after="20" w:line="240"/>
            </w:pPr>
            <w:r>
              <w:rPr>
                <w:b w:val="false"/>
                <w:bCs w:val="false"/>
                <w:sz w:val="18"/>
                <w:szCs w:val="18"/>
              </w:rPr>
              <w:t xml:space="preserve">Paiement électronique majoritaire vers les comptes publics désignés</w:t>
            </w:r>
          </w:p>
        </w:tc>
        <w:tc>
          <w:tcPr>
            <w:tcW w:type="dxa" w:w="3931"/>
            <w:tcMar>
              <w:top w:type="dxa" w:w="60"/>
              <w:left w:type="dxa" w:w="90"/>
              <w:bottom w:type="dxa" w:w="60"/>
              <w:right w:type="dxa" w:w="90"/>
            </w:tcMar>
          </w:tcPr>
          <w:p>
            <w:pPr>
              <w:spacing w:after="20" w:line="240"/>
            </w:pPr>
            <w:r>
              <w:rPr>
                <w:b w:val="false"/>
                <w:bCs w:val="false"/>
                <w:sz w:val="18"/>
                <w:szCs w:val="18"/>
              </w:rPr>
              <w:t xml:space="preserve">Mobile Money, banques, cartes, USSD, QR, agents agréés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Traçabilité</w:t>
            </w:r>
          </w:p>
        </w:tc>
        <w:tc>
          <w:tcPr>
            <w:tcW w:type="dxa" w:w="3931"/>
            <w:tcMar>
              <w:top w:type="dxa" w:w="60"/>
              <w:left w:type="dxa" w:w="90"/>
              <w:bottom w:type="dxa" w:w="60"/>
              <w:right w:type="dxa" w:w="90"/>
            </w:tcMar>
          </w:tcPr>
          <w:p>
            <w:pPr>
              <w:spacing w:after="20" w:line="240"/>
            </w:pPr>
            <w:r>
              <w:rPr>
                <w:b w:val="false"/>
                <w:bCs w:val="false"/>
                <w:sz w:val="18"/>
                <w:szCs w:val="18"/>
              </w:rPr>
              <w:t xml:space="preserve">Chaîne complète obligation–paiement–règlement–quittance–comptabilisation</w:t>
            </w:r>
          </w:p>
        </w:tc>
        <w:tc>
          <w:tcPr>
            <w:tcW w:type="dxa" w:w="3931"/>
            <w:tcMar>
              <w:top w:type="dxa" w:w="60"/>
              <w:left w:type="dxa" w:w="90"/>
              <w:bottom w:type="dxa" w:w="60"/>
              <w:right w:type="dxa" w:w="90"/>
            </w:tcMar>
          </w:tcPr>
          <w:p>
            <w:pPr>
              <w:spacing w:after="20" w:line="240"/>
            </w:pPr>
            <w:r>
              <w:rPr>
                <w:b w:val="false"/>
                <w:bCs w:val="false"/>
                <w:sz w:val="18"/>
                <w:szCs w:val="18"/>
              </w:rPr>
              <w:t xml:space="preserve">Registre en ajout seul, signature électronique, rapprochement quotidien</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Intégrité</w:t>
            </w:r>
          </w:p>
        </w:tc>
        <w:tc>
          <w:tcPr>
            <w:tcW w:type="dxa" w:w="3931"/>
            <w:tcMar>
              <w:top w:type="dxa" w:w="60"/>
              <w:left w:type="dxa" w:w="90"/>
              <w:bottom w:type="dxa" w:w="60"/>
              <w:right w:type="dxa" w:w="90"/>
            </w:tcMar>
          </w:tcPr>
          <w:p>
            <w:pPr>
              <w:spacing w:after="20" w:line="240"/>
            </w:pPr>
            <w:r>
              <w:rPr>
                <w:b w:val="false"/>
                <w:bCs w:val="false"/>
                <w:sz w:val="18"/>
                <w:szCs w:val="18"/>
              </w:rPr>
              <w:t xml:space="preserve">Aucun acte financier sensible exécutable par une seule personne</w:t>
            </w:r>
          </w:p>
        </w:tc>
        <w:tc>
          <w:tcPr>
            <w:tcW w:type="dxa" w:w="3931"/>
            <w:tcMar>
              <w:top w:type="dxa" w:w="60"/>
              <w:left w:type="dxa" w:w="90"/>
              <w:bottom w:type="dxa" w:w="60"/>
              <w:right w:type="dxa" w:w="90"/>
            </w:tcMar>
          </w:tcPr>
          <w:p>
            <w:pPr>
              <w:spacing w:after="20" w:line="240"/>
            </w:pPr>
            <w:r>
              <w:rPr>
                <w:b w:val="false"/>
                <w:bCs w:val="false"/>
                <w:sz w:val="18"/>
                <w:szCs w:val="18"/>
              </w:rPr>
              <w:t xml:space="preserve">Séparation des fonctions, double validation, accès privilégié temporaire, journal d'audit immuable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Service</w:t>
            </w:r>
          </w:p>
        </w:tc>
        <w:tc>
          <w:tcPr>
            <w:tcW w:type="dxa" w:w="3931"/>
            <w:tcMar>
              <w:top w:type="dxa" w:w="60"/>
              <w:left w:type="dxa" w:w="90"/>
              <w:bottom w:type="dxa" w:w="60"/>
              <w:right w:type="dxa" w:w="90"/>
            </w:tcMar>
          </w:tcPr>
          <w:p>
            <w:pPr>
              <w:spacing w:after="20" w:line="240"/>
            </w:pPr>
            <w:r>
              <w:rPr>
                <w:b w:val="false"/>
                <w:bCs w:val="false"/>
                <w:sz w:val="18"/>
                <w:szCs w:val="18"/>
              </w:rPr>
              <w:t xml:space="preserve">Réduction du coût et du temps de mise en conformité pour le contribuable</w:t>
            </w:r>
          </w:p>
        </w:tc>
        <w:tc>
          <w:tcPr>
            <w:tcW w:type="dxa" w:w="3931"/>
            <w:tcMar>
              <w:top w:type="dxa" w:w="60"/>
              <w:left w:type="dxa" w:w="90"/>
              <w:bottom w:type="dxa" w:w="60"/>
              <w:right w:type="dxa" w:w="90"/>
            </w:tcMar>
          </w:tcPr>
          <w:p>
            <w:pPr>
              <w:spacing w:after="20" w:line="240"/>
            </w:pPr>
            <w:r>
              <w:rPr>
                <w:b w:val="false"/>
                <w:bCs w:val="false"/>
                <w:sz w:val="18"/>
                <w:szCs w:val="18"/>
              </w:rPr>
              <w:t xml:space="preserve">Compte unique, déclaration pré-remplie, paiement mobile, quittance instantanée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Pilotage</w:t>
            </w:r>
          </w:p>
        </w:tc>
        <w:tc>
          <w:tcPr>
            <w:tcW w:type="dxa" w:w="3931"/>
            <w:tcMar>
              <w:top w:type="dxa" w:w="60"/>
              <w:left w:type="dxa" w:w="90"/>
              <w:bottom w:type="dxa" w:w="60"/>
              <w:right w:type="dxa" w:w="90"/>
            </w:tcMar>
          </w:tcPr>
          <w:p>
            <w:pPr>
              <w:spacing w:after="20" w:line="240"/>
            </w:pPr>
            <w:r>
              <w:rPr>
                <w:b w:val="false"/>
                <w:bCs w:val="false"/>
                <w:sz w:val="18"/>
                <w:szCs w:val="18"/>
              </w:rPr>
              <w:t xml:space="preserve">Vision exécutive en temps réel du potentiel, du constaté, de l'encaissé et du rapproché</w:t>
            </w:r>
          </w:p>
        </w:tc>
        <w:tc>
          <w:tcPr>
            <w:tcW w:type="dxa" w:w="3931"/>
            <w:tcMar>
              <w:top w:type="dxa" w:w="60"/>
              <w:left w:type="dxa" w:w="90"/>
              <w:bottom w:type="dxa" w:w="60"/>
              <w:right w:type="dxa" w:w="90"/>
            </w:tcMar>
          </w:tcPr>
          <w:p>
            <w:pPr>
              <w:spacing w:after="20" w:line="240"/>
            </w:pPr>
            <w:r>
              <w:rPr>
                <w:b w:val="false"/>
                <w:bCs w:val="false"/>
                <w:sz w:val="18"/>
                <w:szCs w:val="18"/>
              </w:rPr>
              <w:t xml:space="preserve">Tableau de bord du Gouverneur, cartes de chaleur, files d'exception</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Affectation</w:t>
            </w:r>
          </w:p>
        </w:tc>
        <w:tc>
          <w:tcPr>
            <w:tcW w:type="dxa" w:w="3931"/>
            <w:tcMar>
              <w:top w:type="dxa" w:w="60"/>
              <w:left w:type="dxa" w:w="90"/>
              <w:bottom w:type="dxa" w:w="60"/>
              <w:right w:type="dxa" w:w="90"/>
            </w:tcMar>
          </w:tcPr>
          <w:p>
            <w:pPr>
              <w:spacing w:after="20" w:line="240"/>
            </w:pPr>
            <w:r>
              <w:rPr>
                <w:b w:val="false"/>
                <w:bCs w:val="false"/>
                <w:sz w:val="18"/>
                <w:szCs w:val="18"/>
              </w:rPr>
              <w:t xml:space="preserve">Lien démontrable entre recettes encaissées et réalisations publiques</w:t>
            </w:r>
          </w:p>
        </w:tc>
        <w:tc>
          <w:tcPr>
            <w:tcW w:type="dxa" w:w="3931"/>
            <w:tcMar>
              <w:top w:type="dxa" w:w="60"/>
              <w:left w:type="dxa" w:w="90"/>
              <w:bottom w:type="dxa" w:w="60"/>
              <w:right w:type="dxa" w:w="90"/>
            </w:tcMar>
          </w:tcPr>
          <w:p>
            <w:pPr>
              <w:spacing w:after="20" w:line="240"/>
            </w:pPr>
            <w:r>
              <w:rPr>
                <w:b w:val="false"/>
                <w:bCs w:val="false"/>
                <w:sz w:val="18"/>
                <w:szCs w:val="18"/>
              </w:rPr>
              <w:t xml:space="preserve">Module de recommandation d'affectation, tableau de transparence publique</w:t>
            </w:r>
          </w:p>
        </w:tc>
      </w:tr>
    </w:tbl>
    <w:p>
      <w:pPr>
        <w:pStyle w:val="Heading2"/>
        <w:spacing w:after="120" w:before="260"/>
      </w:pPr>
      <w:r>
        <w:t xml:space="preserve">Sommaire des décisions demandées</w:t>
      </w:r>
    </w:p>
    <w:p>
      <w:pPr>
        <w:spacing w:after="120" w:line="276"/>
        <w:jc w:val="both"/>
      </w:pPr>
      <w:r>
        <w:rPr>
          <w:b w:val="false"/>
          <w:bCs w:val="false"/>
          <w:i w:val="false"/>
          <w:iCs w:val="false"/>
          <w:sz w:val="21"/>
          <w:szCs w:val="21"/>
        </w:rPr>
        <w:t xml:space="preserve">Le document se termine par dix décisions dont dépend le démarrage. Les quatre plus urgentes : désigner l'autorité porteuse et le comité de pilotage ; ordonner la refondation du référentiel sur l'Ordonnance-loi n° 18/004 et l'édit budgétaire en vigueur ; autoriser les protocoles d'échange de données ; approuver les quatre communes pilotes et l'échéance de février 2027.</w:t>
      </w:r>
    </w:p>
    <w:p>
      <w:pPr>
        <w:pStyle w:val="Heading1"/>
        <w:spacing w:after="160" w:before="360"/>
      </w:pPr>
      <w:r>
        <w:t xml:space="preserve">2. Argumentaire politique et économique</w:t>
      </w:r>
    </w:p>
    <w:p>
      <w:pPr>
        <w:spacing w:after="120" w:line="276"/>
        <w:jc w:val="both"/>
      </w:pPr>
      <w:r>
        <w:rPr>
          <w:b w:val="false"/>
          <w:bCs w:val="false"/>
          <w:i w:val="false"/>
          <w:iCs w:val="false"/>
          <w:sz w:val="21"/>
          <w:szCs w:val="21"/>
        </w:rPr>
        <w:t xml:space="preserve">La question posée au Gouvernement provincial n'est pas de savoir s'il faut numériser une procédure : c'est de savoir comment la Ville finance la voirie, le drainage, l'assainissement, l'éclairage, les marchés, les écoles et la sécurité d'une agglomération qui croît plus vite que ses ressources propres. Un budget provincial d'environ 1,2 milliard de dollars pour vingt millions d'habitants représente moins de soixante-dix dollars par habitant et par an, toutes dépenses confondues.</w:t>
      </w:r>
    </w:p>
    <w:p>
      <w:pPr>
        <w:spacing w:after="120" w:line="276"/>
        <w:jc w:val="both"/>
      </w:pPr>
      <w:r>
        <w:rPr>
          <w:b w:val="false"/>
          <w:bCs w:val="false"/>
          <w:i w:val="false"/>
          <w:iCs w:val="false"/>
          <w:sz w:val="21"/>
          <w:szCs w:val="21"/>
        </w:rPr>
        <w:t xml:space="preserve">L'écart entre le potentiel et le réalisé tient à cinq causes cumulatives, toutes adressables par une infrastructure de données :</w:t>
      </w:r>
    </w:p>
    <w:p>
      <w:pPr>
        <w:pStyle w:val="ListItem"/>
        <w:numPr>
          <w:ilvl w:val="0"/>
          <w:numId w:val="1"/>
        </w:numPr>
        <w:spacing w:after="60" w:line="264"/>
      </w:pPr>
      <w:r>
        <w:t xml:space="preserve">un recensement partiel : une part significative des parcelles, activités, véhicules, panneaux et occupations du domaine public n'est pas connue de l'administration sous une forme numérique, géolocalisée et actualisée ;</w:t>
      </w:r>
    </w:p>
    <w:p>
      <w:pPr>
        <w:pStyle w:val="ListItem"/>
        <w:numPr>
          <w:ilvl w:val="0"/>
          <w:numId w:val="1"/>
        </w:numPr>
        <w:spacing w:after="60" w:line="264"/>
      </w:pPr>
      <w:r>
        <w:t xml:space="preserve">une identification faible : l'administration peut connaître l'existence d'un bien sans pouvoir rattacher de manière fiable la chaîne personne–bien–localisation–obligation–paiement ;</w:t>
      </w:r>
    </w:p>
    <w:p>
      <w:pPr>
        <w:pStyle w:val="ListItem"/>
        <w:numPr>
          <w:ilvl w:val="0"/>
          <w:numId w:val="1"/>
        </w:numPr>
        <w:spacing w:after="60" w:line="264"/>
      </w:pPr>
      <w:r>
        <w:t xml:space="preserve">une dispersion de l'information entre services, supports papier et bases parallèles, qui empêche toute consolidation ;</w:t>
      </w:r>
    </w:p>
    <w:p>
      <w:pPr>
        <w:pStyle w:val="ListItem"/>
        <w:numPr>
          <w:ilvl w:val="0"/>
          <w:numId w:val="1"/>
        </w:numPr>
        <w:spacing w:after="60" w:line="264"/>
      </w:pPr>
      <w:r>
        <w:t xml:space="preserve">une friction élevée pour le contribuable, qui ne sait pas toujours ce qu'il doit, à qui, à quelle échéance, à quel montant et par quel canal ;</w:t>
      </w:r>
    </w:p>
    <w:p>
      <w:pPr>
        <w:pStyle w:val="ListItem"/>
        <w:numPr>
          <w:ilvl w:val="0"/>
          <w:numId w:val="1"/>
        </w:numPr>
        <w:spacing w:after="60" w:line="264"/>
      </w:pPr>
      <w:r>
        <w:t xml:space="preserve">une déperdition en bout de chaîne : encaissement physique, quittances non standardisées, rapprochement bancaire tardif, annulations non tracées.</w:t>
      </w:r>
    </w:p>
    <w:p>
      <w:pPr>
        <w:spacing w:after="120" w:line="276"/>
        <w:jc w:val="both"/>
      </w:pPr>
      <w:r>
        <w:rPr>
          <w:b w:val="false"/>
          <w:bCs w:val="false"/>
          <w:i w:val="false"/>
          <w:iCs w:val="false"/>
          <w:sz w:val="21"/>
          <w:szCs w:val="21"/>
        </w:rPr>
        <w:t xml:space="preserve">La campagne fiscale 2026 illustre l'ampleur de l'enjeu : la Direction générale des recettes de Kinshasa a signé un contrat de performance portant sur des assignations de l'ordre de 500 millions de dollars pour l'exercice, alors que les recettes cumulées de l'impôt foncier et de l'impôt sur les revenus locatifs constatées à la fin du mois de janvier 2026 s'élevaient à environ 40 milliards de francs congolais, soit approximativement 14 millions de dollars au taux budgétaire moyen de 2025 (2 859,2 CDF pour un dollar). L'écart n'est pas un échec administratif : c'est un gisement, et il est majoritairement locatif et foncier.</w:t>
      </w:r>
    </w:p>
    <w:p>
      <w:pPr>
        <w:pStyle w:val="Heading3"/>
        <w:spacing w:after="100" w:before="200"/>
      </w:pPr>
      <w:r>
        <w:t xml:space="preserve">Pourquoi maintenant</w:t>
      </w:r>
    </w:p>
    <w:p>
      <w:pPr>
        <w:pStyle w:val="ListItem"/>
        <w:numPr>
          <w:ilvl w:val="0"/>
          <w:numId w:val="1"/>
        </w:numPr>
        <w:spacing w:after="60" w:line="264"/>
      </w:pPr>
      <w:r>
        <w:t xml:space="preserve">La réforme institutionnelle est engagée : la création annoncée de deux régies spécialisées appelle un socle d'information commun, faute de quoi la spécialisation produira deux silos au lieu d'un.</w:t>
      </w:r>
    </w:p>
    <w:p>
      <w:pPr>
        <w:pStyle w:val="ListItem"/>
        <w:numPr>
          <w:ilvl w:val="0"/>
          <w:numId w:val="1"/>
        </w:numPr>
        <w:spacing w:after="60" w:line="264"/>
      </w:pPr>
      <w:r>
        <w:t xml:space="preserve">Le quitus fiscal provincial existe déjà comme condition d'accès à certains services : il suffit de le rendre numérique et vérifiable pour qu'il devienne un instrument de conformité à grande échelle.</w:t>
      </w:r>
    </w:p>
    <w:p>
      <w:pPr>
        <w:pStyle w:val="ListItem"/>
        <w:numPr>
          <w:ilvl w:val="0"/>
          <w:numId w:val="1"/>
        </w:numPr>
        <w:spacing w:after="60" w:line="264"/>
      </w:pPr>
      <w:r>
        <w:t xml:space="preserve">La dématérialisation déclarative a commencé : la déclaration en ligne existe et l'obligation de télédéclaration s'étend aux grandes entreprises. MOSOLO doit absorber cet acquis, non le dupliquer.</w:t>
      </w:r>
    </w:p>
    <w:p>
      <w:pPr>
        <w:pStyle w:val="ListItem"/>
        <w:numPr>
          <w:ilvl w:val="0"/>
          <w:numId w:val="1"/>
        </w:numPr>
        <w:spacing w:after="60" w:line="264"/>
      </w:pPr>
      <w:r>
        <w:t xml:space="preserve">Les partenaires techniques et financiers suivent la trajectoire TADAT : un programme structuré, auditable et non prédateur est finançable ; un programme perçu comme une fermage fiscal ne l'est pas.</w:t>
      </w:r>
    </w:p>
    <w:p>
      <w:pPr>
        <w:pStyle w:val="Heading3"/>
        <w:spacing w:after="100" w:before="200"/>
      </w:pPr>
      <w:r>
        <w:t xml:space="preserve">Le risque de ne rien faire</w:t>
      </w:r>
    </w:p>
    <w:p>
      <w:pPr>
        <w:spacing w:after="120" w:line="276"/>
        <w:jc w:val="both"/>
      </w:pPr>
      <w:r>
        <w:rPr>
          <w:b w:val="false"/>
          <w:bCs w:val="false"/>
          <w:i w:val="false"/>
          <w:iCs w:val="false"/>
          <w:sz w:val="21"/>
          <w:szCs w:val="21"/>
        </w:rPr>
        <w:t xml:space="preserve">Sans registre unique, chaque campagne recommence à zéro, la pression se concentre sur les contribuables déjà connus — les entreprises formelles et les propriétaires identifiés — et le civisme fiscal se dégrade parce que l'inégalité devant l'impôt devient visible. La numérisation partielle produit alors l'effet inverse de celui recherché : plus de pression sur la même assiette étroite, au lieu d'un élargissement équitable.</w:t>
      </w:r>
    </w:p>
    <w:p>
      <w:pPr>
        <w:pStyle w:val="Heading1"/>
        <w:spacing w:after="160" w:before="360"/>
      </w:pPr>
      <w:r>
        <w:t xml:space="preserve">3. Vision du projet</w:t>
      </w:r>
    </w:p>
    <w:p>
      <w:pPr>
        <w:spacing w:after="120" w:line="276"/>
        <w:jc w:val="both"/>
      </w:pPr>
      <w:r>
        <w:rPr>
          <w:b w:val="false"/>
          <w:bCs w:val="false"/>
          <w:i w:val="false"/>
          <w:iCs w:val="false"/>
          <w:sz w:val="21"/>
          <w:szCs w:val="21"/>
        </w:rPr>
        <w:t xml:space="preserve">KINSHASA MOSOLO doit devenir l'infrastructure numérique par laquelle Kinshasa connaît, gère, protège et accroît ses recettes, et rend compte de leur emploi. La plateforme répond en permanence à sept questions, pour chaque objet et chaque obligation : qui ? quoi ? où ? quelle règle ? combien ? payé ? l'argent est-il arrivé sur le compte public et comptabilisé ?</w:t>
      </w:r>
    </w:p>
    <w:p>
      <w:pPr>
        <w:pStyle w:val="Heading3"/>
        <w:spacing w:after="100" w:before="200"/>
      </w:pPr>
      <w:r>
        <w:t xml:space="preserve">Chaîne opératoire</w:t>
      </w:r>
    </w:p>
    <w:p>
      <w:pPr>
        <w:spacing w:after="120" w:line="276"/>
        <w:jc w:val="center"/>
      </w:pPr>
      <w:r>
        <w:rPr>
          <w:b/>
          <w:bCs/>
          <w:i w:val="false"/>
          <w:iCs w:val="false"/>
          <w:sz w:val="21"/>
          <w:szCs w:val="21"/>
        </w:rPr>
        <w:t xml:space="preserve">RECENSER → IDENTIFIER → GÉOLOCALISER → QUALIFIER → CALCULER → NOTIFIER → PAYER → RAPPROCHER → QUITTANCER → CONTRÔLER → RECOUVRER → AUDITER → PLANIFIER</w:t>
      </w:r>
    </w:p>
    <w:p>
      <w:pPr>
        <w:spacing w:after="120" w:line="276"/>
        <w:jc w:val="both"/>
      </w:pPr>
      <w:r>
        <w:rPr>
          <w:b w:val="false"/>
          <w:bCs w:val="false"/>
          <w:i w:val="false"/>
          <w:iCs w:val="false"/>
          <w:sz w:val="21"/>
          <w:szCs w:val="21"/>
        </w:rPr>
        <w:t xml:space="preserve">Chaque maillon produit un événement horodaté, signé et inaltérable. Aucun maillon ne peut être sauté : il n'existe pas de quittance sans paiement confirmé, pas de paiement sans obligation liquidée, pas d'obligation sans règle validée, pas de règle sans texte en vigueur.</w:t>
      </w:r>
    </w:p>
    <w:p>
      <w:pPr>
        <w:pStyle w:val="Heading3"/>
        <w:spacing w:after="100" w:before="200"/>
      </w:pPr>
      <w:r>
        <w:t xml:space="preserve">Principes directeurs</w:t>
      </w:r>
    </w:p>
    <w:p>
      <w:pPr>
        <w:pStyle w:val="ListItem"/>
        <w:numPr>
          <w:ilvl w:val="0"/>
          <w:numId w:val="1"/>
        </w:numPr>
        <w:spacing w:after="60" w:line="264"/>
      </w:pPr>
      <w:r>
        <w:t xml:space="preserve">Souveraineté : la Ville est propriétaire des données, du référentiel et des clés ; aucune dépendance irréversible à un fournisseur.</w:t>
      </w:r>
    </w:p>
    <w:p>
      <w:pPr>
        <w:pStyle w:val="ListItem"/>
        <w:numPr>
          <w:ilvl w:val="0"/>
          <w:numId w:val="1"/>
        </w:numPr>
        <w:spacing w:after="60" w:line="264"/>
      </w:pPr>
      <w:r>
        <w:t xml:space="preserve">Légalité stricte : le système applique le droit, il ne le crée pas ; toute règle porte sa référence légale et son historique de versions.</w:t>
      </w:r>
    </w:p>
    <w:p>
      <w:pPr>
        <w:pStyle w:val="ListItem"/>
        <w:numPr>
          <w:ilvl w:val="0"/>
          <w:numId w:val="1"/>
        </w:numPr>
        <w:spacing w:after="60" w:line="264"/>
      </w:pPr>
      <w:r>
        <w:t xml:space="preserve">Un contribuable, un compte, plusieurs objets, plusieurs rôles.</w:t>
      </w:r>
    </w:p>
    <w:p>
      <w:pPr>
        <w:pStyle w:val="ListItem"/>
        <w:numPr>
          <w:ilvl w:val="0"/>
          <w:numId w:val="1"/>
        </w:numPr>
        <w:spacing w:after="60" w:line="264"/>
      </w:pPr>
      <w:r>
        <w:t xml:space="preserve">Preuve avant sanction : un signal analytique ouvre une vérification humaine, jamais une taxation automatique.</w:t>
      </w:r>
    </w:p>
    <w:p>
      <w:pPr>
        <w:pStyle w:val="ListItem"/>
        <w:numPr>
          <w:ilvl w:val="0"/>
          <w:numId w:val="1"/>
        </w:numPr>
        <w:spacing w:after="60" w:line="264"/>
      </w:pPr>
      <w:r>
        <w:t xml:space="preserve">Zéro espèces entre les mains de l'agent : l'agent constate et notifie, il n'encaisse pas.</w:t>
      </w:r>
    </w:p>
    <w:p>
      <w:pPr>
        <w:pStyle w:val="ListItem"/>
        <w:numPr>
          <w:ilvl w:val="0"/>
          <w:numId w:val="1"/>
        </w:numPr>
        <w:spacing w:after="60" w:line="264"/>
      </w:pPr>
      <w:r>
        <w:t xml:space="preserve">Hors ligne d'abord pour le terrain, temps réel pour le pilotage.</w:t>
      </w:r>
    </w:p>
    <w:p>
      <w:pPr>
        <w:pStyle w:val="ListItem"/>
        <w:numPr>
          <w:ilvl w:val="0"/>
          <w:numId w:val="1"/>
        </w:numPr>
        <w:spacing w:after="60" w:line="264"/>
      </w:pPr>
      <w:r>
        <w:t xml:space="preserve">Minimisation des données : on ne collecte que ce qui a une finalité administrative, fiscale ou de service légitime.</w:t>
      </w:r>
    </w:p>
    <w:p>
      <w:pPr>
        <w:pStyle w:val="ListItem"/>
        <w:numPr>
          <w:ilvl w:val="0"/>
          <w:numId w:val="1"/>
        </w:numPr>
        <w:spacing w:after="60" w:line="264"/>
      </w:pPr>
      <w:r>
        <w:t xml:space="preserve">Réversibilité : code source, données et procédures documentées et transférables à la Ville à tout moment.</w:t>
      </w:r>
    </w:p>
    <w:p>
      <w:pPr>
        <w:pStyle w:val="Heading1"/>
        <w:spacing w:after="160" w:before="360"/>
      </w:pPr>
      <w:r>
        <w:t xml:space="preserve">4. Énoncé du problème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995"/>
        <w:gridCol w:w="2808"/>
        <w:gridCol w:w="3557"/>
      </w:tblGrid>
      <w:tr>
        <w:trPr>
          <w:tblHeader/>
        </w:trPr>
        <w:tc>
          <w:tcPr>
            <w:tcW w:type="dxa" w:w="2995"/>
            <w:shd w:fill="E6F4F1" w:color="auto" w:val="clear"/>
            <w:tcMar>
              <w:top w:type="dxa" w:w="60"/>
              <w:left w:type="dxa" w:w="90"/>
              <w:bottom w:type="dxa" w:w="60"/>
              <w:right w:type="dxa" w:w="90"/>
            </w:tcMar>
          </w:tcPr>
          <w:p>
            <w:pPr>
              <w:spacing w:after="20" w:line="240"/>
            </w:pPr>
            <w:r>
              <w:rPr>
                <w:b/>
                <w:bCs/>
                <w:sz w:val="18"/>
                <w:szCs w:val="18"/>
              </w:rPr>
              <w:t xml:space="preserve">Problème constaté</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Effet sur les recettes</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Réponse MOSOLO</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Registre des contribuables incomplet et peu fiable (constat TADAT 2025)</w:t>
            </w:r>
          </w:p>
        </w:tc>
        <w:tc>
          <w:tcPr>
            <w:tcW w:type="dxa" w:w="2808"/>
            <w:tcMar>
              <w:top w:type="dxa" w:w="60"/>
              <w:left w:type="dxa" w:w="90"/>
              <w:bottom w:type="dxa" w:w="60"/>
              <w:right w:type="dxa" w:w="90"/>
            </w:tcMar>
          </w:tcPr>
          <w:p>
            <w:pPr>
              <w:spacing w:after="20" w:line="240"/>
            </w:pPr>
            <w:r>
              <w:rPr>
                <w:b w:val="false"/>
                <w:bCs w:val="false"/>
                <w:sz w:val="18"/>
                <w:szCs w:val="18"/>
              </w:rPr>
              <w:t xml:space="preserve">Assiette étroite, pression concentrée, inéquité</w:t>
            </w:r>
          </w:p>
        </w:tc>
        <w:tc>
          <w:tcPr>
            <w:tcW w:type="dxa" w:w="3557"/>
            <w:tcMar>
              <w:top w:type="dxa" w:w="60"/>
              <w:left w:type="dxa" w:w="90"/>
              <w:bottom w:type="dxa" w:w="60"/>
              <w:right w:type="dxa" w:w="90"/>
            </w:tcMar>
          </w:tcPr>
          <w:p>
            <w:pPr>
              <w:spacing w:after="20" w:line="240"/>
            </w:pPr>
            <w:r>
              <w:rPr>
                <w:b w:val="false"/>
                <w:bCs w:val="false"/>
                <w:sz w:val="18"/>
                <w:szCs w:val="18"/>
              </w:rPr>
              <w:t xml:space="preserve">Registre géofiscal par objet, identifiant unique, enrôlement continu</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Absence d'adresse fiscale géolocalisée généralisée</w:t>
            </w:r>
          </w:p>
        </w:tc>
        <w:tc>
          <w:tcPr>
            <w:tcW w:type="dxa" w:w="2808"/>
            <w:tcMar>
              <w:top w:type="dxa" w:w="60"/>
              <w:left w:type="dxa" w:w="90"/>
              <w:bottom w:type="dxa" w:w="60"/>
              <w:right w:type="dxa" w:w="90"/>
            </w:tcMar>
          </w:tcPr>
          <w:p>
            <w:pPr>
              <w:spacing w:after="20" w:line="240"/>
            </w:pPr>
            <w:r>
              <w:rPr>
                <w:b w:val="false"/>
                <w:bCs w:val="false"/>
                <w:sz w:val="18"/>
                <w:szCs w:val="18"/>
              </w:rPr>
              <w:t xml:space="preserve">Impossibilité de contrôler, de notifier et de prouver</w:t>
            </w:r>
          </w:p>
        </w:tc>
        <w:tc>
          <w:tcPr>
            <w:tcW w:type="dxa" w:w="3557"/>
            <w:tcMar>
              <w:top w:type="dxa" w:w="60"/>
              <w:left w:type="dxa" w:w="90"/>
              <w:bottom w:type="dxa" w:w="60"/>
              <w:right w:type="dxa" w:w="90"/>
            </w:tcMar>
          </w:tcPr>
          <w:p>
            <w:pPr>
              <w:spacing w:after="20" w:line="240"/>
            </w:pPr>
            <w:r>
              <w:rPr>
                <w:b w:val="false"/>
                <w:bCs w:val="false"/>
                <w:sz w:val="18"/>
                <w:szCs w:val="18"/>
              </w:rPr>
              <w:t xml:space="preserve">Identifiant géographique fiscal et code QR par objet</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Télépaiement non opérationnel</w:t>
            </w:r>
          </w:p>
        </w:tc>
        <w:tc>
          <w:tcPr>
            <w:tcW w:type="dxa" w:w="2808"/>
            <w:tcMar>
              <w:top w:type="dxa" w:w="60"/>
              <w:left w:type="dxa" w:w="90"/>
              <w:bottom w:type="dxa" w:w="60"/>
              <w:right w:type="dxa" w:w="90"/>
            </w:tcMar>
          </w:tcPr>
          <w:p>
            <w:pPr>
              <w:spacing w:after="20" w:line="240"/>
            </w:pPr>
            <w:r>
              <w:rPr>
                <w:b w:val="false"/>
                <w:bCs w:val="false"/>
                <w:sz w:val="18"/>
                <w:szCs w:val="18"/>
              </w:rPr>
              <w:t xml:space="preserve">Manipulations d'espèces, quittances non standardisées</w:t>
            </w:r>
          </w:p>
        </w:tc>
        <w:tc>
          <w:tcPr>
            <w:tcW w:type="dxa" w:w="3557"/>
            <w:tcMar>
              <w:top w:type="dxa" w:w="60"/>
              <w:left w:type="dxa" w:w="90"/>
              <w:bottom w:type="dxa" w:w="60"/>
              <w:right w:type="dxa" w:w="90"/>
            </w:tcMar>
          </w:tcPr>
          <w:p>
            <w:pPr>
              <w:spacing w:after="20" w:line="240"/>
            </w:pPr>
            <w:r>
              <w:rPr>
                <w:b w:val="false"/>
                <w:bCs w:val="false"/>
                <w:sz w:val="18"/>
                <w:szCs w:val="18"/>
              </w:rPr>
              <w:t xml:space="preserve">Orchestration multicanale vers comptes publics désignés</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Dispersion des bases entre services</w:t>
            </w:r>
          </w:p>
        </w:tc>
        <w:tc>
          <w:tcPr>
            <w:tcW w:type="dxa" w:w="2808"/>
            <w:tcMar>
              <w:top w:type="dxa" w:w="60"/>
              <w:left w:type="dxa" w:w="90"/>
              <w:bottom w:type="dxa" w:w="60"/>
              <w:right w:type="dxa" w:w="90"/>
            </w:tcMar>
          </w:tcPr>
          <w:p>
            <w:pPr>
              <w:spacing w:after="20" w:line="240"/>
            </w:pPr>
            <w:r>
              <w:rPr>
                <w:b w:val="false"/>
                <w:bCs w:val="false"/>
                <w:sz w:val="18"/>
                <w:szCs w:val="18"/>
              </w:rPr>
              <w:t xml:space="preserve">Double taxation, angles morts, statistiques non fiables</w:t>
            </w:r>
          </w:p>
        </w:tc>
        <w:tc>
          <w:tcPr>
            <w:tcW w:type="dxa" w:w="3557"/>
            <w:tcMar>
              <w:top w:type="dxa" w:w="60"/>
              <w:left w:type="dxa" w:w="90"/>
              <w:bottom w:type="dxa" w:w="60"/>
              <w:right w:type="dxa" w:w="90"/>
            </w:tcMar>
          </w:tcPr>
          <w:p>
            <w:pPr>
              <w:spacing w:after="20" w:line="240"/>
            </w:pPr>
            <w:r>
              <w:rPr>
                <w:b w:val="false"/>
                <w:bCs w:val="false"/>
                <w:sz w:val="18"/>
                <w:szCs w:val="18"/>
              </w:rPr>
              <w:t xml:space="preserve">Socle unique, interopérabilité par API, référentiel partagé</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Contribuable ne sachant ni quoi, ni combien, ni où payer</w:t>
            </w:r>
          </w:p>
        </w:tc>
        <w:tc>
          <w:tcPr>
            <w:tcW w:type="dxa" w:w="2808"/>
            <w:tcMar>
              <w:top w:type="dxa" w:w="60"/>
              <w:left w:type="dxa" w:w="90"/>
              <w:bottom w:type="dxa" w:w="60"/>
              <w:right w:type="dxa" w:w="90"/>
            </w:tcMar>
          </w:tcPr>
          <w:p>
            <w:pPr>
              <w:spacing w:after="20" w:line="240"/>
            </w:pPr>
            <w:r>
              <w:rPr>
                <w:b w:val="false"/>
                <w:bCs w:val="false"/>
                <w:sz w:val="18"/>
                <w:szCs w:val="18"/>
              </w:rPr>
              <w:t xml:space="preserve">Non-paiement par friction plutôt que par refus</w:t>
            </w:r>
          </w:p>
        </w:tc>
        <w:tc>
          <w:tcPr>
            <w:tcW w:type="dxa" w:w="3557"/>
            <w:tcMar>
              <w:top w:type="dxa" w:w="60"/>
              <w:left w:type="dxa" w:w="90"/>
              <w:bottom w:type="dxa" w:w="60"/>
              <w:right w:type="dxa" w:w="90"/>
            </w:tcMar>
          </w:tcPr>
          <w:p>
            <w:pPr>
              <w:spacing w:after="20" w:line="240"/>
            </w:pPr>
            <w:r>
              <w:rPr>
                <w:b w:val="false"/>
                <w:bCs w:val="false"/>
                <w:sz w:val="18"/>
                <w:szCs w:val="18"/>
              </w:rPr>
              <w:t xml:space="preserve">Espace unique, déclaration pré-remplie, échéancier, notifications</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Contrôle terrain sans données fiables</w:t>
            </w:r>
          </w:p>
        </w:tc>
        <w:tc>
          <w:tcPr>
            <w:tcW w:type="dxa" w:w="2808"/>
            <w:tcMar>
              <w:top w:type="dxa" w:w="60"/>
              <w:left w:type="dxa" w:w="90"/>
              <w:bottom w:type="dxa" w:w="60"/>
              <w:right w:type="dxa" w:w="90"/>
            </w:tcMar>
          </w:tcPr>
          <w:p>
            <w:pPr>
              <w:spacing w:after="20" w:line="240"/>
            </w:pPr>
            <w:r>
              <w:rPr>
                <w:b w:val="false"/>
                <w:bCs w:val="false"/>
                <w:sz w:val="18"/>
                <w:szCs w:val="18"/>
              </w:rPr>
              <w:t xml:space="preserve">Contrôles inefficaces, contestations, litiges</w:t>
            </w:r>
          </w:p>
        </w:tc>
        <w:tc>
          <w:tcPr>
            <w:tcW w:type="dxa" w:w="3557"/>
            <w:tcMar>
              <w:top w:type="dxa" w:w="60"/>
              <w:left w:type="dxa" w:w="90"/>
              <w:bottom w:type="dxa" w:w="60"/>
              <w:right w:type="dxa" w:w="90"/>
            </w:tcMar>
          </w:tcPr>
          <w:p>
            <w:pPr>
              <w:spacing w:after="20" w:line="240"/>
            </w:pPr>
            <w:r>
              <w:rPr>
                <w:b w:val="false"/>
                <w:bCs w:val="false"/>
                <w:sz w:val="18"/>
                <w:szCs w:val="18"/>
              </w:rPr>
              <w:t xml:space="preserve">Application terrain hors ligne, dossier d'inspection préparé, géorepérage</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Faiblesse du contrôle interne et audit interne non fonctionnel</w:t>
            </w:r>
          </w:p>
        </w:tc>
        <w:tc>
          <w:tcPr>
            <w:tcW w:type="dxa" w:w="2808"/>
            <w:tcMar>
              <w:top w:type="dxa" w:w="60"/>
              <w:left w:type="dxa" w:w="90"/>
              <w:bottom w:type="dxa" w:w="60"/>
              <w:right w:type="dxa" w:w="90"/>
            </w:tcMar>
          </w:tcPr>
          <w:p>
            <w:pPr>
              <w:spacing w:after="20" w:line="240"/>
            </w:pPr>
            <w:r>
              <w:rPr>
                <w:b w:val="false"/>
                <w:bCs w:val="false"/>
                <w:sz w:val="18"/>
                <w:szCs w:val="18"/>
              </w:rPr>
              <w:t xml:space="preserve">Déperdition difficile à prouver, impunité</w:t>
            </w:r>
          </w:p>
        </w:tc>
        <w:tc>
          <w:tcPr>
            <w:tcW w:type="dxa" w:w="3557"/>
            <w:tcMar>
              <w:top w:type="dxa" w:w="60"/>
              <w:left w:type="dxa" w:w="90"/>
              <w:bottom w:type="dxa" w:w="60"/>
              <w:right w:type="dxa" w:w="90"/>
            </w:tcMar>
          </w:tcPr>
          <w:p>
            <w:pPr>
              <w:spacing w:after="20" w:line="240"/>
            </w:pPr>
            <w:r>
              <w:rPr>
                <w:b w:val="false"/>
                <w:bCs w:val="false"/>
                <w:sz w:val="18"/>
                <w:szCs w:val="18"/>
              </w:rPr>
              <w:t xml:space="preserve">Journal en ajout seul, séparation des fonctions, accès auditeur indépendant</w:t>
            </w:r>
          </w:p>
        </w:tc>
      </w:tr>
      <w:tr>
        <w:trPr>
          <w:tblHeader w:val="false"/>
        </w:trPr>
        <w:tc>
          <w:tcPr>
            <w:tcW w:type="dxa" w:w="2995"/>
            <w:tcMar>
              <w:top w:type="dxa" w:w="60"/>
              <w:left w:type="dxa" w:w="90"/>
              <w:bottom w:type="dxa" w:w="60"/>
              <w:right w:type="dxa" w:w="90"/>
            </w:tcMar>
          </w:tcPr>
          <w:p>
            <w:pPr>
              <w:spacing w:after="20" w:line="240"/>
            </w:pPr>
            <w:r>
              <w:rPr>
                <w:b w:val="false"/>
                <w:bCs w:val="false"/>
                <w:sz w:val="18"/>
                <w:szCs w:val="18"/>
              </w:rPr>
              <w:t xml:space="preserve">Faible capacité de prévision</w:t>
            </w:r>
          </w:p>
        </w:tc>
        <w:tc>
          <w:tcPr>
            <w:tcW w:type="dxa" w:w="2808"/>
            <w:tcMar>
              <w:top w:type="dxa" w:w="60"/>
              <w:left w:type="dxa" w:w="90"/>
              <w:bottom w:type="dxa" w:w="60"/>
              <w:right w:type="dxa" w:w="90"/>
            </w:tcMar>
          </w:tcPr>
          <w:p>
            <w:pPr>
              <w:spacing w:after="20" w:line="240"/>
            </w:pPr>
            <w:r>
              <w:rPr>
                <w:b w:val="false"/>
                <w:bCs w:val="false"/>
                <w:sz w:val="18"/>
                <w:szCs w:val="18"/>
              </w:rPr>
              <w:t xml:space="preserve">Assignations non réalistes, pilotage à l'aveugle</w:t>
            </w:r>
          </w:p>
        </w:tc>
        <w:tc>
          <w:tcPr>
            <w:tcW w:type="dxa" w:w="3557"/>
            <w:tcMar>
              <w:top w:type="dxa" w:w="60"/>
              <w:left w:type="dxa" w:w="90"/>
              <w:bottom w:type="dxa" w:w="60"/>
              <w:right w:type="dxa" w:w="90"/>
            </w:tcMar>
          </w:tcPr>
          <w:p>
            <w:pPr>
              <w:spacing w:after="20" w:line="240"/>
            </w:pPr>
            <w:r>
              <w:rPr>
                <w:b w:val="false"/>
                <w:bCs w:val="false"/>
                <w:sz w:val="18"/>
                <w:szCs w:val="18"/>
              </w:rPr>
              <w:t xml:space="preserve">Modèle de potentiel par commune, catégorie et objet</w:t>
            </w:r>
          </w:p>
        </w:tc>
      </w:tr>
    </w:tbl>
    <w:p>
      <w:pPr>
        <w:pStyle w:val="Heading1"/>
        <w:spacing w:after="160" w:before="360"/>
      </w:pPr>
      <w:r>
        <w:t xml:space="preserve">5. Objectifs stratégiques</w:t>
      </w:r>
    </w:p>
    <w:p>
      <w:pPr>
        <w:spacing w:after="60" w:line="264"/>
        <w:ind w:left="360" w:hanging="260"/>
      </w:pPr>
      <w:r>
        <w:rPr>
          <w:b/>
          <w:bCs/>
          <w:sz w:val="21"/>
          <w:szCs w:val="21"/>
        </w:rPr>
        <w:t xml:space="preserve">1. </w:t>
      </w:r>
      <w:r>
        <w:rPr>
          <w:sz w:val="21"/>
          <w:szCs w:val="21"/>
        </w:rPr>
        <w:t xml:space="preserve">Constituer et maintenir un registre géolocalisé des objets générateurs de recettes de la Ville, commune par commune.</w:t>
      </w:r>
    </w:p>
    <w:p>
      <w:pPr>
        <w:spacing w:after="60" w:line="264"/>
        <w:ind w:left="360" w:hanging="260"/>
      </w:pPr>
      <w:r>
        <w:rPr>
          <w:b/>
          <w:bCs/>
          <w:sz w:val="21"/>
          <w:szCs w:val="21"/>
        </w:rPr>
        <w:t xml:space="preserve">2. </w:t>
      </w:r>
      <w:r>
        <w:rPr>
          <w:sz w:val="21"/>
          <w:szCs w:val="21"/>
        </w:rPr>
        <w:t xml:space="preserve">Attribuer une identité fiscale unique à chaque contribuable et rattacher tous ses objets et rôles à ce compte unique.</w:t>
      </w:r>
    </w:p>
    <w:p>
      <w:pPr>
        <w:spacing w:after="60" w:line="264"/>
        <w:ind w:left="360" w:hanging="260"/>
      </w:pPr>
      <w:r>
        <w:rPr>
          <w:b/>
          <w:bCs/>
          <w:sz w:val="21"/>
          <w:szCs w:val="21"/>
        </w:rPr>
        <w:t xml:space="preserve">3. </w:t>
      </w:r>
      <w:r>
        <w:rPr>
          <w:sz w:val="21"/>
          <w:szCs w:val="21"/>
        </w:rPr>
        <w:t xml:space="preserve">Fonder chaque obligation sur une règle validée, datée, référencée et versionnée, issue des textes en vigueur.</w:t>
      </w:r>
    </w:p>
    <w:p>
      <w:pPr>
        <w:spacing w:after="60" w:line="264"/>
        <w:ind w:left="360" w:hanging="260"/>
      </w:pPr>
      <w:r>
        <w:rPr>
          <w:b/>
          <w:bCs/>
          <w:sz w:val="21"/>
          <w:szCs w:val="21"/>
        </w:rPr>
        <w:t xml:space="preserve">4. </w:t>
      </w:r>
      <w:r>
        <w:rPr>
          <w:sz w:val="21"/>
          <w:szCs w:val="21"/>
        </w:rPr>
        <w:t xml:space="preserve">Porter la part des recettes provinciales encaissées par voie électronique à un niveau dominant dans un délai de dix-huit mois après le pilote.</w:t>
      </w:r>
    </w:p>
    <w:p>
      <w:pPr>
        <w:spacing w:after="60" w:line="264"/>
        <w:ind w:left="360" w:hanging="260"/>
      </w:pPr>
      <w:r>
        <w:rPr>
          <w:b/>
          <w:bCs/>
          <w:sz w:val="21"/>
          <w:szCs w:val="21"/>
        </w:rPr>
        <w:t xml:space="preserve">5. </w:t>
      </w:r>
      <w:r>
        <w:rPr>
          <w:sz w:val="21"/>
          <w:szCs w:val="21"/>
        </w:rPr>
        <w:t xml:space="preserve">Réduire le délai entre le paiement et la quittance à moins d'une minute, et entre le paiement et le rapprochement bancaire à moins de vingt-quatre heures.</w:t>
      </w:r>
    </w:p>
    <w:p>
      <w:pPr>
        <w:spacing w:after="60" w:line="264"/>
        <w:ind w:left="360" w:hanging="260"/>
      </w:pPr>
      <w:r>
        <w:rPr>
          <w:b/>
          <w:bCs/>
          <w:sz w:val="21"/>
          <w:szCs w:val="21"/>
        </w:rPr>
        <w:t xml:space="preserve">6. </w:t>
      </w:r>
      <w:r>
        <w:rPr>
          <w:sz w:val="21"/>
          <w:szCs w:val="21"/>
        </w:rPr>
        <w:t xml:space="preserve">Supprimer la manipulation d'espèces par les agents dans les circuits couverts par la plateforme.</w:t>
      </w:r>
    </w:p>
    <w:p>
      <w:pPr>
        <w:spacing w:after="60" w:line="264"/>
        <w:ind w:left="360" w:hanging="260"/>
      </w:pPr>
      <w:r>
        <w:rPr>
          <w:b/>
          <w:bCs/>
          <w:sz w:val="21"/>
          <w:szCs w:val="21"/>
        </w:rPr>
        <w:t xml:space="preserve">7. </w:t>
      </w:r>
      <w:r>
        <w:rPr>
          <w:sz w:val="21"/>
          <w:szCs w:val="21"/>
        </w:rPr>
        <w:t xml:space="preserve">Réduire la déperdition mesurable : paiements non rapprochés, quittances non appariées, annulations non justifiées, exonérations non fondées.</w:t>
      </w:r>
    </w:p>
    <w:p>
      <w:pPr>
        <w:spacing w:after="60" w:line="264"/>
        <w:ind w:left="360" w:hanging="260"/>
      </w:pPr>
      <w:r>
        <w:rPr>
          <w:b/>
          <w:bCs/>
          <w:sz w:val="21"/>
          <w:szCs w:val="21"/>
        </w:rPr>
        <w:t xml:space="preserve">8. </w:t>
      </w:r>
      <w:r>
        <w:rPr>
          <w:sz w:val="21"/>
          <w:szCs w:val="21"/>
        </w:rPr>
        <w:t xml:space="preserve">Fournir au Gouverneur et aux régies un pilotage en temps réel distinguant potentiel, constaté, encaissé, réglé, rapproché et disponible.</w:t>
      </w:r>
    </w:p>
    <w:p>
      <w:pPr>
        <w:spacing w:after="60" w:line="264"/>
        <w:ind w:left="360" w:hanging="260"/>
      </w:pPr>
      <w:r>
        <w:rPr>
          <w:b/>
          <w:bCs/>
          <w:sz w:val="21"/>
          <w:szCs w:val="21"/>
        </w:rPr>
        <w:t xml:space="preserve">9. </w:t>
      </w:r>
      <w:r>
        <w:rPr>
          <w:sz w:val="21"/>
          <w:szCs w:val="21"/>
        </w:rPr>
        <w:t xml:space="preserve">Documenter et publier le lien entre recettes encaissées et réalisations publiques par commune.</w:t>
      </w:r>
    </w:p>
    <w:p>
      <w:pPr>
        <w:spacing w:after="60" w:line="264"/>
        <w:ind w:left="360" w:hanging="260"/>
      </w:pPr>
      <w:r>
        <w:rPr>
          <w:b/>
          <w:bCs/>
          <w:sz w:val="21"/>
          <w:szCs w:val="21"/>
        </w:rPr>
        <w:t xml:space="preserve">10. </w:t>
      </w:r>
      <w:r>
        <w:rPr>
          <w:sz w:val="21"/>
          <w:szCs w:val="21"/>
        </w:rPr>
        <w:t xml:space="preserve">Renforcer la capacité des agents par un environnement de travail outillé, formé et évalué sur des résultats vérifiables.</w:t>
      </w:r>
    </w:p>
    <w:p>
      <w:pPr>
        <w:pStyle w:val="Heading1"/>
        <w:spacing w:after="160" w:before="360"/>
      </w:pPr>
      <w:r>
        <w:t xml:space="preserve">6. Analyse juridique et réglementaire</w:t>
      </w:r>
    </w:p>
    <w:p>
      <w:pPr>
        <w:spacing w:after="120" w:line="276"/>
        <w:jc w:val="both"/>
      </w:pPr>
      <w:r>
        <w:rPr>
          <w:b w:val="false"/>
          <w:bCs w:val="false"/>
          <w:i w:val="false"/>
          <w:iCs w:val="false"/>
          <w:sz w:val="21"/>
          <w:szCs w:val="21"/>
        </w:rPr>
        <w:t xml:space="preserve">Cette section établit le cadre dans lequel le référentiel de MOSOLO peut être publié. Elle distingue ce qui est établi, ce qui doit être vérifié auprès de l'autorité compétente avant toute mise en production, et ce qui exige un acte nouveau.</w:t>
      </w:r>
    </w:p>
    <w:p>
      <w:pPr>
        <w:pStyle w:val="Heading2"/>
        <w:spacing w:after="120" w:before="260"/>
      </w:pPr>
      <w:r>
        <w:t xml:space="preserve">6.1 Textes de référence identifiés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2995"/>
        <w:gridCol w:w="4118"/>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Texte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Objet</w:t>
            </w:r>
          </w:p>
        </w:tc>
        <w:tc>
          <w:tcPr>
            <w:tcW w:type="dxa" w:w="4118"/>
            <w:shd w:fill="E6F4F1" w:color="auto" w:val="clear"/>
            <w:tcMar>
              <w:top w:type="dxa" w:w="60"/>
              <w:left w:type="dxa" w:w="90"/>
              <w:bottom w:type="dxa" w:w="60"/>
              <w:right w:type="dxa" w:w="90"/>
            </w:tcMar>
          </w:tcPr>
          <w:p>
            <w:pPr>
              <w:spacing w:after="20" w:line="240"/>
            </w:pPr>
            <w:r>
              <w:rPr>
                <w:b/>
                <w:bCs/>
                <w:sz w:val="18"/>
                <w:szCs w:val="18"/>
              </w:rPr>
              <w:t xml:space="preserve">Statut et usage dans MOSOLO</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Constitution de la RDC, art. 204</w:t>
            </w:r>
          </w:p>
        </w:tc>
        <w:tc>
          <w:tcPr>
            <w:tcW w:type="dxa" w:w="2995"/>
            <w:tcMar>
              <w:top w:type="dxa" w:w="60"/>
              <w:left w:type="dxa" w:w="90"/>
              <w:bottom w:type="dxa" w:w="60"/>
              <w:right w:type="dxa" w:w="90"/>
            </w:tcMar>
          </w:tcPr>
          <w:p>
            <w:pPr>
              <w:spacing w:after="20" w:line="240"/>
            </w:pPr>
            <w:r>
              <w:rPr>
                <w:b w:val="false"/>
                <w:bCs w:val="false"/>
                <w:sz w:val="18"/>
                <w:szCs w:val="18"/>
              </w:rPr>
              <w:t xml:space="preserve">Compétences exclusives des provinces, dont les impôts cédés (point 16)</w:t>
            </w:r>
          </w:p>
        </w:tc>
        <w:tc>
          <w:tcPr>
            <w:tcW w:type="dxa" w:w="4118"/>
            <w:tcMar>
              <w:top w:type="dxa" w:w="60"/>
              <w:left w:type="dxa" w:w="90"/>
              <w:bottom w:type="dxa" w:w="60"/>
              <w:right w:type="dxa" w:w="90"/>
            </w:tcMar>
          </w:tcPr>
          <w:p>
            <w:pPr>
              <w:spacing w:after="20" w:line="240"/>
            </w:pPr>
            <w:r>
              <w:rPr>
                <w:b w:val="false"/>
                <w:bCs w:val="false"/>
                <w:sz w:val="18"/>
                <w:szCs w:val="18"/>
              </w:rPr>
              <w:t xml:space="preserve">Fondement constitutionnel des quatre impôts provinciaux</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Ordonnance-loi n° 18/004 du 13 mars 2018</w:t>
            </w:r>
          </w:p>
        </w:tc>
        <w:tc>
          <w:tcPr>
            <w:tcW w:type="dxa" w:w="2995"/>
            <w:tcMar>
              <w:top w:type="dxa" w:w="60"/>
              <w:left w:type="dxa" w:w="90"/>
              <w:bottom w:type="dxa" w:w="60"/>
              <w:right w:type="dxa" w:w="90"/>
            </w:tcMar>
          </w:tcPr>
          <w:p>
            <w:pPr>
              <w:spacing w:after="20" w:line="240"/>
            </w:pPr>
            <w:r>
              <w:rPr>
                <w:b w:val="false"/>
                <w:bCs w:val="false"/>
                <w:sz w:val="18"/>
                <w:szCs w:val="18"/>
              </w:rPr>
              <w:t xml:space="preserve">Nomenclature des impôts, droits, taxes et redevances de la province et de l'ETD, modalités de répartition</w:t>
            </w:r>
          </w:p>
        </w:tc>
        <w:tc>
          <w:tcPr>
            <w:tcW w:type="dxa" w:w="4118"/>
            <w:tcMar>
              <w:top w:type="dxa" w:w="60"/>
              <w:left w:type="dxa" w:w="90"/>
              <w:bottom w:type="dxa" w:w="60"/>
              <w:right w:type="dxa" w:w="90"/>
            </w:tcMar>
          </w:tcPr>
          <w:p>
            <w:pPr>
              <w:spacing w:after="20" w:line="240"/>
            </w:pPr>
            <w:r>
              <w:rPr>
                <w:b w:val="false"/>
                <w:bCs w:val="false"/>
                <w:sz w:val="18"/>
                <w:szCs w:val="18"/>
              </w:rPr>
              <w:t xml:space="preserve">Base normative du référentiel MOSOLO ; abroge l'Ordonnance-loi n° 13/001 du 23 février 2013</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Ordonnance-loi n° 18/003 du 13 mars 2018</w:t>
            </w:r>
          </w:p>
        </w:tc>
        <w:tc>
          <w:tcPr>
            <w:tcW w:type="dxa" w:w="2995"/>
            <w:tcMar>
              <w:top w:type="dxa" w:w="60"/>
              <w:left w:type="dxa" w:w="90"/>
              <w:bottom w:type="dxa" w:w="60"/>
              <w:right w:type="dxa" w:w="90"/>
            </w:tcMar>
          </w:tcPr>
          <w:p>
            <w:pPr>
              <w:spacing w:after="20" w:line="240"/>
            </w:pPr>
            <w:r>
              <w:rPr>
                <w:b w:val="false"/>
                <w:bCs w:val="false"/>
                <w:sz w:val="18"/>
                <w:szCs w:val="18"/>
              </w:rPr>
              <w:t xml:space="preserve">Nomenclature des droits, taxes et redevances du pouvoir central</w:t>
            </w:r>
          </w:p>
        </w:tc>
        <w:tc>
          <w:tcPr>
            <w:tcW w:type="dxa" w:w="4118"/>
            <w:tcMar>
              <w:top w:type="dxa" w:w="60"/>
              <w:left w:type="dxa" w:w="90"/>
              <w:bottom w:type="dxa" w:w="60"/>
              <w:right w:type="dxa" w:w="90"/>
            </w:tcMar>
          </w:tcPr>
          <w:p>
            <w:pPr>
              <w:spacing w:after="20" w:line="240"/>
            </w:pPr>
            <w:r>
              <w:rPr>
                <w:b w:val="false"/>
                <w:bCs w:val="false"/>
                <w:sz w:val="18"/>
                <w:szCs w:val="18"/>
              </w:rPr>
              <w:t xml:space="preserve">Sert à exclure du périmètre provincial les recettes centrales et éviter les doublons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Ordonnance-loi n° 69/006 du 10 février 1969</w:t>
            </w:r>
          </w:p>
        </w:tc>
        <w:tc>
          <w:tcPr>
            <w:tcW w:type="dxa" w:w="2995"/>
            <w:tcMar>
              <w:top w:type="dxa" w:w="60"/>
              <w:left w:type="dxa" w:w="90"/>
              <w:bottom w:type="dxa" w:w="60"/>
              <w:right w:type="dxa" w:w="90"/>
            </w:tcMar>
          </w:tcPr>
          <w:p>
            <w:pPr>
              <w:spacing w:after="20" w:line="240"/>
            </w:pPr>
            <w:r>
              <w:rPr>
                <w:b w:val="false"/>
                <w:bCs w:val="false"/>
                <w:sz w:val="18"/>
                <w:szCs w:val="18"/>
              </w:rPr>
              <w:t xml:space="preserve">Impôts réels (foncier, véhicules, superficie des concessions)</w:t>
            </w:r>
          </w:p>
        </w:tc>
        <w:tc>
          <w:tcPr>
            <w:tcW w:type="dxa" w:w="4118"/>
            <w:tcMar>
              <w:top w:type="dxa" w:w="60"/>
              <w:left w:type="dxa" w:w="90"/>
              <w:bottom w:type="dxa" w:w="60"/>
              <w:right w:type="dxa" w:w="90"/>
            </w:tcMar>
          </w:tcPr>
          <w:p>
            <w:pPr>
              <w:spacing w:after="20" w:line="240"/>
            </w:pPr>
            <w:r>
              <w:rPr>
                <w:b w:val="false"/>
                <w:bCs w:val="false"/>
                <w:sz w:val="18"/>
                <w:szCs w:val="18"/>
              </w:rPr>
              <w:t xml:space="preserve">Base historique de l'IF et de l'impôt sur les véhicules ; vérifier les modifications successives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Ordonnance-loi n° 69/009 du 10 février 1969</w:t>
            </w:r>
          </w:p>
        </w:tc>
        <w:tc>
          <w:tcPr>
            <w:tcW w:type="dxa" w:w="2995"/>
            <w:tcMar>
              <w:top w:type="dxa" w:w="60"/>
              <w:left w:type="dxa" w:w="90"/>
              <w:bottom w:type="dxa" w:w="60"/>
              <w:right w:type="dxa" w:w="90"/>
            </w:tcMar>
          </w:tcPr>
          <w:p>
            <w:pPr>
              <w:spacing w:after="20" w:line="240"/>
            </w:pPr>
            <w:r>
              <w:rPr>
                <w:b w:val="false"/>
                <w:bCs w:val="false"/>
                <w:sz w:val="18"/>
                <w:szCs w:val="18"/>
              </w:rPr>
              <w:t xml:space="preserve">Impôts cédulaires sur les revenus</w:t>
            </w:r>
          </w:p>
        </w:tc>
        <w:tc>
          <w:tcPr>
            <w:tcW w:type="dxa" w:w="4118"/>
            <w:tcMar>
              <w:top w:type="dxa" w:w="60"/>
              <w:left w:type="dxa" w:w="90"/>
              <w:bottom w:type="dxa" w:w="60"/>
              <w:right w:type="dxa" w:w="90"/>
            </w:tcMar>
          </w:tcPr>
          <w:p>
            <w:pPr>
              <w:spacing w:after="20" w:line="240"/>
            </w:pPr>
            <w:r>
              <w:rPr>
                <w:b w:val="false"/>
                <w:bCs w:val="false"/>
                <w:sz w:val="18"/>
                <w:szCs w:val="18"/>
              </w:rPr>
              <w:t xml:space="preserve">Base historique de l'IRL ; vérifier les modifications successives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Loi n° 11/011 du 13 juillet 2011 (LOFIP)</w:t>
            </w:r>
          </w:p>
        </w:tc>
        <w:tc>
          <w:tcPr>
            <w:tcW w:type="dxa" w:w="2995"/>
            <w:tcMar>
              <w:top w:type="dxa" w:w="60"/>
              <w:left w:type="dxa" w:w="90"/>
              <w:bottom w:type="dxa" w:w="60"/>
              <w:right w:type="dxa" w:w="90"/>
            </w:tcMar>
          </w:tcPr>
          <w:p>
            <w:pPr>
              <w:spacing w:after="20" w:line="240"/>
            </w:pPr>
            <w:r>
              <w:rPr>
                <w:b w:val="false"/>
                <w:bCs w:val="false"/>
                <w:sz w:val="18"/>
                <w:szCs w:val="18"/>
              </w:rPr>
              <w:t xml:space="preserve">Finances publiques : budget, comptabilité, trésorerie, contrôle</w:t>
            </w:r>
          </w:p>
        </w:tc>
        <w:tc>
          <w:tcPr>
            <w:tcW w:type="dxa" w:w="4118"/>
            <w:tcMar>
              <w:top w:type="dxa" w:w="60"/>
              <w:left w:type="dxa" w:w="90"/>
              <w:bottom w:type="dxa" w:w="60"/>
              <w:right w:type="dxa" w:w="90"/>
            </w:tcMar>
          </w:tcPr>
          <w:p>
            <w:pPr>
              <w:spacing w:after="20" w:line="240"/>
            </w:pPr>
            <w:r>
              <w:rPr>
                <w:b w:val="false"/>
                <w:bCs w:val="false"/>
                <w:sz w:val="18"/>
                <w:szCs w:val="18"/>
              </w:rPr>
              <w:t xml:space="preserve">Encadre le circuit des fonds, l'exécution budgétaire et la comptabilisation</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Édits budgétaires annuels de la Ville de Kinshasa</w:t>
            </w:r>
          </w:p>
        </w:tc>
        <w:tc>
          <w:tcPr>
            <w:tcW w:type="dxa" w:w="2995"/>
            <w:tcMar>
              <w:top w:type="dxa" w:w="60"/>
              <w:left w:type="dxa" w:w="90"/>
              <w:bottom w:type="dxa" w:w="60"/>
              <w:right w:type="dxa" w:w="90"/>
            </w:tcMar>
          </w:tcPr>
          <w:p>
            <w:pPr>
              <w:spacing w:after="20" w:line="240"/>
            </w:pPr>
            <w:r>
              <w:rPr>
                <w:b w:val="false"/>
                <w:bCs w:val="false"/>
                <w:sz w:val="18"/>
                <w:szCs w:val="18"/>
              </w:rPr>
              <w:t xml:space="preserve">Taux, innovations et règles de perception provinciales</w:t>
            </w:r>
          </w:p>
        </w:tc>
        <w:tc>
          <w:tcPr>
            <w:tcW w:type="dxa" w:w="4118"/>
            <w:tcMar>
              <w:top w:type="dxa" w:w="60"/>
              <w:left w:type="dxa" w:w="90"/>
              <w:bottom w:type="dxa" w:w="60"/>
              <w:right w:type="dxa" w:w="90"/>
            </w:tcMar>
          </w:tcPr>
          <w:p>
            <w:pPr>
              <w:spacing w:after="20" w:line="240"/>
            </w:pPr>
            <w:r>
              <w:rPr>
                <w:b w:val="false"/>
                <w:bCs w:val="false"/>
                <w:sz w:val="18"/>
                <w:szCs w:val="18"/>
              </w:rPr>
              <w:t xml:space="preserve">Source des taux applicables et des extensions d'assiette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Arrêtés du ministre provincial des Finances</w:t>
            </w:r>
          </w:p>
        </w:tc>
        <w:tc>
          <w:tcPr>
            <w:tcW w:type="dxa" w:w="2995"/>
            <w:tcMar>
              <w:top w:type="dxa" w:w="60"/>
              <w:left w:type="dxa" w:w="90"/>
              <w:bottom w:type="dxa" w:w="60"/>
              <w:right w:type="dxa" w:w="90"/>
            </w:tcMar>
          </w:tcPr>
          <w:p>
            <w:pPr>
              <w:spacing w:after="20" w:line="240"/>
            </w:pPr>
            <w:r>
              <w:rPr>
                <w:b w:val="false"/>
                <w:bCs w:val="false"/>
                <w:sz w:val="18"/>
                <w:szCs w:val="18"/>
              </w:rPr>
              <w:t xml:space="preserve">Fixation des taux IF et IRL, modalités de perception</w:t>
            </w:r>
          </w:p>
        </w:tc>
        <w:tc>
          <w:tcPr>
            <w:tcW w:type="dxa" w:w="4118"/>
            <w:tcMar>
              <w:top w:type="dxa" w:w="60"/>
              <w:left w:type="dxa" w:w="90"/>
              <w:bottom w:type="dxa" w:w="60"/>
              <w:right w:type="dxa" w:w="90"/>
            </w:tcMar>
          </w:tcPr>
          <w:p>
            <w:pPr>
              <w:spacing w:after="20" w:line="240"/>
            </w:pPr>
            <w:r>
              <w:rPr>
                <w:b w:val="false"/>
                <w:bCs w:val="false"/>
                <w:sz w:val="18"/>
                <w:szCs w:val="18"/>
              </w:rPr>
              <w:t xml:space="preserve">Source directe des barèmes intégrés au référentiel</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Ordonnance-loi n° 23/010 du 13 mars 2023 (Code du numérique)</w:t>
            </w:r>
          </w:p>
        </w:tc>
        <w:tc>
          <w:tcPr>
            <w:tcW w:type="dxa" w:w="2995"/>
            <w:tcMar>
              <w:top w:type="dxa" w:w="60"/>
              <w:left w:type="dxa" w:w="90"/>
              <w:bottom w:type="dxa" w:w="60"/>
              <w:right w:type="dxa" w:w="90"/>
            </w:tcMar>
          </w:tcPr>
          <w:p>
            <w:pPr>
              <w:spacing w:after="20" w:line="240"/>
            </w:pPr>
            <w:r>
              <w:rPr>
                <w:b w:val="false"/>
                <w:bCs w:val="false"/>
                <w:sz w:val="18"/>
                <w:szCs w:val="18"/>
              </w:rPr>
              <w:t xml:space="preserve">Numérique, données personnelles, transactions électroniques</w:t>
            </w:r>
          </w:p>
        </w:tc>
        <w:tc>
          <w:tcPr>
            <w:tcW w:type="dxa" w:w="4118"/>
            <w:tcMar>
              <w:top w:type="dxa" w:w="60"/>
              <w:left w:type="dxa" w:w="90"/>
              <w:bottom w:type="dxa" w:w="60"/>
              <w:right w:type="dxa" w:w="90"/>
            </w:tcMar>
          </w:tcPr>
          <w:p>
            <w:pPr>
              <w:spacing w:after="20" w:line="240"/>
            </w:pPr>
            <w:r>
              <w:rPr>
                <w:b w:val="false"/>
                <w:bCs w:val="false"/>
                <w:sz w:val="18"/>
                <w:szCs w:val="18"/>
              </w:rPr>
              <w:t xml:space="preserve">Cadre de protection des données et de la signature électronique, à confirmer dans son détail</w:t>
            </w:r>
          </w:p>
        </w:tc>
      </w:tr>
    </w:tbl>
    <w:p>
      <w:pPr>
        <w:pBdr>
          <w:left w:val="single" w:color="1BA996" w:sz="18" w:space="8"/>
        </w:pBdr>
        <w:spacing w:after="160" w:before="120" w:line="264"/>
        <w:ind w:left="180"/>
      </w:pPr>
      <w:r>
        <w:rPr>
          <w:b/>
          <w:bCs/>
          <w:color w:val="10262C"/>
          <w:sz w:val="20"/>
          <w:szCs w:val="20"/>
        </w:rPr>
        <w:t xml:space="preserve">À vérifier avant toute utilisation. </w:t>
      </w:r>
      <w:r>
        <w:rPr>
          <w:sz w:val="20"/>
          <w:szCs w:val="20"/>
        </w:rPr>
        <w:t xml:space="preserve">Deux références citées dans la commande initiale n'ont pas pu être confirmées en l'état : la Loi n° 18/014 du 9 juillet 2018, dont l'objet doit être établi au Journal officiel avant d'être invoquée, et le statut consolidé des ordonnances-lois de 1969 après leurs modifications successives. Le service juridique provincial doit produire un relevé certifié avant le paramétrage du référentiel.</w:t>
      </w:r>
    </w:p>
    <w:p>
      <w:pPr>
        <w:pStyle w:val="Heading2"/>
        <w:spacing w:after="120" w:before="260"/>
      </w:pPr>
      <w:r>
        <w:t xml:space="preserve">6.2 Règle d'or du référentiel</w:t>
      </w:r>
    </w:p>
    <w:p>
      <w:pPr>
        <w:spacing w:after="120" w:line="276"/>
        <w:jc w:val="both"/>
      </w:pPr>
      <w:r>
        <w:rPr>
          <w:b w:val="false"/>
          <w:bCs w:val="false"/>
          <w:i w:val="false"/>
          <w:iCs w:val="false"/>
          <w:sz w:val="21"/>
          <w:szCs w:val="21"/>
        </w:rPr>
        <w:t xml:space="preserve">Aucune recette n'est activable dans MOSOLO sans une fiche complète, validée par le service juridique provincial et approuvée par l'autorité compétente. La fiche comporte obligatoirement :</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4118"/>
        <w:gridCol w:w="2808"/>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Champ</w:t>
            </w:r>
          </w:p>
        </w:tc>
        <w:tc>
          <w:tcPr>
            <w:tcW w:type="dxa" w:w="4118"/>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Contrôle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Référence légale et article</w:t>
            </w:r>
          </w:p>
        </w:tc>
        <w:tc>
          <w:tcPr>
            <w:tcW w:type="dxa" w:w="4118"/>
            <w:tcMar>
              <w:top w:type="dxa" w:w="60"/>
              <w:left w:type="dxa" w:w="90"/>
              <w:bottom w:type="dxa" w:w="60"/>
              <w:right w:type="dxa" w:w="90"/>
            </w:tcMar>
          </w:tcPr>
          <w:p>
            <w:pPr>
              <w:spacing w:after="20" w:line="240"/>
            </w:pPr>
            <w:r>
              <w:rPr>
                <w:b w:val="false"/>
                <w:bCs w:val="false"/>
                <w:sz w:val="18"/>
                <w:szCs w:val="18"/>
              </w:rPr>
              <w:t xml:space="preserve">Texte, numéro, date, article précis</w:t>
            </w:r>
          </w:p>
        </w:tc>
        <w:tc>
          <w:tcPr>
            <w:tcW w:type="dxa" w:w="2808"/>
            <w:tcMar>
              <w:top w:type="dxa" w:w="60"/>
              <w:left w:type="dxa" w:w="90"/>
              <w:bottom w:type="dxa" w:w="60"/>
              <w:right w:type="dxa" w:w="90"/>
            </w:tcMar>
          </w:tcPr>
          <w:p>
            <w:pPr>
              <w:spacing w:after="20" w:line="240"/>
            </w:pPr>
            <w:r>
              <w:rPr>
                <w:b w:val="false"/>
                <w:bCs w:val="false"/>
                <w:sz w:val="18"/>
                <w:szCs w:val="18"/>
              </w:rPr>
              <w:t xml:space="preserve">Bloquant : pas de fiche sans texte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Autorité compétente</w:t>
            </w:r>
          </w:p>
        </w:tc>
        <w:tc>
          <w:tcPr>
            <w:tcW w:type="dxa" w:w="4118"/>
            <w:tcMar>
              <w:top w:type="dxa" w:w="60"/>
              <w:left w:type="dxa" w:w="90"/>
              <w:bottom w:type="dxa" w:w="60"/>
              <w:right w:type="dxa" w:w="90"/>
            </w:tcMar>
          </w:tcPr>
          <w:p>
            <w:pPr>
              <w:spacing w:after="20" w:line="240"/>
            </w:pPr>
            <w:r>
              <w:rPr>
                <w:b w:val="false"/>
                <w:bCs w:val="false"/>
                <w:sz w:val="18"/>
                <w:szCs w:val="18"/>
              </w:rPr>
              <w:t xml:space="preserve">Régie ou service d'assiette légalement responsable</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Fait générateur</w:t>
            </w:r>
          </w:p>
        </w:tc>
        <w:tc>
          <w:tcPr>
            <w:tcW w:type="dxa" w:w="4118"/>
            <w:tcMar>
              <w:top w:type="dxa" w:w="60"/>
              <w:left w:type="dxa" w:w="90"/>
              <w:bottom w:type="dxa" w:w="60"/>
              <w:right w:type="dxa" w:w="90"/>
            </w:tcMar>
          </w:tcPr>
          <w:p>
            <w:pPr>
              <w:spacing w:after="20" w:line="240"/>
            </w:pPr>
            <w:r>
              <w:rPr>
                <w:b w:val="false"/>
                <w:bCs w:val="false"/>
                <w:sz w:val="18"/>
                <w:szCs w:val="18"/>
              </w:rPr>
              <w:t xml:space="preserve">Événement qui crée l'obligation</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Catégorie d'assujetti</w:t>
            </w:r>
          </w:p>
        </w:tc>
        <w:tc>
          <w:tcPr>
            <w:tcW w:type="dxa" w:w="4118"/>
            <w:tcMar>
              <w:top w:type="dxa" w:w="60"/>
              <w:left w:type="dxa" w:w="90"/>
              <w:bottom w:type="dxa" w:w="60"/>
              <w:right w:type="dxa" w:w="90"/>
            </w:tcMar>
          </w:tcPr>
          <w:p>
            <w:pPr>
              <w:spacing w:after="20" w:line="240"/>
            </w:pPr>
            <w:r>
              <w:rPr>
                <w:b w:val="false"/>
                <w:bCs w:val="false"/>
                <w:sz w:val="18"/>
                <w:szCs w:val="18"/>
              </w:rPr>
              <w:t xml:space="preserve">Personnes concernées et exclusions</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Base de calcul et formule</w:t>
            </w:r>
          </w:p>
        </w:tc>
        <w:tc>
          <w:tcPr>
            <w:tcW w:type="dxa" w:w="4118"/>
            <w:tcMar>
              <w:top w:type="dxa" w:w="60"/>
              <w:left w:type="dxa" w:w="90"/>
              <w:bottom w:type="dxa" w:w="60"/>
              <w:right w:type="dxa" w:w="90"/>
            </w:tcMar>
          </w:tcPr>
          <w:p>
            <w:pPr>
              <w:spacing w:after="20" w:line="240"/>
            </w:pPr>
            <w:r>
              <w:rPr>
                <w:b w:val="false"/>
                <w:bCs w:val="false"/>
                <w:sz w:val="18"/>
                <w:szCs w:val="18"/>
              </w:rPr>
              <w:t xml:space="preserve">Assiette officielle et mode de calcul</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Taux ou tarif, devise</w:t>
            </w:r>
          </w:p>
        </w:tc>
        <w:tc>
          <w:tcPr>
            <w:tcW w:type="dxa" w:w="4118"/>
            <w:tcMar>
              <w:top w:type="dxa" w:w="60"/>
              <w:left w:type="dxa" w:w="90"/>
              <w:bottom w:type="dxa" w:w="60"/>
              <w:right w:type="dxa" w:w="90"/>
            </w:tcMar>
          </w:tcPr>
          <w:p>
            <w:pPr>
              <w:spacing w:after="20" w:line="240"/>
            </w:pPr>
            <w:r>
              <w:rPr>
                <w:b w:val="false"/>
                <w:bCs w:val="false"/>
                <w:sz w:val="18"/>
                <w:szCs w:val="18"/>
              </w:rPr>
              <w:t xml:space="preserve">Valeur, unité, devise, arrondi</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Périodicité et échéance</w:t>
            </w:r>
          </w:p>
        </w:tc>
        <w:tc>
          <w:tcPr>
            <w:tcW w:type="dxa" w:w="4118"/>
            <w:tcMar>
              <w:top w:type="dxa" w:w="60"/>
              <w:left w:type="dxa" w:w="90"/>
              <w:bottom w:type="dxa" w:w="60"/>
              <w:right w:type="dxa" w:w="90"/>
            </w:tcMar>
          </w:tcPr>
          <w:p>
            <w:pPr>
              <w:spacing w:after="20" w:line="240"/>
            </w:pPr>
            <w:r>
              <w:rPr>
                <w:b w:val="false"/>
                <w:bCs w:val="false"/>
                <w:sz w:val="18"/>
                <w:szCs w:val="18"/>
              </w:rPr>
              <w:t xml:space="preserve">Fréquence, date limite, tolérance</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Exonérations</w:t>
            </w:r>
          </w:p>
        </w:tc>
        <w:tc>
          <w:tcPr>
            <w:tcW w:type="dxa" w:w="4118"/>
            <w:tcMar>
              <w:top w:type="dxa" w:w="60"/>
              <w:left w:type="dxa" w:w="90"/>
              <w:bottom w:type="dxa" w:w="60"/>
              <w:right w:type="dxa" w:w="90"/>
            </w:tcMar>
          </w:tcPr>
          <w:p>
            <w:pPr>
              <w:spacing w:after="20" w:line="240"/>
            </w:pPr>
            <w:r>
              <w:rPr>
                <w:b w:val="false"/>
                <w:bCs w:val="false"/>
                <w:sz w:val="18"/>
                <w:szCs w:val="18"/>
              </w:rPr>
              <w:t xml:space="preserve">Cas légaux d'exonération et preuve exigée</w:t>
            </w:r>
          </w:p>
        </w:tc>
        <w:tc>
          <w:tcPr>
            <w:tcW w:type="dxa" w:w="2808"/>
            <w:tcMar>
              <w:top w:type="dxa" w:w="60"/>
              <w:left w:type="dxa" w:w="90"/>
              <w:bottom w:type="dxa" w:w="60"/>
              <w:right w:type="dxa" w:w="90"/>
            </w:tcMar>
          </w:tcPr>
          <w:p>
            <w:pPr>
              <w:spacing w:after="20" w:line="240"/>
            </w:pPr>
            <w:r>
              <w:rPr>
                <w:b w:val="false"/>
                <w:bCs w:val="false"/>
                <w:sz w:val="18"/>
                <w:szCs w:val="18"/>
              </w:rPr>
              <w:t xml:space="preserve">Obligatoire si applicable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Pénalités</w:t>
            </w:r>
          </w:p>
        </w:tc>
        <w:tc>
          <w:tcPr>
            <w:tcW w:type="dxa" w:w="4118"/>
            <w:tcMar>
              <w:top w:type="dxa" w:w="60"/>
              <w:left w:type="dxa" w:w="90"/>
              <w:bottom w:type="dxa" w:w="60"/>
              <w:right w:type="dxa" w:w="90"/>
            </w:tcMar>
          </w:tcPr>
          <w:p>
            <w:pPr>
              <w:spacing w:after="20" w:line="240"/>
            </w:pPr>
            <w:r>
              <w:rPr>
                <w:b w:val="false"/>
                <w:bCs w:val="false"/>
                <w:sz w:val="18"/>
                <w:szCs w:val="18"/>
              </w:rPr>
              <w:t xml:space="preserve">Nature, taux, plafond, base légale</w:t>
            </w:r>
          </w:p>
        </w:tc>
        <w:tc>
          <w:tcPr>
            <w:tcW w:type="dxa" w:w="2808"/>
            <w:tcMar>
              <w:top w:type="dxa" w:w="60"/>
              <w:left w:type="dxa" w:w="90"/>
              <w:bottom w:type="dxa" w:w="60"/>
              <w:right w:type="dxa" w:w="90"/>
            </w:tcMar>
          </w:tcPr>
          <w:p>
            <w:pPr>
              <w:spacing w:after="20" w:line="240"/>
            </w:pPr>
            <w:r>
              <w:rPr>
                <w:b w:val="false"/>
                <w:bCs w:val="false"/>
                <w:sz w:val="18"/>
                <w:szCs w:val="18"/>
              </w:rPr>
              <w:t xml:space="preserve">Obligatoire si applicable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Compte public bénéficiaire</w:t>
            </w:r>
          </w:p>
        </w:tc>
        <w:tc>
          <w:tcPr>
            <w:tcW w:type="dxa" w:w="4118"/>
            <w:tcMar>
              <w:top w:type="dxa" w:w="60"/>
              <w:left w:type="dxa" w:w="90"/>
              <w:bottom w:type="dxa" w:w="60"/>
              <w:right w:type="dxa" w:w="90"/>
            </w:tcMar>
          </w:tcPr>
          <w:p>
            <w:pPr>
              <w:spacing w:after="20" w:line="240"/>
            </w:pPr>
            <w:r>
              <w:rPr>
                <w:b w:val="false"/>
                <w:bCs w:val="false"/>
                <w:sz w:val="18"/>
                <w:szCs w:val="18"/>
              </w:rPr>
              <w:t xml:space="preserve">Compte désigné, verrouillé, double validation pour modification</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Entrée en vigueur et fin</w:t>
            </w:r>
          </w:p>
        </w:tc>
        <w:tc>
          <w:tcPr>
            <w:tcW w:type="dxa" w:w="4118"/>
            <w:tcMar>
              <w:top w:type="dxa" w:w="60"/>
              <w:left w:type="dxa" w:w="90"/>
              <w:bottom w:type="dxa" w:w="60"/>
              <w:right w:type="dxa" w:w="90"/>
            </w:tcMar>
          </w:tcPr>
          <w:p>
            <w:pPr>
              <w:spacing w:after="20" w:line="240"/>
            </w:pPr>
            <w:r>
              <w:rPr>
                <w:b w:val="false"/>
                <w:bCs w:val="false"/>
                <w:sz w:val="18"/>
                <w:szCs w:val="18"/>
              </w:rPr>
              <w:t xml:space="preserve">Dates d'application, texte abrogatoire éventuel</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Voie de recours</w:t>
            </w:r>
          </w:p>
        </w:tc>
        <w:tc>
          <w:tcPr>
            <w:tcW w:type="dxa" w:w="4118"/>
            <w:tcMar>
              <w:top w:type="dxa" w:w="60"/>
              <w:left w:type="dxa" w:w="90"/>
              <w:bottom w:type="dxa" w:w="60"/>
              <w:right w:type="dxa" w:w="90"/>
            </w:tcMar>
          </w:tcPr>
          <w:p>
            <w:pPr>
              <w:spacing w:after="20" w:line="240"/>
            </w:pPr>
            <w:r>
              <w:rPr>
                <w:b w:val="false"/>
                <w:bCs w:val="false"/>
                <w:sz w:val="18"/>
                <w:szCs w:val="18"/>
              </w:rPr>
              <w:t xml:space="preserve">Procédure, délai, service compétent</w:t>
            </w:r>
          </w:p>
        </w:tc>
        <w:tc>
          <w:tcPr>
            <w:tcW w:type="dxa" w:w="2808"/>
            <w:tcMar>
              <w:top w:type="dxa" w:w="60"/>
              <w:left w:type="dxa" w:w="90"/>
              <w:bottom w:type="dxa" w:w="60"/>
              <w:right w:type="dxa" w:w="90"/>
            </w:tcMar>
          </w:tcPr>
          <w:p>
            <w:pPr>
              <w:spacing w:after="20" w:line="240"/>
            </w:pPr>
            <w:r>
              <w:rPr>
                <w:b w:val="false"/>
                <w:bCs w:val="false"/>
                <w:sz w:val="18"/>
                <w:szCs w:val="18"/>
              </w:rPr>
              <w:t xml:space="preserve">Bloquant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Approbation et version</w:t>
            </w:r>
          </w:p>
        </w:tc>
        <w:tc>
          <w:tcPr>
            <w:tcW w:type="dxa" w:w="4118"/>
            <w:tcMar>
              <w:top w:type="dxa" w:w="60"/>
              <w:left w:type="dxa" w:w="90"/>
              <w:bottom w:type="dxa" w:w="60"/>
              <w:right w:type="dxa" w:w="90"/>
            </w:tcMar>
          </w:tcPr>
          <w:p>
            <w:pPr>
              <w:spacing w:after="20" w:line="240"/>
            </w:pPr>
            <w:r>
              <w:rPr>
                <w:b w:val="false"/>
                <w:bCs w:val="false"/>
                <w:sz w:val="18"/>
                <w:szCs w:val="18"/>
              </w:rPr>
              <w:t xml:space="preserve">Rédacteur, valideur juridique, approbateur, numéro de version</w:t>
            </w:r>
          </w:p>
        </w:tc>
        <w:tc>
          <w:tcPr>
            <w:tcW w:type="dxa" w:w="2808"/>
            <w:tcMar>
              <w:top w:type="dxa" w:w="60"/>
              <w:left w:type="dxa" w:w="90"/>
              <w:bottom w:type="dxa" w:w="60"/>
              <w:right w:type="dxa" w:w="90"/>
            </w:tcMar>
          </w:tcPr>
          <w:p>
            <w:pPr>
              <w:spacing w:after="20" w:line="240"/>
            </w:pPr>
            <w:r>
              <w:rPr>
                <w:b w:val="false"/>
                <w:bCs w:val="false"/>
                <w:sz w:val="18"/>
                <w:szCs w:val="18"/>
              </w:rPr>
              <w:t xml:space="preserve">Quatre yeux obligatoires</w:t>
            </w:r>
          </w:p>
        </w:tc>
      </w:tr>
    </w:tbl>
    <w:p>
      <w:pPr>
        <w:pStyle w:val="Heading2"/>
        <w:spacing w:after="120" w:before="260"/>
      </w:pPr>
      <w:r>
        <w:t xml:space="preserve">6.3 Séparation des compétences</w:t>
      </w:r>
    </w:p>
    <w:p>
      <w:pPr>
        <w:spacing w:after="120" w:line="276"/>
        <w:jc w:val="both"/>
      </w:pPr>
      <w:r>
        <w:rPr>
          <w:b w:val="false"/>
          <w:bCs w:val="false"/>
          <w:i w:val="false"/>
          <w:iCs w:val="false"/>
          <w:sz w:val="21"/>
          <w:szCs w:val="21"/>
        </w:rPr>
        <w:t xml:space="preserve">Le référentiel distingue explicitement, pour chaque ligne : recette exclusivement provinciale ; recette d'intérêt commun avec clé de répartition ; recette relevant des entités territoriales décentralisées ; recette du pouvoir central ; recette nécessitant un acte nouveau. Le moteur de règles refuse toute obligation qui reproduirait, pour un même fait générateur et un même redevable, une obligation déjà portée par une autre administration.</w:t>
      </w:r>
    </w:p>
    <w:p>
      <w:pPr>
        <w:pBdr>
          <w:left w:val="single" w:color="1BA996" w:sz="18" w:space="8"/>
        </w:pBdr>
        <w:spacing w:after="160" w:before="120" w:line="264"/>
        <w:ind w:left="180"/>
      </w:pPr>
      <w:r>
        <w:rPr>
          <w:b/>
          <w:bCs/>
          <w:color w:val="10262C"/>
          <w:sz w:val="20"/>
          <w:szCs w:val="20"/>
        </w:rPr>
        <w:t xml:space="preserve">Impôt personnel minimum. </w:t>
      </w:r>
      <w:r>
        <w:rPr>
          <w:sz w:val="20"/>
          <w:szCs w:val="20"/>
        </w:rPr>
        <w:t xml:space="preserve">L'ancien impôt personnel minimum relève désormais de la commune ou de la chefferie. Il n'est pas activé dans le périmètre provincial de MOSOLO. Le modèle prévoit en revanche l'accueil ultérieur des recettes communales dans un espace distinct, afin que le Kinois conserve un compte unique tandis que chaque administration ne voit que ses propres recettes.</w:t>
      </w:r>
    </w:p>
    <w:p>
      <w:pPr>
        <w:pStyle w:val="Heading2"/>
        <w:spacing w:after="120" w:before="260"/>
      </w:pPr>
      <w:r>
        <w:t xml:space="preserve">6.4 Points juridiques à trancher avant la production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3744"/>
        <w:gridCol w:w="2434"/>
        <w:gridCol w:w="3182"/>
      </w:tblGrid>
      <w:tr>
        <w:trPr>
          <w:tblHeader/>
        </w:trPr>
        <w:tc>
          <w:tcPr>
            <w:tcW w:type="dxa" w:w="3744"/>
            <w:shd w:fill="E6F4F1" w:color="auto" w:val="clear"/>
            <w:tcMar>
              <w:top w:type="dxa" w:w="60"/>
              <w:left w:type="dxa" w:w="90"/>
              <w:bottom w:type="dxa" w:w="60"/>
              <w:right w:type="dxa" w:w="90"/>
            </w:tcMar>
          </w:tcPr>
          <w:p>
            <w:pPr>
              <w:spacing w:after="20" w:line="240"/>
            </w:pPr>
            <w:r>
              <w:rPr>
                <w:b/>
                <w:bCs/>
                <w:sz w:val="18"/>
                <w:szCs w:val="18"/>
              </w:rPr>
              <w:t xml:space="preserve">Question</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Autorité</w:t>
            </w:r>
          </w:p>
        </w:tc>
        <w:tc>
          <w:tcPr>
            <w:tcW w:type="dxa" w:w="3182"/>
            <w:shd w:fill="E6F4F1" w:color="auto" w:val="clear"/>
            <w:tcMar>
              <w:top w:type="dxa" w:w="60"/>
              <w:left w:type="dxa" w:w="90"/>
              <w:bottom w:type="dxa" w:w="60"/>
              <w:right w:type="dxa" w:w="90"/>
            </w:tcMar>
          </w:tcPr>
          <w:p>
            <w:pPr>
              <w:spacing w:after="20" w:line="240"/>
            </w:pPr>
            <w:r>
              <w:rPr>
                <w:b/>
                <w:bCs/>
                <w:sz w:val="18"/>
                <w:szCs w:val="18"/>
              </w:rPr>
              <w:t xml:space="preserve">Effet si non tranchée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Statut consolidé des textes fiscaux provinciaux après 18/004</w:t>
            </w:r>
          </w:p>
        </w:tc>
        <w:tc>
          <w:tcPr>
            <w:tcW w:type="dxa" w:w="2434"/>
            <w:tcMar>
              <w:top w:type="dxa" w:w="60"/>
              <w:left w:type="dxa" w:w="90"/>
              <w:bottom w:type="dxa" w:w="60"/>
              <w:right w:type="dxa" w:w="90"/>
            </w:tcMar>
          </w:tcPr>
          <w:p>
            <w:pPr>
              <w:spacing w:after="20" w:line="240"/>
            </w:pPr>
            <w:r>
              <w:rPr>
                <w:b w:val="false"/>
                <w:bCs w:val="false"/>
                <w:sz w:val="18"/>
                <w:szCs w:val="18"/>
              </w:rPr>
              <w:t xml:space="preserve">Service juridique provincial</w:t>
            </w:r>
          </w:p>
        </w:tc>
        <w:tc>
          <w:tcPr>
            <w:tcW w:type="dxa" w:w="3182"/>
            <w:tcMar>
              <w:top w:type="dxa" w:w="60"/>
              <w:left w:type="dxa" w:w="90"/>
              <w:bottom w:type="dxa" w:w="60"/>
              <w:right w:type="dxa" w:w="90"/>
            </w:tcMar>
          </w:tcPr>
          <w:p>
            <w:pPr>
              <w:spacing w:after="20" w:line="240"/>
            </w:pPr>
            <w:r>
              <w:rPr>
                <w:b w:val="false"/>
                <w:bCs w:val="false"/>
                <w:sz w:val="18"/>
                <w:szCs w:val="18"/>
              </w:rPr>
              <w:t xml:space="preserve">Risque d'appuyer une liquidation sur un texte abrogé</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Taux IRL applicables et retenue par rang de localité</w:t>
            </w:r>
          </w:p>
        </w:tc>
        <w:tc>
          <w:tcPr>
            <w:tcW w:type="dxa" w:w="2434"/>
            <w:tcMar>
              <w:top w:type="dxa" w:w="60"/>
              <w:left w:type="dxa" w:w="90"/>
              <w:bottom w:type="dxa" w:w="60"/>
              <w:right w:type="dxa" w:w="90"/>
            </w:tcMar>
          </w:tcPr>
          <w:p>
            <w:pPr>
              <w:spacing w:after="20" w:line="240"/>
            </w:pPr>
            <w:r>
              <w:rPr>
                <w:b w:val="false"/>
                <w:bCs w:val="false"/>
                <w:sz w:val="18"/>
                <w:szCs w:val="18"/>
              </w:rPr>
              <w:t xml:space="preserve">Ministère provincial des Finances</w:t>
            </w:r>
          </w:p>
        </w:tc>
        <w:tc>
          <w:tcPr>
            <w:tcW w:type="dxa" w:w="3182"/>
            <w:tcMar>
              <w:top w:type="dxa" w:w="60"/>
              <w:left w:type="dxa" w:w="90"/>
              <w:bottom w:type="dxa" w:w="60"/>
              <w:right w:type="dxa" w:w="90"/>
            </w:tcMar>
          </w:tcPr>
          <w:p>
            <w:pPr>
              <w:spacing w:after="20" w:line="240"/>
            </w:pPr>
            <w:r>
              <w:rPr>
                <w:b w:val="false"/>
                <w:bCs w:val="false"/>
                <w:sz w:val="18"/>
                <w:szCs w:val="18"/>
              </w:rPr>
              <w:t xml:space="preserve">Liquidations erronées et contentieux de masse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Valeur juridique de la quittance électronique et de la signature</w:t>
            </w:r>
          </w:p>
        </w:tc>
        <w:tc>
          <w:tcPr>
            <w:tcW w:type="dxa" w:w="2434"/>
            <w:tcMar>
              <w:top w:type="dxa" w:w="60"/>
              <w:left w:type="dxa" w:w="90"/>
              <w:bottom w:type="dxa" w:w="60"/>
              <w:right w:type="dxa" w:w="90"/>
            </w:tcMar>
          </w:tcPr>
          <w:p>
            <w:pPr>
              <w:spacing w:after="20" w:line="240"/>
            </w:pPr>
            <w:r>
              <w:rPr>
                <w:b w:val="false"/>
                <w:bCs w:val="false"/>
                <w:sz w:val="18"/>
                <w:szCs w:val="18"/>
              </w:rPr>
              <w:t xml:space="preserve">Services juridiques et Code du numérique</w:t>
            </w:r>
          </w:p>
        </w:tc>
        <w:tc>
          <w:tcPr>
            <w:tcW w:type="dxa" w:w="3182"/>
            <w:tcMar>
              <w:top w:type="dxa" w:w="60"/>
              <w:left w:type="dxa" w:w="90"/>
              <w:bottom w:type="dxa" w:w="60"/>
              <w:right w:type="dxa" w:w="90"/>
            </w:tcMar>
          </w:tcPr>
          <w:p>
            <w:pPr>
              <w:spacing w:after="20" w:line="240"/>
            </w:pPr>
            <w:r>
              <w:rPr>
                <w:b w:val="false"/>
                <w:bCs w:val="false"/>
                <w:sz w:val="18"/>
                <w:szCs w:val="18"/>
              </w:rPr>
              <w:t xml:space="preserve">Contestation de la preuve de paiement</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Base légale des échéanciers de paiement par Mobile Money</w:t>
            </w:r>
          </w:p>
        </w:tc>
        <w:tc>
          <w:tcPr>
            <w:tcW w:type="dxa" w:w="2434"/>
            <w:tcMar>
              <w:top w:type="dxa" w:w="60"/>
              <w:left w:type="dxa" w:w="90"/>
              <w:bottom w:type="dxa" w:w="60"/>
              <w:right w:type="dxa" w:w="90"/>
            </w:tcMar>
          </w:tcPr>
          <w:p>
            <w:pPr>
              <w:spacing w:after="20" w:line="240"/>
            </w:pPr>
            <w:r>
              <w:rPr>
                <w:b w:val="false"/>
                <w:bCs w:val="false"/>
                <w:sz w:val="18"/>
                <w:szCs w:val="18"/>
              </w:rPr>
              <w:t xml:space="preserve">Assemblée provinciale ou arrêté</w:t>
            </w:r>
          </w:p>
        </w:tc>
        <w:tc>
          <w:tcPr>
            <w:tcW w:type="dxa" w:w="3182"/>
            <w:tcMar>
              <w:top w:type="dxa" w:w="60"/>
              <w:left w:type="dxa" w:w="90"/>
              <w:bottom w:type="dxa" w:w="60"/>
              <w:right w:type="dxa" w:w="90"/>
            </w:tcMar>
          </w:tcPr>
          <w:p>
            <w:pPr>
              <w:spacing w:after="20" w:line="240"/>
            </w:pPr>
            <w:r>
              <w:rPr>
                <w:b w:val="false"/>
                <w:bCs w:val="false"/>
                <w:sz w:val="18"/>
                <w:szCs w:val="18"/>
              </w:rPr>
              <w:t xml:space="preserve">Impossible de proposer le paiement fractionné</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Conditions de partage de données avec les distributeurs d'énergie, d'eau et les opérateurs</w:t>
            </w:r>
          </w:p>
        </w:tc>
        <w:tc>
          <w:tcPr>
            <w:tcW w:type="dxa" w:w="2434"/>
            <w:tcMar>
              <w:top w:type="dxa" w:w="60"/>
              <w:left w:type="dxa" w:w="90"/>
              <w:bottom w:type="dxa" w:w="60"/>
              <w:right w:type="dxa" w:w="90"/>
            </w:tcMar>
          </w:tcPr>
          <w:p>
            <w:pPr>
              <w:spacing w:after="20" w:line="240"/>
            </w:pPr>
            <w:r>
              <w:rPr>
                <w:b w:val="false"/>
                <w:bCs w:val="false"/>
                <w:sz w:val="18"/>
                <w:szCs w:val="18"/>
              </w:rPr>
              <w:t xml:space="preserve">Autorité de protection des données et services juridiques</w:t>
            </w:r>
          </w:p>
        </w:tc>
        <w:tc>
          <w:tcPr>
            <w:tcW w:type="dxa" w:w="3182"/>
            <w:tcMar>
              <w:top w:type="dxa" w:w="60"/>
              <w:left w:type="dxa" w:w="90"/>
              <w:bottom w:type="dxa" w:w="60"/>
              <w:right w:type="dxa" w:w="90"/>
            </w:tcMar>
          </w:tcPr>
          <w:p>
            <w:pPr>
              <w:spacing w:after="20" w:line="240"/>
            </w:pPr>
            <w:r>
              <w:rPr>
                <w:b w:val="false"/>
                <w:bCs w:val="false"/>
                <w:sz w:val="18"/>
                <w:szCs w:val="18"/>
              </w:rPr>
              <w:t xml:space="preserve">Blocage du moteur de recoupement</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Régime des incitations de performance des agents</w:t>
            </w:r>
          </w:p>
        </w:tc>
        <w:tc>
          <w:tcPr>
            <w:tcW w:type="dxa" w:w="2434"/>
            <w:tcMar>
              <w:top w:type="dxa" w:w="60"/>
              <w:left w:type="dxa" w:w="90"/>
              <w:bottom w:type="dxa" w:w="60"/>
              <w:right w:type="dxa" w:w="90"/>
            </w:tcMar>
          </w:tcPr>
          <w:p>
            <w:pPr>
              <w:spacing w:after="20" w:line="240"/>
            </w:pPr>
            <w:r>
              <w:rPr>
                <w:b w:val="false"/>
                <w:bCs w:val="false"/>
                <w:sz w:val="18"/>
                <w:szCs w:val="18"/>
              </w:rPr>
              <w:t xml:space="preserve">LOFIP, édit, arrêté</w:t>
            </w:r>
          </w:p>
        </w:tc>
        <w:tc>
          <w:tcPr>
            <w:tcW w:type="dxa" w:w="3182"/>
            <w:tcMar>
              <w:top w:type="dxa" w:w="60"/>
              <w:left w:type="dxa" w:w="90"/>
              <w:bottom w:type="dxa" w:w="60"/>
              <w:right w:type="dxa" w:w="90"/>
            </w:tcMar>
          </w:tcPr>
          <w:p>
            <w:pPr>
              <w:spacing w:after="20" w:line="240"/>
            </w:pPr>
            <w:r>
              <w:rPr>
                <w:b w:val="false"/>
                <w:bCs w:val="false"/>
                <w:sz w:val="18"/>
                <w:szCs w:val="18"/>
              </w:rPr>
              <w:t xml:space="preserve">Risque de rémunération irrégulière sur recettes publiques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Habilitation des agrégateurs de paiement</w:t>
            </w:r>
          </w:p>
        </w:tc>
        <w:tc>
          <w:tcPr>
            <w:tcW w:type="dxa" w:w="2434"/>
            <w:tcMar>
              <w:top w:type="dxa" w:w="60"/>
              <w:left w:type="dxa" w:w="90"/>
              <w:bottom w:type="dxa" w:w="60"/>
              <w:right w:type="dxa" w:w="90"/>
            </w:tcMar>
          </w:tcPr>
          <w:p>
            <w:pPr>
              <w:spacing w:after="20" w:line="240"/>
            </w:pPr>
            <w:r>
              <w:rPr>
                <w:b w:val="false"/>
                <w:bCs w:val="false"/>
                <w:sz w:val="18"/>
                <w:szCs w:val="18"/>
              </w:rPr>
              <w:t xml:space="preserve">Banque Centrale du Congo</w:t>
            </w:r>
          </w:p>
        </w:tc>
        <w:tc>
          <w:tcPr>
            <w:tcW w:type="dxa" w:w="3182"/>
            <w:tcMar>
              <w:top w:type="dxa" w:w="60"/>
              <w:left w:type="dxa" w:w="90"/>
              <w:bottom w:type="dxa" w:w="60"/>
              <w:right w:type="dxa" w:w="90"/>
            </w:tcMar>
          </w:tcPr>
          <w:p>
            <w:pPr>
              <w:spacing w:after="20" w:line="240"/>
            </w:pPr>
            <w:r>
              <w:rPr>
                <w:b w:val="false"/>
                <w:bCs w:val="false"/>
                <w:sz w:val="18"/>
                <w:szCs w:val="18"/>
              </w:rPr>
              <w:t xml:space="preserve">Irrégularité du circuit d'encaissement</w:t>
            </w:r>
          </w:p>
        </w:tc>
      </w:tr>
    </w:tbl>
    <w:p>
      <w:pPr>
        <w:pStyle w:val="Heading1"/>
        <w:spacing w:after="160" w:before="360"/>
      </w:pPr>
      <w:r>
        <w:t xml:space="preserve">7. Paysage des recettes provinciales</w:t>
      </w:r>
    </w:p>
    <w:p>
      <w:pPr>
        <w:spacing w:after="120" w:line="276"/>
        <w:jc w:val="both"/>
      </w:pPr>
      <w:r>
        <w:rPr>
          <w:b w:val="false"/>
          <w:bCs w:val="false"/>
          <w:i w:val="false"/>
          <w:iCs w:val="false"/>
          <w:sz w:val="21"/>
          <w:szCs w:val="21"/>
        </w:rPr>
        <w:t xml:space="preserve">Les catégories ci-dessous sont structurées pour le paramétrage, sous réserve de la vérification prévue au chapitre 6. La colonne « rendement » exprime une appréciation propre à Kinshasa, fondée sur la structure économique de la ville et non sur une moyenne nationale.</w:t>
      </w:r>
    </w:p>
    <w:p>
      <w:pPr>
        <w:pStyle w:val="Heading2"/>
        <w:spacing w:after="120" w:before="260"/>
      </w:pPr>
      <w:r>
        <w:t xml:space="preserve">7.1 Impôts provinciaux</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2246"/>
        <w:gridCol w:w="3557"/>
        <w:gridCol w:w="149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Recette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Objet dans le système</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Où se trouvent déjà les assujettis</w:t>
            </w:r>
          </w:p>
        </w:tc>
        <w:tc>
          <w:tcPr>
            <w:tcW w:type="dxa" w:w="1498"/>
            <w:shd w:fill="E6F4F1" w:color="auto" w:val="clear"/>
            <w:tcMar>
              <w:top w:type="dxa" w:w="60"/>
              <w:left w:type="dxa" w:w="90"/>
              <w:bottom w:type="dxa" w:w="60"/>
              <w:right w:type="dxa" w:w="90"/>
            </w:tcMar>
          </w:tcPr>
          <w:p>
            <w:pPr>
              <w:spacing w:after="20" w:line="240"/>
            </w:pPr>
            <w:r>
              <w:rPr>
                <w:b/>
                <w:bCs/>
                <w:sz w:val="18"/>
                <w:szCs w:val="18"/>
              </w:rPr>
              <w:t xml:space="preserve">Rendement</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Impôt foncier (bâti et non bâti)</w:t>
            </w:r>
          </w:p>
        </w:tc>
        <w:tc>
          <w:tcPr>
            <w:tcW w:type="dxa" w:w="2246"/>
            <w:tcMar>
              <w:top w:type="dxa" w:w="60"/>
              <w:left w:type="dxa" w:w="90"/>
              <w:bottom w:type="dxa" w:w="60"/>
              <w:right w:type="dxa" w:w="90"/>
            </w:tcMar>
          </w:tcPr>
          <w:p>
            <w:pPr>
              <w:spacing w:after="20" w:line="240"/>
            </w:pPr>
            <w:r>
              <w:rPr>
                <w:b w:val="false"/>
                <w:bCs w:val="false"/>
                <w:sz w:val="18"/>
                <w:szCs w:val="18"/>
              </w:rPr>
              <w:t xml:space="preserve">Parcelle, bâtiment, rang de localité, surface</w:t>
            </w:r>
          </w:p>
        </w:tc>
        <w:tc>
          <w:tcPr>
            <w:tcW w:type="dxa" w:w="3557"/>
            <w:tcMar>
              <w:top w:type="dxa" w:w="60"/>
              <w:left w:type="dxa" w:w="90"/>
              <w:bottom w:type="dxa" w:w="60"/>
              <w:right w:type="dxa" w:w="90"/>
            </w:tcMar>
          </w:tcPr>
          <w:p>
            <w:pPr>
              <w:spacing w:after="20" w:line="240"/>
            </w:pPr>
            <w:r>
              <w:rPr>
                <w:b w:val="false"/>
                <w:bCs w:val="false"/>
                <w:sz w:val="18"/>
                <w:szCs w:val="18"/>
              </w:rPr>
              <w:t xml:space="preserve">Titres fonciers, permis de bâtir, raccordements énergie et eau, historique déclaratif</w:t>
            </w:r>
          </w:p>
        </w:tc>
        <w:tc>
          <w:tcPr>
            <w:tcW w:type="dxa" w:w="1498"/>
            <w:tcMar>
              <w:top w:type="dxa" w:w="60"/>
              <w:left w:type="dxa" w:w="90"/>
              <w:bottom w:type="dxa" w:w="60"/>
              <w:right w:type="dxa" w:w="90"/>
            </w:tcMar>
          </w:tcPr>
          <w:p>
            <w:pPr>
              <w:spacing w:after="20" w:line="240"/>
            </w:pPr>
            <w:r>
              <w:rPr>
                <w:b w:val="false"/>
                <w:bCs w:val="false"/>
                <w:sz w:val="18"/>
                <w:szCs w:val="18"/>
              </w:rPr>
              <w:t xml:space="preserve">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Impôt sur les revenus locatifs</w:t>
            </w:r>
          </w:p>
        </w:tc>
        <w:tc>
          <w:tcPr>
            <w:tcW w:type="dxa" w:w="2246"/>
            <w:tcMar>
              <w:top w:type="dxa" w:w="60"/>
              <w:left w:type="dxa" w:w="90"/>
              <w:bottom w:type="dxa" w:w="60"/>
              <w:right w:type="dxa" w:w="90"/>
            </w:tcMar>
          </w:tcPr>
          <w:p>
            <w:pPr>
              <w:spacing w:after="20" w:line="240"/>
            </w:pPr>
            <w:r>
              <w:rPr>
                <w:b w:val="false"/>
                <w:bCs w:val="false"/>
                <w:sz w:val="18"/>
                <w:szCs w:val="18"/>
              </w:rPr>
              <w:t xml:space="preserve">Unité louée, bail, bailleur, locataire</w:t>
            </w:r>
          </w:p>
        </w:tc>
        <w:tc>
          <w:tcPr>
            <w:tcW w:type="dxa" w:w="3557"/>
            <w:tcMar>
              <w:top w:type="dxa" w:w="60"/>
              <w:left w:type="dxa" w:w="90"/>
              <w:bottom w:type="dxa" w:w="60"/>
              <w:right w:type="dxa" w:w="90"/>
            </w:tcMar>
          </w:tcPr>
          <w:p>
            <w:pPr>
              <w:spacing w:after="20" w:line="240"/>
            </w:pPr>
            <w:r>
              <w:rPr>
                <w:b w:val="false"/>
                <w:bCs w:val="false"/>
                <w:sz w:val="18"/>
                <w:szCs w:val="18"/>
              </w:rPr>
              <w:t xml:space="preserve">Indemnités de logement en paie, agences immobilières, baux d'entreprises, compteurs multiples</w:t>
            </w:r>
          </w:p>
        </w:tc>
        <w:tc>
          <w:tcPr>
            <w:tcW w:type="dxa" w:w="1498"/>
            <w:tcMar>
              <w:top w:type="dxa" w:w="60"/>
              <w:left w:type="dxa" w:w="90"/>
              <w:bottom w:type="dxa" w:w="60"/>
              <w:right w:type="dxa" w:w="90"/>
            </w:tcMar>
          </w:tcPr>
          <w:p>
            <w:pPr>
              <w:spacing w:after="20" w:line="240"/>
            </w:pPr>
            <w:r>
              <w:rPr>
                <w:b w:val="false"/>
                <w:bCs w:val="false"/>
                <w:sz w:val="18"/>
                <w:szCs w:val="18"/>
              </w:rPr>
              <w:t xml:space="preserve">Le plus 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Impôt sur les véhicules automoteurs (vignette)</w:t>
            </w:r>
          </w:p>
        </w:tc>
        <w:tc>
          <w:tcPr>
            <w:tcW w:type="dxa" w:w="2246"/>
            <w:tcMar>
              <w:top w:type="dxa" w:w="60"/>
              <w:left w:type="dxa" w:w="90"/>
              <w:bottom w:type="dxa" w:w="60"/>
              <w:right w:type="dxa" w:w="90"/>
            </w:tcMar>
          </w:tcPr>
          <w:p>
            <w:pPr>
              <w:spacing w:after="20" w:line="240"/>
            </w:pPr>
            <w:r>
              <w:rPr>
                <w:b w:val="false"/>
                <w:bCs w:val="false"/>
                <w:sz w:val="18"/>
                <w:szCs w:val="18"/>
              </w:rPr>
              <w:t xml:space="preserve">Véhicule, plaque, catégorie, usage</w:t>
            </w:r>
          </w:p>
        </w:tc>
        <w:tc>
          <w:tcPr>
            <w:tcW w:type="dxa" w:w="3557"/>
            <w:tcMar>
              <w:top w:type="dxa" w:w="60"/>
              <w:left w:type="dxa" w:w="90"/>
              <w:bottom w:type="dxa" w:w="60"/>
              <w:right w:type="dxa" w:w="90"/>
            </w:tcMar>
          </w:tcPr>
          <w:p>
            <w:pPr>
              <w:spacing w:after="20" w:line="240"/>
            </w:pPr>
            <w:r>
              <w:rPr>
                <w:b w:val="false"/>
                <w:bCs w:val="false"/>
                <w:sz w:val="18"/>
                <w:szCs w:val="18"/>
              </w:rPr>
              <w:t xml:space="preserve">Registre des immatriculations, polices d'assurance, mutations, contrôles routiers</w:t>
            </w:r>
          </w:p>
        </w:tc>
        <w:tc>
          <w:tcPr>
            <w:tcW w:type="dxa" w:w="1498"/>
            <w:tcMar>
              <w:top w:type="dxa" w:w="60"/>
              <w:left w:type="dxa" w:w="90"/>
              <w:bottom w:type="dxa" w:w="60"/>
              <w:right w:type="dxa" w:w="90"/>
            </w:tcMar>
          </w:tcPr>
          <w:p>
            <w:pPr>
              <w:spacing w:after="20" w:line="240"/>
            </w:pPr>
            <w:r>
              <w:rPr>
                <w:b w:val="false"/>
                <w:bCs w:val="false"/>
                <w:sz w:val="18"/>
                <w:szCs w:val="18"/>
              </w:rPr>
              <w:t xml:space="preserve">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Impôt sur la superficie des concessions minières et d'hydrocarbures</w:t>
            </w:r>
          </w:p>
        </w:tc>
        <w:tc>
          <w:tcPr>
            <w:tcW w:type="dxa" w:w="2246"/>
            <w:tcMar>
              <w:top w:type="dxa" w:w="60"/>
              <w:left w:type="dxa" w:w="90"/>
              <w:bottom w:type="dxa" w:w="60"/>
              <w:right w:type="dxa" w:w="90"/>
            </w:tcMar>
          </w:tcPr>
          <w:p>
            <w:pPr>
              <w:spacing w:after="20" w:line="240"/>
            </w:pPr>
            <w:r>
              <w:rPr>
                <w:b w:val="false"/>
                <w:bCs w:val="false"/>
                <w:sz w:val="18"/>
                <w:szCs w:val="18"/>
              </w:rPr>
              <w:t xml:space="preserve">Concession, superficie, titulaire</w:t>
            </w:r>
          </w:p>
        </w:tc>
        <w:tc>
          <w:tcPr>
            <w:tcW w:type="dxa" w:w="3557"/>
            <w:tcMar>
              <w:top w:type="dxa" w:w="60"/>
              <w:left w:type="dxa" w:w="90"/>
              <w:bottom w:type="dxa" w:w="60"/>
              <w:right w:type="dxa" w:w="90"/>
            </w:tcMar>
          </w:tcPr>
          <w:p>
            <w:pPr>
              <w:spacing w:after="20" w:line="240"/>
            </w:pPr>
            <w:r>
              <w:rPr>
                <w:b w:val="false"/>
                <w:bCs w:val="false"/>
                <w:sz w:val="18"/>
                <w:szCs w:val="18"/>
              </w:rPr>
              <w:t xml:space="preserve">Cadastre minier</w:t>
            </w:r>
          </w:p>
        </w:tc>
        <w:tc>
          <w:tcPr>
            <w:tcW w:type="dxa" w:w="1498"/>
            <w:tcMar>
              <w:top w:type="dxa" w:w="60"/>
              <w:left w:type="dxa" w:w="90"/>
              <w:bottom w:type="dxa" w:w="60"/>
              <w:right w:type="dxa" w:w="90"/>
            </w:tcMar>
          </w:tcPr>
          <w:p>
            <w:pPr>
              <w:spacing w:after="20" w:line="240"/>
            </w:pPr>
            <w:r>
              <w:rPr>
                <w:b w:val="false"/>
                <w:bCs w:val="false"/>
                <w:sz w:val="18"/>
                <w:szCs w:val="18"/>
              </w:rPr>
              <w:t xml:space="preserve">Faible à Kinshasa</w:t>
            </w:r>
          </w:p>
        </w:tc>
      </w:tr>
    </w:tbl>
    <w:p>
      <w:pPr>
        <w:pStyle w:val="Heading2"/>
        <w:spacing w:after="120" w:before="260"/>
      </w:pPr>
      <w:r>
        <w:t xml:space="preserve">7.2 Taxes d'intérêt commun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1685"/>
        <w:gridCol w:w="3931"/>
        <w:gridCol w:w="1498"/>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Recette</w:t>
            </w:r>
          </w:p>
        </w:tc>
        <w:tc>
          <w:tcPr>
            <w:tcW w:type="dxa" w:w="1685"/>
            <w:shd w:fill="E6F4F1" w:color="auto" w:val="clear"/>
            <w:tcMar>
              <w:top w:type="dxa" w:w="60"/>
              <w:left w:type="dxa" w:w="90"/>
              <w:bottom w:type="dxa" w:w="60"/>
              <w:right w:type="dxa" w:w="90"/>
            </w:tcMar>
          </w:tcPr>
          <w:p>
            <w:pPr>
              <w:spacing w:after="20" w:line="240"/>
            </w:pPr>
            <w:r>
              <w:rPr>
                <w:b/>
                <w:bCs/>
                <w:sz w:val="18"/>
                <w:szCs w:val="18"/>
              </w:rPr>
              <w:t xml:space="preserve">Objet</w:t>
            </w:r>
          </w:p>
        </w:tc>
        <w:tc>
          <w:tcPr>
            <w:tcW w:type="dxa" w:w="3931"/>
            <w:shd w:fill="E6F4F1" w:color="auto" w:val="clear"/>
            <w:tcMar>
              <w:top w:type="dxa" w:w="60"/>
              <w:left w:type="dxa" w:w="90"/>
              <w:bottom w:type="dxa" w:w="60"/>
              <w:right w:type="dxa" w:w="90"/>
            </w:tcMar>
          </w:tcPr>
          <w:p>
            <w:pPr>
              <w:spacing w:after="20" w:line="240"/>
            </w:pPr>
            <w:r>
              <w:rPr>
                <w:b/>
                <w:bCs/>
                <w:sz w:val="18"/>
                <w:szCs w:val="18"/>
              </w:rPr>
              <w:t xml:space="preserve">Mécanisme de capture</w:t>
            </w:r>
          </w:p>
        </w:tc>
        <w:tc>
          <w:tcPr>
            <w:tcW w:type="dxa" w:w="1498"/>
            <w:shd w:fill="E6F4F1" w:color="auto" w:val="clear"/>
            <w:tcMar>
              <w:top w:type="dxa" w:w="60"/>
              <w:left w:type="dxa" w:w="90"/>
              <w:bottom w:type="dxa" w:w="60"/>
              <w:right w:type="dxa" w:w="90"/>
            </w:tcMar>
          </w:tcPr>
          <w:p>
            <w:pPr>
              <w:spacing w:after="20" w:line="240"/>
            </w:pPr>
            <w:r>
              <w:rPr>
                <w:b/>
                <w:bCs/>
                <w:sz w:val="18"/>
                <w:szCs w:val="18"/>
              </w:rPr>
              <w:t xml:space="preserve">Rendement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Taxe de consommation sur bière, alcools, spiritueux et tabac</w:t>
            </w:r>
          </w:p>
        </w:tc>
        <w:tc>
          <w:tcPr>
            <w:tcW w:type="dxa" w:w="1685"/>
            <w:tcMar>
              <w:top w:type="dxa" w:w="60"/>
              <w:left w:type="dxa" w:w="90"/>
              <w:bottom w:type="dxa" w:w="60"/>
              <w:right w:type="dxa" w:w="90"/>
            </w:tcMar>
          </w:tcPr>
          <w:p>
            <w:pPr>
              <w:spacing w:after="20" w:line="240"/>
            </w:pPr>
            <w:r>
              <w:rPr>
                <w:b w:val="false"/>
                <w:bCs w:val="false"/>
                <w:sz w:val="18"/>
                <w:szCs w:val="18"/>
              </w:rPr>
              <w:t xml:space="preserve">Producteur, importateur, volumes</w:t>
            </w:r>
          </w:p>
        </w:tc>
        <w:tc>
          <w:tcPr>
            <w:tcW w:type="dxa" w:w="3931"/>
            <w:tcMar>
              <w:top w:type="dxa" w:w="60"/>
              <w:left w:type="dxa" w:w="90"/>
              <w:bottom w:type="dxa" w:w="60"/>
              <w:right w:type="dxa" w:w="90"/>
            </w:tcMar>
          </w:tcPr>
          <w:p>
            <w:pPr>
              <w:spacing w:after="20" w:line="240"/>
            </w:pPr>
            <w:r>
              <w:rPr>
                <w:b w:val="false"/>
                <w:bCs w:val="false"/>
                <w:sz w:val="18"/>
                <w:szCs w:val="18"/>
              </w:rPr>
              <w:t xml:space="preserve">Cellule grands contribuables : déclaration mensuelle de volumes rapprochée des données d'accises et de facturation</w:t>
            </w:r>
          </w:p>
        </w:tc>
        <w:tc>
          <w:tcPr>
            <w:tcW w:type="dxa" w:w="1498"/>
            <w:tcMar>
              <w:top w:type="dxa" w:w="60"/>
              <w:left w:type="dxa" w:w="90"/>
              <w:bottom w:type="dxa" w:w="60"/>
              <w:right w:type="dxa" w:w="90"/>
            </w:tcMar>
          </w:tcPr>
          <w:p>
            <w:pPr>
              <w:spacing w:after="20" w:line="240"/>
            </w:pPr>
            <w:r>
              <w:rPr>
                <w:b w:val="false"/>
                <w:bCs w:val="false"/>
                <w:sz w:val="18"/>
                <w:szCs w:val="18"/>
              </w:rPr>
              <w:t xml:space="preserve">Très élevé, très peu de redevables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Taxe annuelle pour la délivrance de la patente</w:t>
            </w:r>
          </w:p>
        </w:tc>
        <w:tc>
          <w:tcPr>
            <w:tcW w:type="dxa" w:w="1685"/>
            <w:tcMar>
              <w:top w:type="dxa" w:w="60"/>
              <w:left w:type="dxa" w:w="90"/>
              <w:bottom w:type="dxa" w:w="60"/>
              <w:right w:type="dxa" w:w="90"/>
            </w:tcMar>
          </w:tcPr>
          <w:p>
            <w:pPr>
              <w:spacing w:after="20" w:line="240"/>
            </w:pPr>
            <w:r>
              <w:rPr>
                <w:b w:val="false"/>
                <w:bCs w:val="false"/>
                <w:sz w:val="18"/>
                <w:szCs w:val="18"/>
              </w:rPr>
              <w:t xml:space="preserve">Commerce, étal, activité</w:t>
            </w:r>
          </w:p>
        </w:tc>
        <w:tc>
          <w:tcPr>
            <w:tcW w:type="dxa" w:w="3931"/>
            <w:tcMar>
              <w:top w:type="dxa" w:w="60"/>
              <w:left w:type="dxa" w:w="90"/>
              <w:bottom w:type="dxa" w:w="60"/>
              <w:right w:type="dxa" w:w="90"/>
            </w:tcMar>
          </w:tcPr>
          <w:p>
            <w:pPr>
              <w:spacing w:after="20" w:line="240"/>
            </w:pPr>
            <w:r>
              <w:rPr>
                <w:b w:val="false"/>
                <w:bCs w:val="false"/>
                <w:sz w:val="18"/>
                <w:szCs w:val="18"/>
              </w:rPr>
              <w:t xml:space="preserve">Recensement par marché, code marchand Mobile Money, vignette QR sur devanture</w:t>
            </w:r>
          </w:p>
        </w:tc>
        <w:tc>
          <w:tcPr>
            <w:tcW w:type="dxa" w:w="1498"/>
            <w:tcMar>
              <w:top w:type="dxa" w:w="60"/>
              <w:left w:type="dxa" w:w="90"/>
              <w:bottom w:type="dxa" w:w="60"/>
              <w:right w:type="dxa" w:w="90"/>
            </w:tcMar>
          </w:tcPr>
          <w:p>
            <w:pPr>
              <w:spacing w:after="20" w:line="240"/>
            </w:pPr>
            <w:r>
              <w:rPr>
                <w:b w:val="false"/>
                <w:bCs w:val="false"/>
                <w:sz w:val="18"/>
                <w:szCs w:val="18"/>
              </w:rPr>
              <w:t xml:space="preserve">Volume élevé, ticket faible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Taxe spéciale de circulation routière</w:t>
            </w:r>
          </w:p>
        </w:tc>
        <w:tc>
          <w:tcPr>
            <w:tcW w:type="dxa" w:w="1685"/>
            <w:tcMar>
              <w:top w:type="dxa" w:w="60"/>
              <w:left w:type="dxa" w:w="90"/>
              <w:bottom w:type="dxa" w:w="60"/>
              <w:right w:type="dxa" w:w="90"/>
            </w:tcMar>
          </w:tcPr>
          <w:p>
            <w:pPr>
              <w:spacing w:after="20" w:line="240"/>
            </w:pPr>
            <w:r>
              <w:rPr>
                <w:b w:val="false"/>
                <w:bCs w:val="false"/>
                <w:sz w:val="18"/>
                <w:szCs w:val="18"/>
              </w:rPr>
              <w:t xml:space="preserve">Véhicule</w:t>
            </w:r>
          </w:p>
        </w:tc>
        <w:tc>
          <w:tcPr>
            <w:tcW w:type="dxa" w:w="3931"/>
            <w:tcMar>
              <w:top w:type="dxa" w:w="60"/>
              <w:left w:type="dxa" w:w="90"/>
              <w:bottom w:type="dxa" w:w="60"/>
              <w:right w:type="dxa" w:w="90"/>
            </w:tcMar>
          </w:tcPr>
          <w:p>
            <w:pPr>
              <w:spacing w:after="20" w:line="240"/>
            </w:pPr>
            <w:r>
              <w:rPr>
                <w:b w:val="false"/>
                <w:bCs w:val="false"/>
                <w:sz w:val="18"/>
                <w:szCs w:val="18"/>
              </w:rPr>
              <w:t xml:space="preserve">Même objet véhicule et même scan de contrôle que la vignette</w:t>
            </w:r>
          </w:p>
        </w:tc>
        <w:tc>
          <w:tcPr>
            <w:tcW w:type="dxa" w:w="1498"/>
            <w:tcMar>
              <w:top w:type="dxa" w:w="60"/>
              <w:left w:type="dxa" w:w="90"/>
              <w:bottom w:type="dxa" w:w="60"/>
              <w:right w:type="dxa" w:w="90"/>
            </w:tcMar>
          </w:tcPr>
          <w:p>
            <w:pPr>
              <w:spacing w:after="20" w:line="240"/>
            </w:pPr>
            <w:r>
              <w:rPr>
                <w:b w:val="false"/>
                <w:bCs w:val="false"/>
                <w:sz w:val="18"/>
                <w:szCs w:val="18"/>
              </w:rPr>
              <w:t xml:space="preserve">Moyen à élevé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Taxe de superficie sur les concessions forestières et minières</w:t>
            </w:r>
          </w:p>
        </w:tc>
        <w:tc>
          <w:tcPr>
            <w:tcW w:type="dxa" w:w="1685"/>
            <w:tcMar>
              <w:top w:type="dxa" w:w="60"/>
              <w:left w:type="dxa" w:w="90"/>
              <w:bottom w:type="dxa" w:w="60"/>
              <w:right w:type="dxa" w:w="90"/>
            </w:tcMar>
          </w:tcPr>
          <w:p>
            <w:pPr>
              <w:spacing w:after="20" w:line="240"/>
            </w:pPr>
            <w:r>
              <w:rPr>
                <w:b w:val="false"/>
                <w:bCs w:val="false"/>
                <w:sz w:val="18"/>
                <w:szCs w:val="18"/>
              </w:rPr>
              <w:t xml:space="preserve">Concession</w:t>
            </w:r>
          </w:p>
        </w:tc>
        <w:tc>
          <w:tcPr>
            <w:tcW w:type="dxa" w:w="3931"/>
            <w:tcMar>
              <w:top w:type="dxa" w:w="60"/>
              <w:left w:type="dxa" w:w="90"/>
              <w:bottom w:type="dxa" w:w="60"/>
              <w:right w:type="dxa" w:w="90"/>
            </w:tcMar>
          </w:tcPr>
          <w:p>
            <w:pPr>
              <w:spacing w:after="20" w:line="240"/>
            </w:pPr>
            <w:r>
              <w:rPr>
                <w:b w:val="false"/>
                <w:bCs w:val="false"/>
                <w:sz w:val="18"/>
                <w:szCs w:val="18"/>
              </w:rPr>
              <w:t xml:space="preserve">Liquidation automatique sur la superficie du titre</w:t>
            </w:r>
          </w:p>
        </w:tc>
        <w:tc>
          <w:tcPr>
            <w:tcW w:type="dxa" w:w="1498"/>
            <w:tcMar>
              <w:top w:type="dxa" w:w="60"/>
              <w:left w:type="dxa" w:w="90"/>
              <w:bottom w:type="dxa" w:w="60"/>
              <w:right w:type="dxa" w:w="90"/>
            </w:tcMar>
          </w:tcPr>
          <w:p>
            <w:pPr>
              <w:spacing w:after="20" w:line="240"/>
            </w:pPr>
            <w:r>
              <w:rPr>
                <w:b w:val="false"/>
                <w:bCs w:val="false"/>
                <w:sz w:val="18"/>
                <w:szCs w:val="18"/>
              </w:rPr>
              <w:t xml:space="preserve">Faible à Kinshasa</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Taxe sur les ventes de matières précieuses artisanales</w:t>
            </w:r>
          </w:p>
        </w:tc>
        <w:tc>
          <w:tcPr>
            <w:tcW w:type="dxa" w:w="1685"/>
            <w:tcMar>
              <w:top w:type="dxa" w:w="60"/>
              <w:left w:type="dxa" w:w="90"/>
              <w:bottom w:type="dxa" w:w="60"/>
              <w:right w:type="dxa" w:w="90"/>
            </w:tcMar>
          </w:tcPr>
          <w:p>
            <w:pPr>
              <w:spacing w:after="20" w:line="240"/>
            </w:pPr>
            <w:r>
              <w:rPr>
                <w:b w:val="false"/>
                <w:bCs w:val="false"/>
                <w:sz w:val="18"/>
                <w:szCs w:val="18"/>
              </w:rPr>
              <w:t xml:space="preserve">Comptoir, négociant, transaction</w:t>
            </w:r>
          </w:p>
        </w:tc>
        <w:tc>
          <w:tcPr>
            <w:tcW w:type="dxa" w:w="3931"/>
            <w:tcMar>
              <w:top w:type="dxa" w:w="60"/>
              <w:left w:type="dxa" w:w="90"/>
              <w:bottom w:type="dxa" w:w="60"/>
              <w:right w:type="dxa" w:w="90"/>
            </w:tcMar>
          </w:tcPr>
          <w:p>
            <w:pPr>
              <w:spacing w:after="20" w:line="240"/>
            </w:pPr>
            <w:r>
              <w:rPr>
                <w:b w:val="false"/>
                <w:bCs w:val="false"/>
                <w:sz w:val="18"/>
                <w:szCs w:val="18"/>
              </w:rPr>
              <w:t xml:space="preserve">Déclaration par transaction des comptoirs agréés</w:t>
            </w:r>
          </w:p>
        </w:tc>
        <w:tc>
          <w:tcPr>
            <w:tcW w:type="dxa" w:w="1498"/>
            <w:tcMar>
              <w:top w:type="dxa" w:w="60"/>
              <w:left w:type="dxa" w:w="90"/>
              <w:bottom w:type="dxa" w:w="60"/>
              <w:right w:type="dxa" w:w="90"/>
            </w:tcMar>
          </w:tcPr>
          <w:p>
            <w:pPr>
              <w:spacing w:after="20" w:line="240"/>
            </w:pPr>
            <w:r>
              <w:rPr>
                <w:b w:val="false"/>
                <w:bCs w:val="false"/>
                <w:sz w:val="18"/>
                <w:szCs w:val="18"/>
              </w:rPr>
              <w:t xml:space="preserve">Faible à Kinshasa</w:t>
            </w:r>
          </w:p>
        </w:tc>
      </w:tr>
    </w:tbl>
    <w:p>
      <w:pPr>
        <w:pStyle w:val="Heading2"/>
        <w:spacing w:after="120" w:before="260"/>
      </w:pPr>
      <w:r>
        <w:t xml:space="preserve">7.3 Taxes, droits et redevances spécifiques à Kinshasa</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1872"/>
        <w:gridCol w:w="3931"/>
        <w:gridCol w:w="149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Recette</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Objet</w:t>
            </w:r>
          </w:p>
        </w:tc>
        <w:tc>
          <w:tcPr>
            <w:tcW w:type="dxa" w:w="3931"/>
            <w:shd w:fill="E6F4F1" w:color="auto" w:val="clear"/>
            <w:tcMar>
              <w:top w:type="dxa" w:w="60"/>
              <w:left w:type="dxa" w:w="90"/>
              <w:bottom w:type="dxa" w:w="60"/>
              <w:right w:type="dxa" w:w="90"/>
            </w:tcMar>
          </w:tcPr>
          <w:p>
            <w:pPr>
              <w:spacing w:after="20" w:line="240"/>
            </w:pPr>
            <w:r>
              <w:rPr>
                <w:b/>
                <w:bCs/>
                <w:sz w:val="18"/>
                <w:szCs w:val="18"/>
              </w:rPr>
              <w:t xml:space="preserve">Mécanisme de capture</w:t>
            </w:r>
          </w:p>
        </w:tc>
        <w:tc>
          <w:tcPr>
            <w:tcW w:type="dxa" w:w="1498"/>
            <w:shd w:fill="E6F4F1" w:color="auto" w:val="clear"/>
            <w:tcMar>
              <w:top w:type="dxa" w:w="60"/>
              <w:left w:type="dxa" w:w="90"/>
              <w:bottom w:type="dxa" w:w="60"/>
              <w:right w:type="dxa" w:w="90"/>
            </w:tcMar>
          </w:tcPr>
          <w:p>
            <w:pPr>
              <w:spacing w:after="20" w:line="240"/>
            </w:pPr>
            <w:r>
              <w:rPr>
                <w:b/>
                <w:bCs/>
                <w:sz w:val="18"/>
                <w:szCs w:val="18"/>
              </w:rPr>
              <w:t xml:space="preserve">Rendement</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Autorisation d'exploitation d'un débit de boissons</w:t>
            </w:r>
          </w:p>
        </w:tc>
        <w:tc>
          <w:tcPr>
            <w:tcW w:type="dxa" w:w="1872"/>
            <w:tcMar>
              <w:top w:type="dxa" w:w="60"/>
              <w:left w:type="dxa" w:w="90"/>
              <w:bottom w:type="dxa" w:w="60"/>
              <w:right w:type="dxa" w:w="90"/>
            </w:tcMar>
          </w:tcPr>
          <w:p>
            <w:pPr>
              <w:spacing w:after="20" w:line="240"/>
            </w:pPr>
            <w:r>
              <w:rPr>
                <w:b w:val="false"/>
                <w:bCs w:val="false"/>
                <w:sz w:val="18"/>
                <w:szCs w:val="18"/>
              </w:rPr>
              <w:t xml:space="preserve">Établissement, catégorie</w:t>
            </w:r>
          </w:p>
        </w:tc>
        <w:tc>
          <w:tcPr>
            <w:tcW w:type="dxa" w:w="3931"/>
            <w:tcMar>
              <w:top w:type="dxa" w:w="60"/>
              <w:left w:type="dxa" w:w="90"/>
              <w:bottom w:type="dxa" w:w="60"/>
              <w:right w:type="dxa" w:w="90"/>
            </w:tcMar>
          </w:tcPr>
          <w:p>
            <w:pPr>
              <w:spacing w:after="20" w:line="240"/>
            </w:pPr>
            <w:r>
              <w:rPr>
                <w:b w:val="false"/>
                <w:bCs w:val="false"/>
                <w:sz w:val="18"/>
                <w:szCs w:val="18"/>
              </w:rPr>
              <w:t xml:space="preserve">Recoupement avec les points de livraison des dépôts brassicoles : chaque point livré est un débit potentiel</w:t>
            </w:r>
          </w:p>
        </w:tc>
        <w:tc>
          <w:tcPr>
            <w:tcW w:type="dxa" w:w="1498"/>
            <w:tcMar>
              <w:top w:type="dxa" w:w="60"/>
              <w:left w:type="dxa" w:w="90"/>
              <w:bottom w:type="dxa" w:w="60"/>
              <w:right w:type="dxa" w:w="90"/>
            </w:tcMar>
          </w:tcPr>
          <w:p>
            <w:pPr>
              <w:spacing w:after="20" w:line="240"/>
            </w:pPr>
            <w:r>
              <w:rPr>
                <w:b w:val="false"/>
                <w:bCs w:val="false"/>
                <w:sz w:val="18"/>
                <w:szCs w:val="18"/>
              </w:rPr>
              <w:t xml:space="preserve">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Publicité extérieure</w:t>
            </w:r>
          </w:p>
        </w:tc>
        <w:tc>
          <w:tcPr>
            <w:tcW w:type="dxa" w:w="1872"/>
            <w:tcMar>
              <w:top w:type="dxa" w:w="60"/>
              <w:left w:type="dxa" w:w="90"/>
              <w:bottom w:type="dxa" w:w="60"/>
              <w:right w:type="dxa" w:w="90"/>
            </w:tcMar>
          </w:tcPr>
          <w:p>
            <w:pPr>
              <w:spacing w:after="20" w:line="240"/>
            </w:pPr>
            <w:r>
              <w:rPr>
                <w:b w:val="false"/>
                <w:bCs w:val="false"/>
                <w:sz w:val="18"/>
                <w:szCs w:val="18"/>
              </w:rPr>
              <w:t xml:space="preserve">Panneau, face, surface, emplacement</w:t>
            </w:r>
          </w:p>
        </w:tc>
        <w:tc>
          <w:tcPr>
            <w:tcW w:type="dxa" w:w="3931"/>
            <w:tcMar>
              <w:top w:type="dxa" w:w="60"/>
              <w:left w:type="dxa" w:w="90"/>
              <w:bottom w:type="dxa" w:w="60"/>
              <w:right w:type="dxa" w:w="90"/>
            </w:tcMar>
          </w:tcPr>
          <w:p>
            <w:pPr>
              <w:spacing w:after="20" w:line="240"/>
            </w:pPr>
            <w:r>
              <w:rPr>
                <w:b w:val="false"/>
                <w:bCs w:val="false"/>
                <w:sz w:val="18"/>
                <w:szCs w:val="18"/>
              </w:rPr>
              <w:t xml:space="preserve">Identifiant géographique et plaque QR par panneau ; tout panneau sans plaque est non enregistré</w:t>
            </w:r>
          </w:p>
        </w:tc>
        <w:tc>
          <w:tcPr>
            <w:tcW w:type="dxa" w:w="1498"/>
            <w:tcMar>
              <w:top w:type="dxa" w:w="60"/>
              <w:left w:type="dxa" w:w="90"/>
              <w:bottom w:type="dxa" w:w="60"/>
              <w:right w:type="dxa" w:w="90"/>
            </w:tcMar>
          </w:tcPr>
          <w:p>
            <w:pPr>
              <w:spacing w:after="20" w:line="240"/>
            </w:pPr>
            <w:r>
              <w:rPr>
                <w:b w:val="false"/>
                <w:bCs w:val="false"/>
                <w:sz w:val="18"/>
                <w:szCs w:val="18"/>
              </w:rPr>
              <w:t xml:space="preserve">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Taxe sur les antennes</w:t>
            </w:r>
          </w:p>
        </w:tc>
        <w:tc>
          <w:tcPr>
            <w:tcW w:type="dxa" w:w="1872"/>
            <w:tcMar>
              <w:top w:type="dxa" w:w="60"/>
              <w:left w:type="dxa" w:w="90"/>
              <w:bottom w:type="dxa" w:w="60"/>
              <w:right w:type="dxa" w:w="90"/>
            </w:tcMar>
          </w:tcPr>
          <w:p>
            <w:pPr>
              <w:spacing w:after="20" w:line="240"/>
            </w:pPr>
            <w:r>
              <w:rPr>
                <w:b w:val="false"/>
                <w:bCs w:val="false"/>
                <w:sz w:val="18"/>
                <w:szCs w:val="18"/>
              </w:rPr>
              <w:t xml:space="preserve">Site, pylône, opérateur</w:t>
            </w:r>
          </w:p>
        </w:tc>
        <w:tc>
          <w:tcPr>
            <w:tcW w:type="dxa" w:w="3931"/>
            <w:tcMar>
              <w:top w:type="dxa" w:w="60"/>
              <w:left w:type="dxa" w:w="90"/>
              <w:bottom w:type="dxa" w:w="60"/>
              <w:right w:type="dxa" w:w="90"/>
            </w:tcMar>
          </w:tcPr>
          <w:p>
            <w:pPr>
              <w:spacing w:after="20" w:line="240"/>
            </w:pPr>
            <w:r>
              <w:rPr>
                <w:b w:val="false"/>
                <w:bCs w:val="false"/>
                <w:sz w:val="18"/>
                <w:szCs w:val="18"/>
              </w:rPr>
              <w:t xml:space="preserve">Liste des sites des opérateurs ; très peu de redevables, liquidation annuelle automatique</w:t>
            </w:r>
          </w:p>
        </w:tc>
        <w:tc>
          <w:tcPr>
            <w:tcW w:type="dxa" w:w="1498"/>
            <w:tcMar>
              <w:top w:type="dxa" w:w="60"/>
              <w:left w:type="dxa" w:w="90"/>
              <w:bottom w:type="dxa" w:w="60"/>
              <w:right w:type="dxa" w:w="90"/>
            </w:tcMar>
          </w:tcPr>
          <w:p>
            <w:pPr>
              <w:spacing w:after="20" w:line="240"/>
            </w:pPr>
            <w:r>
              <w:rPr>
                <w:b w:val="false"/>
                <w:bCs w:val="false"/>
                <w:sz w:val="18"/>
                <w:szCs w:val="18"/>
              </w:rPr>
              <w:t xml:space="preserve">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Autorisation de transport ; embarquement et débarquement</w:t>
            </w:r>
          </w:p>
        </w:tc>
        <w:tc>
          <w:tcPr>
            <w:tcW w:type="dxa" w:w="1872"/>
            <w:tcMar>
              <w:top w:type="dxa" w:w="60"/>
              <w:left w:type="dxa" w:w="90"/>
              <w:bottom w:type="dxa" w:w="60"/>
              <w:right w:type="dxa" w:w="90"/>
            </w:tcMar>
          </w:tcPr>
          <w:p>
            <w:pPr>
              <w:spacing w:after="20" w:line="240"/>
            </w:pPr>
            <w:r>
              <w:rPr>
                <w:b w:val="false"/>
                <w:bCs w:val="false"/>
                <w:sz w:val="18"/>
                <w:szCs w:val="18"/>
              </w:rPr>
              <w:t xml:space="preserve">Véhicule de transport, embarcation, point d'embarquement</w:t>
            </w:r>
          </w:p>
        </w:tc>
        <w:tc>
          <w:tcPr>
            <w:tcW w:type="dxa" w:w="3931"/>
            <w:tcMar>
              <w:top w:type="dxa" w:w="60"/>
              <w:left w:type="dxa" w:w="90"/>
              <w:bottom w:type="dxa" w:w="60"/>
              <w:right w:type="dxa" w:w="90"/>
            </w:tcMar>
          </w:tcPr>
          <w:p>
            <w:pPr>
              <w:spacing w:after="20" w:line="240"/>
            </w:pPr>
            <w:r>
              <w:rPr>
                <w:b w:val="false"/>
                <w:bCs w:val="false"/>
                <w:sz w:val="18"/>
                <w:szCs w:val="18"/>
              </w:rPr>
              <w:t xml:space="preserve">Autorisation rattachée à l'objet ; perception par voie mobile au point de départ</w:t>
            </w:r>
          </w:p>
        </w:tc>
        <w:tc>
          <w:tcPr>
            <w:tcW w:type="dxa" w:w="1498"/>
            <w:tcMar>
              <w:top w:type="dxa" w:w="60"/>
              <w:left w:type="dxa" w:w="90"/>
              <w:bottom w:type="dxa" w:w="60"/>
              <w:right w:type="dxa" w:w="90"/>
            </w:tcMar>
          </w:tcPr>
          <w:p>
            <w:pPr>
              <w:spacing w:after="20" w:line="240"/>
            </w:pPr>
            <w:r>
              <w:rPr>
                <w:b w:val="false"/>
                <w:bCs w:val="false"/>
                <w:sz w:val="18"/>
                <w:szCs w:val="18"/>
              </w:rPr>
              <w:t xml:space="preserve">Moyen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Taxe sur les spectacles</w:t>
            </w:r>
          </w:p>
        </w:tc>
        <w:tc>
          <w:tcPr>
            <w:tcW w:type="dxa" w:w="1872"/>
            <w:tcMar>
              <w:top w:type="dxa" w:w="60"/>
              <w:left w:type="dxa" w:w="90"/>
              <w:bottom w:type="dxa" w:w="60"/>
              <w:right w:type="dxa" w:w="90"/>
            </w:tcMar>
          </w:tcPr>
          <w:p>
            <w:pPr>
              <w:spacing w:after="20" w:line="240"/>
            </w:pPr>
            <w:r>
              <w:rPr>
                <w:b w:val="false"/>
                <w:bCs w:val="false"/>
                <w:sz w:val="18"/>
                <w:szCs w:val="18"/>
              </w:rPr>
              <w:t xml:space="preserve">Événement, salle, organisateur</w:t>
            </w:r>
          </w:p>
        </w:tc>
        <w:tc>
          <w:tcPr>
            <w:tcW w:type="dxa" w:w="3931"/>
            <w:tcMar>
              <w:top w:type="dxa" w:w="60"/>
              <w:left w:type="dxa" w:w="90"/>
              <w:bottom w:type="dxa" w:w="60"/>
              <w:right w:type="dxa" w:w="90"/>
            </w:tcMar>
          </w:tcPr>
          <w:p>
            <w:pPr>
              <w:spacing w:after="20" w:line="240"/>
            </w:pPr>
            <w:r>
              <w:rPr>
                <w:b w:val="false"/>
                <w:bCs w:val="false"/>
                <w:sz w:val="18"/>
                <w:szCs w:val="18"/>
              </w:rPr>
              <w:t xml:space="preserve">Autorisation d'événement conditionnée à l'enregistrement ; assiette sur la billetterie déclarée</w:t>
            </w:r>
          </w:p>
        </w:tc>
        <w:tc>
          <w:tcPr>
            <w:tcW w:type="dxa" w:w="1498"/>
            <w:tcMar>
              <w:top w:type="dxa" w:w="60"/>
              <w:left w:type="dxa" w:w="90"/>
              <w:bottom w:type="dxa" w:w="60"/>
              <w:right w:type="dxa" w:w="90"/>
            </w:tcMar>
          </w:tcPr>
          <w:p>
            <w:pPr>
              <w:spacing w:after="20" w:line="240"/>
            </w:pPr>
            <w:r>
              <w:rPr>
                <w:b w:val="false"/>
                <w:bCs w:val="false"/>
                <w:sz w:val="18"/>
                <w:szCs w:val="18"/>
              </w:rPr>
              <w:t xml:space="preserve">Moyen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Carrières à ciel ouvert</w:t>
            </w:r>
          </w:p>
        </w:tc>
        <w:tc>
          <w:tcPr>
            <w:tcW w:type="dxa" w:w="1872"/>
            <w:tcMar>
              <w:top w:type="dxa" w:w="60"/>
              <w:left w:type="dxa" w:w="90"/>
              <w:bottom w:type="dxa" w:w="60"/>
              <w:right w:type="dxa" w:w="90"/>
            </w:tcMar>
          </w:tcPr>
          <w:p>
            <w:pPr>
              <w:spacing w:after="20" w:line="240"/>
            </w:pPr>
            <w:r>
              <w:rPr>
                <w:b w:val="false"/>
                <w:bCs w:val="false"/>
                <w:sz w:val="18"/>
                <w:szCs w:val="18"/>
              </w:rPr>
              <w:t xml:space="preserve">Site d'extraction, exploitant</w:t>
            </w:r>
          </w:p>
        </w:tc>
        <w:tc>
          <w:tcPr>
            <w:tcW w:type="dxa" w:w="3931"/>
            <w:tcMar>
              <w:top w:type="dxa" w:w="60"/>
              <w:left w:type="dxa" w:w="90"/>
              <w:bottom w:type="dxa" w:w="60"/>
              <w:right w:type="dxa" w:w="90"/>
            </w:tcMar>
          </w:tcPr>
          <w:p>
            <w:pPr>
              <w:spacing w:after="20" w:line="240"/>
            </w:pPr>
            <w:r>
              <w:rPr>
                <w:b w:val="false"/>
                <w:bCs w:val="false"/>
                <w:sz w:val="18"/>
                <w:szCs w:val="18"/>
              </w:rPr>
              <w:t xml:space="preserve">Sites géoréférencés, comptage des sorties de camions rapproché des déclarations</w:t>
            </w:r>
          </w:p>
        </w:tc>
        <w:tc>
          <w:tcPr>
            <w:tcW w:type="dxa" w:w="1498"/>
            <w:tcMar>
              <w:top w:type="dxa" w:w="60"/>
              <w:left w:type="dxa" w:w="90"/>
              <w:bottom w:type="dxa" w:w="60"/>
              <w:right w:type="dxa" w:w="90"/>
            </w:tcMar>
          </w:tcPr>
          <w:p>
            <w:pPr>
              <w:spacing w:after="20" w:line="240"/>
            </w:pPr>
            <w:r>
              <w:rPr>
                <w:b w:val="false"/>
                <w:bCs w:val="false"/>
                <w:sz w:val="18"/>
                <w:szCs w:val="18"/>
              </w:rPr>
              <w:t xml:space="preserve">Moyen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Voirie, drainage, assainissement</w:t>
            </w:r>
          </w:p>
        </w:tc>
        <w:tc>
          <w:tcPr>
            <w:tcW w:type="dxa" w:w="1872"/>
            <w:tcMar>
              <w:top w:type="dxa" w:w="60"/>
              <w:left w:type="dxa" w:w="90"/>
              <w:bottom w:type="dxa" w:w="60"/>
              <w:right w:type="dxa" w:w="90"/>
            </w:tcMar>
          </w:tcPr>
          <w:p>
            <w:pPr>
              <w:spacing w:after="20" w:line="240"/>
            </w:pPr>
            <w:r>
              <w:rPr>
                <w:b w:val="false"/>
                <w:bCs w:val="false"/>
                <w:sz w:val="18"/>
                <w:szCs w:val="18"/>
              </w:rPr>
              <w:t xml:space="preserve">Parcelle, activité</w:t>
            </w:r>
          </w:p>
        </w:tc>
        <w:tc>
          <w:tcPr>
            <w:tcW w:type="dxa" w:w="3931"/>
            <w:tcMar>
              <w:top w:type="dxa" w:w="60"/>
              <w:left w:type="dxa" w:w="90"/>
              <w:bottom w:type="dxa" w:w="60"/>
              <w:right w:type="dxa" w:w="90"/>
            </w:tcMar>
          </w:tcPr>
          <w:p>
            <w:pPr>
              <w:spacing w:after="20" w:line="240"/>
            </w:pPr>
            <w:r>
              <w:rPr>
                <w:b w:val="false"/>
                <w:bCs w:val="false"/>
                <w:sz w:val="18"/>
                <w:szCs w:val="18"/>
              </w:rPr>
              <w:t xml:space="preserve">Adossé aux objets existants, sans recensement supplémentaire</w:t>
            </w:r>
          </w:p>
        </w:tc>
        <w:tc>
          <w:tcPr>
            <w:tcW w:type="dxa" w:w="1498"/>
            <w:tcMar>
              <w:top w:type="dxa" w:w="60"/>
              <w:left w:type="dxa" w:w="90"/>
              <w:bottom w:type="dxa" w:w="60"/>
              <w:right w:type="dxa" w:w="90"/>
            </w:tcMar>
          </w:tcPr>
          <w:p>
            <w:pPr>
              <w:spacing w:after="20" w:line="240"/>
            </w:pPr>
            <w:r>
              <w:rPr>
                <w:b w:val="false"/>
                <w:bCs w:val="false"/>
                <w:sz w:val="18"/>
                <w:szCs w:val="18"/>
              </w:rPr>
              <w:t xml:space="preserve">Moyen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Occupation du domaine public, marchés, parkings</w:t>
            </w:r>
          </w:p>
        </w:tc>
        <w:tc>
          <w:tcPr>
            <w:tcW w:type="dxa" w:w="1872"/>
            <w:tcMar>
              <w:top w:type="dxa" w:w="60"/>
              <w:left w:type="dxa" w:w="90"/>
              <w:bottom w:type="dxa" w:w="60"/>
              <w:right w:type="dxa" w:w="90"/>
            </w:tcMar>
          </w:tcPr>
          <w:p>
            <w:pPr>
              <w:spacing w:after="20" w:line="240"/>
            </w:pPr>
            <w:r>
              <w:rPr>
                <w:b w:val="false"/>
                <w:bCs w:val="false"/>
                <w:sz w:val="18"/>
                <w:szCs w:val="18"/>
              </w:rPr>
              <w:t xml:space="preserve">Emprise, étal, place</w:t>
            </w:r>
          </w:p>
        </w:tc>
        <w:tc>
          <w:tcPr>
            <w:tcW w:type="dxa" w:w="3931"/>
            <w:tcMar>
              <w:top w:type="dxa" w:w="60"/>
              <w:left w:type="dxa" w:w="90"/>
              <w:bottom w:type="dxa" w:w="60"/>
              <w:right w:type="dxa" w:w="90"/>
            </w:tcMar>
          </w:tcPr>
          <w:p>
            <w:pPr>
              <w:spacing w:after="20" w:line="240"/>
            </w:pPr>
            <w:r>
              <w:rPr>
                <w:b w:val="false"/>
                <w:bCs w:val="false"/>
                <w:sz w:val="18"/>
                <w:szCs w:val="18"/>
              </w:rPr>
              <w:t xml:space="preserve">Plan géoréférencé des emprises et des places ; redevance périodique par voie mobile</w:t>
            </w:r>
          </w:p>
        </w:tc>
        <w:tc>
          <w:tcPr>
            <w:tcW w:type="dxa" w:w="1498"/>
            <w:tcMar>
              <w:top w:type="dxa" w:w="60"/>
              <w:left w:type="dxa" w:w="90"/>
              <w:bottom w:type="dxa" w:w="60"/>
              <w:right w:type="dxa" w:w="90"/>
            </w:tcMar>
          </w:tcPr>
          <w:p>
            <w:pPr>
              <w:spacing w:after="20" w:line="240"/>
            </w:pPr>
            <w:r>
              <w:rPr>
                <w:b w:val="false"/>
                <w:bCs w:val="false"/>
                <w:sz w:val="18"/>
                <w:szCs w:val="18"/>
              </w:rPr>
              <w:t xml:space="preserve">Moyen à élevé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Péage provincial, accostage en ports privés</w:t>
            </w:r>
          </w:p>
        </w:tc>
        <w:tc>
          <w:tcPr>
            <w:tcW w:type="dxa" w:w="1872"/>
            <w:tcMar>
              <w:top w:type="dxa" w:w="60"/>
              <w:left w:type="dxa" w:w="90"/>
              <w:bottom w:type="dxa" w:w="60"/>
              <w:right w:type="dxa" w:w="90"/>
            </w:tcMar>
          </w:tcPr>
          <w:p>
            <w:pPr>
              <w:spacing w:after="20" w:line="240"/>
            </w:pPr>
            <w:r>
              <w:rPr>
                <w:b w:val="false"/>
                <w:bCs w:val="false"/>
                <w:sz w:val="18"/>
                <w:szCs w:val="18"/>
              </w:rPr>
              <w:t xml:space="preserve">Axe, quai, embarcation</w:t>
            </w:r>
          </w:p>
        </w:tc>
        <w:tc>
          <w:tcPr>
            <w:tcW w:type="dxa" w:w="3931"/>
            <w:tcMar>
              <w:top w:type="dxa" w:w="60"/>
              <w:left w:type="dxa" w:w="90"/>
              <w:bottom w:type="dxa" w:w="60"/>
              <w:right w:type="dxa" w:w="90"/>
            </w:tcMar>
          </w:tcPr>
          <w:p>
            <w:pPr>
              <w:spacing w:after="20" w:line="240"/>
            </w:pPr>
            <w:r>
              <w:rPr>
                <w:b w:val="false"/>
                <w:bCs w:val="false"/>
                <w:sz w:val="18"/>
                <w:szCs w:val="18"/>
              </w:rPr>
              <w:t xml:space="preserve">Reçu électronique lié à la plaque ou à l'embarcation</w:t>
            </w:r>
          </w:p>
        </w:tc>
        <w:tc>
          <w:tcPr>
            <w:tcW w:type="dxa" w:w="1498"/>
            <w:tcMar>
              <w:top w:type="dxa" w:w="60"/>
              <w:left w:type="dxa" w:w="90"/>
              <w:bottom w:type="dxa" w:w="60"/>
              <w:right w:type="dxa" w:w="90"/>
            </w:tcMar>
          </w:tcPr>
          <w:p>
            <w:pPr>
              <w:spacing w:after="20" w:line="240"/>
            </w:pPr>
            <w:r>
              <w:rPr>
                <w:b w:val="false"/>
                <w:bCs w:val="false"/>
                <w:sz w:val="18"/>
                <w:szCs w:val="18"/>
              </w:rPr>
              <w:t xml:space="preserve">Moyen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Produits forestiers non ligneux</w:t>
            </w:r>
          </w:p>
        </w:tc>
        <w:tc>
          <w:tcPr>
            <w:tcW w:type="dxa" w:w="1872"/>
            <w:tcMar>
              <w:top w:type="dxa" w:w="60"/>
              <w:left w:type="dxa" w:w="90"/>
              <w:bottom w:type="dxa" w:w="60"/>
              <w:right w:type="dxa" w:w="90"/>
            </w:tcMar>
          </w:tcPr>
          <w:p>
            <w:pPr>
              <w:spacing w:after="20" w:line="240"/>
            </w:pPr>
            <w:r>
              <w:rPr>
                <w:b w:val="false"/>
                <w:bCs w:val="false"/>
                <w:sz w:val="18"/>
                <w:szCs w:val="18"/>
              </w:rPr>
              <w:t xml:space="preserve">Point de vente, quantité</w:t>
            </w:r>
          </w:p>
        </w:tc>
        <w:tc>
          <w:tcPr>
            <w:tcW w:type="dxa" w:w="3931"/>
            <w:tcMar>
              <w:top w:type="dxa" w:w="60"/>
              <w:left w:type="dxa" w:w="90"/>
              <w:bottom w:type="dxa" w:w="60"/>
              <w:right w:type="dxa" w:w="90"/>
            </w:tcMar>
          </w:tcPr>
          <w:p>
            <w:pPr>
              <w:spacing w:after="20" w:line="240"/>
            </w:pPr>
            <w:r>
              <w:rPr>
                <w:b w:val="false"/>
                <w:bCs w:val="false"/>
                <w:sz w:val="18"/>
                <w:szCs w:val="18"/>
              </w:rPr>
              <w:t xml:space="preserve">Déclaration aux points de contrôle</w:t>
            </w:r>
          </w:p>
        </w:tc>
        <w:tc>
          <w:tcPr>
            <w:tcW w:type="dxa" w:w="1498"/>
            <w:tcMar>
              <w:top w:type="dxa" w:w="60"/>
              <w:left w:type="dxa" w:w="90"/>
              <w:bottom w:type="dxa" w:w="60"/>
              <w:right w:type="dxa" w:w="90"/>
            </w:tcMar>
          </w:tcPr>
          <w:p>
            <w:pPr>
              <w:spacing w:after="20" w:line="240"/>
            </w:pPr>
            <w:r>
              <w:rPr>
                <w:b w:val="false"/>
                <w:bCs w:val="false"/>
                <w:sz w:val="18"/>
                <w:szCs w:val="18"/>
              </w:rPr>
              <w:t xml:space="preserve">Faible</w:t>
            </w:r>
          </w:p>
        </w:tc>
      </w:tr>
    </w:tbl>
    <w:p>
      <w:pPr>
        <w:pStyle w:val="Heading1"/>
        <w:spacing w:after="160" w:before="360"/>
      </w:pPr>
      <w:r>
        <w:t xml:space="preserve">8. Nouvelles opportunités de recettes</w:t>
      </w:r>
    </w:p>
    <w:p>
      <w:pPr>
        <w:spacing w:after="120" w:line="276"/>
        <w:jc w:val="both"/>
      </w:pPr>
      <w:r>
        <w:rPr>
          <w:b w:val="false"/>
          <w:bCs w:val="false"/>
          <w:i w:val="false"/>
          <w:iCs w:val="false"/>
          <w:sz w:val="21"/>
          <w:szCs w:val="21"/>
        </w:rPr>
        <w:t xml:space="preserve">Cette section identifie des gisements licites, classés par faisabilité. Aucune de ces pistes ne peut être activée sans base légale. Lorsqu'un acte nouveau est nécessaire, la voie juridique est indiquée. Les estimations de potentiel restent des ordres de grandeur à confirmer par le recensement pilote.</w:t>
      </w:r>
    </w:p>
    <w:p>
      <w:pPr>
        <w:pStyle w:val="Heading2"/>
        <w:spacing w:after="120" w:before="260"/>
      </w:pPr>
      <w:r>
        <w:t xml:space="preserve">8.1 Gisements sans texte nouveau, activables immédiatement</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808"/>
        <w:gridCol w:w="2434"/>
        <w:gridCol w:w="2995"/>
        <w:gridCol w:w="1123"/>
      </w:tblGrid>
      <w:tr>
        <w:trPr>
          <w:tblHeader/>
        </w:trPr>
        <w:tc>
          <w:tcPr>
            <w:tcW w:type="dxa" w:w="2808"/>
            <w:shd w:fill="E6F4F1" w:color="auto" w:val="clear"/>
            <w:tcMar>
              <w:top w:type="dxa" w:w="60"/>
              <w:left w:type="dxa" w:w="90"/>
              <w:bottom w:type="dxa" w:w="60"/>
              <w:right w:type="dxa" w:w="90"/>
            </w:tcMar>
          </w:tcPr>
          <w:p>
            <w:pPr>
              <w:spacing w:after="20" w:line="240"/>
            </w:pPr>
            <w:r>
              <w:rPr>
                <w:b/>
                <w:bCs/>
                <w:sz w:val="18"/>
                <w:szCs w:val="18"/>
              </w:rPr>
              <w:t xml:space="preserve">Piste</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Nature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Condition</w:t>
            </w:r>
          </w:p>
        </w:tc>
        <w:tc>
          <w:tcPr>
            <w:tcW w:type="dxa" w:w="1123"/>
            <w:shd w:fill="E6F4F1" w:color="auto" w:val="clear"/>
            <w:tcMar>
              <w:top w:type="dxa" w:w="60"/>
              <w:left w:type="dxa" w:w="90"/>
              <w:bottom w:type="dxa" w:w="60"/>
              <w:right w:type="dxa" w:w="90"/>
            </w:tcMar>
          </w:tcPr>
          <w:p>
            <w:pPr>
              <w:spacing w:after="20" w:line="240"/>
            </w:pPr>
            <w:r>
              <w:rPr>
                <w:b/>
                <w:bCs/>
                <w:sz w:val="18"/>
                <w:szCs w:val="18"/>
              </w:rPr>
              <w:t xml:space="preserve">Priorité</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Recensement locatif systématique</w:t>
            </w:r>
          </w:p>
        </w:tc>
        <w:tc>
          <w:tcPr>
            <w:tcW w:type="dxa" w:w="2434"/>
            <w:tcMar>
              <w:top w:type="dxa" w:w="60"/>
              <w:left w:type="dxa" w:w="90"/>
              <w:bottom w:type="dxa" w:w="60"/>
              <w:right w:type="dxa" w:w="90"/>
            </w:tcMar>
          </w:tcPr>
          <w:p>
            <w:pPr>
              <w:spacing w:after="20" w:line="240"/>
            </w:pPr>
            <w:r>
              <w:rPr>
                <w:b w:val="false"/>
                <w:bCs w:val="false"/>
                <w:sz w:val="18"/>
                <w:szCs w:val="18"/>
              </w:rPr>
              <w:t xml:space="preserve">Élargissement d'assiette IRL à droit constant</w:t>
            </w:r>
          </w:p>
        </w:tc>
        <w:tc>
          <w:tcPr>
            <w:tcW w:type="dxa" w:w="2995"/>
            <w:tcMar>
              <w:top w:type="dxa" w:w="60"/>
              <w:left w:type="dxa" w:w="90"/>
              <w:bottom w:type="dxa" w:w="60"/>
              <w:right w:type="dxa" w:w="90"/>
            </w:tcMar>
          </w:tcPr>
          <w:p>
            <w:pPr>
              <w:spacing w:after="20" w:line="240"/>
            </w:pPr>
            <w:r>
              <w:rPr>
                <w:b w:val="false"/>
                <w:bCs w:val="false"/>
                <w:sz w:val="18"/>
                <w:szCs w:val="18"/>
              </w:rPr>
              <w:t xml:space="preserve">Protocoles de données, recensement terrain</w:t>
            </w:r>
          </w:p>
        </w:tc>
        <w:tc>
          <w:tcPr>
            <w:tcW w:type="dxa" w:w="1123"/>
            <w:tcMar>
              <w:top w:type="dxa" w:w="60"/>
              <w:left w:type="dxa" w:w="90"/>
              <w:bottom w:type="dxa" w:w="60"/>
              <w:right w:type="dxa" w:w="90"/>
            </w:tcMar>
          </w:tcPr>
          <w:p>
            <w:pPr>
              <w:spacing w:after="20" w:line="240"/>
            </w:pPr>
            <w:r>
              <w:rPr>
                <w:b w:val="false"/>
                <w:bCs w:val="false"/>
                <w:sz w:val="18"/>
                <w:szCs w:val="18"/>
              </w:rPr>
              <w:t xml:space="preserve">1</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Généralisation du quitus fiscal numérique</w:t>
            </w:r>
          </w:p>
        </w:tc>
        <w:tc>
          <w:tcPr>
            <w:tcW w:type="dxa" w:w="2434"/>
            <w:tcMar>
              <w:top w:type="dxa" w:w="60"/>
              <w:left w:type="dxa" w:w="90"/>
              <w:bottom w:type="dxa" w:w="60"/>
              <w:right w:type="dxa" w:w="90"/>
            </w:tcMar>
          </w:tcPr>
          <w:p>
            <w:pPr>
              <w:spacing w:after="20" w:line="240"/>
            </w:pPr>
            <w:r>
              <w:rPr>
                <w:b w:val="false"/>
                <w:bCs w:val="false"/>
                <w:sz w:val="18"/>
                <w:szCs w:val="18"/>
              </w:rPr>
              <w:t xml:space="preserve">Conditionnalité d'accès aux services publics provinciaux</w:t>
            </w:r>
          </w:p>
        </w:tc>
        <w:tc>
          <w:tcPr>
            <w:tcW w:type="dxa" w:w="2995"/>
            <w:tcMar>
              <w:top w:type="dxa" w:w="60"/>
              <w:left w:type="dxa" w:w="90"/>
              <w:bottom w:type="dxa" w:w="60"/>
              <w:right w:type="dxa" w:w="90"/>
            </w:tcMar>
          </w:tcPr>
          <w:p>
            <w:pPr>
              <w:spacing w:after="20" w:line="240"/>
            </w:pPr>
            <w:r>
              <w:rPr>
                <w:b w:val="false"/>
                <w:bCs w:val="false"/>
                <w:sz w:val="18"/>
                <w:szCs w:val="18"/>
              </w:rPr>
              <w:t xml:space="preserve">Extension par arrêté aux permis de bâtir, mutations et mutations de véhicules</w:t>
            </w:r>
          </w:p>
        </w:tc>
        <w:tc>
          <w:tcPr>
            <w:tcW w:type="dxa" w:w="1123"/>
            <w:tcMar>
              <w:top w:type="dxa" w:w="60"/>
              <w:left w:type="dxa" w:w="90"/>
              <w:bottom w:type="dxa" w:w="60"/>
              <w:right w:type="dxa" w:w="90"/>
            </w:tcMar>
          </w:tcPr>
          <w:p>
            <w:pPr>
              <w:spacing w:after="20" w:line="240"/>
            </w:pPr>
            <w:r>
              <w:rPr>
                <w:b w:val="false"/>
                <w:bCs w:val="false"/>
                <w:sz w:val="18"/>
                <w:szCs w:val="18"/>
              </w:rPr>
              <w:t xml:space="preserve">1</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Cellule grands redevables (brasseries, tabac, antennes, carrières)</w:t>
            </w:r>
          </w:p>
        </w:tc>
        <w:tc>
          <w:tcPr>
            <w:tcW w:type="dxa" w:w="2434"/>
            <w:tcMar>
              <w:top w:type="dxa" w:w="60"/>
              <w:left w:type="dxa" w:w="90"/>
              <w:bottom w:type="dxa" w:w="60"/>
              <w:right w:type="dxa" w:w="90"/>
            </w:tcMar>
          </w:tcPr>
          <w:p>
            <w:pPr>
              <w:spacing w:after="20" w:line="240"/>
            </w:pPr>
            <w:r>
              <w:rPr>
                <w:b w:val="false"/>
                <w:bCs w:val="false"/>
                <w:sz w:val="18"/>
                <w:szCs w:val="18"/>
              </w:rPr>
              <w:t xml:space="preserve">Fiabilisation de recettes existantes</w:t>
            </w:r>
          </w:p>
        </w:tc>
        <w:tc>
          <w:tcPr>
            <w:tcW w:type="dxa" w:w="2995"/>
            <w:tcMar>
              <w:top w:type="dxa" w:w="60"/>
              <w:left w:type="dxa" w:w="90"/>
              <w:bottom w:type="dxa" w:w="60"/>
              <w:right w:type="dxa" w:w="90"/>
            </w:tcMar>
          </w:tcPr>
          <w:p>
            <w:pPr>
              <w:spacing w:after="20" w:line="240"/>
            </w:pPr>
            <w:r>
              <w:rPr>
                <w:b w:val="false"/>
                <w:bCs w:val="false"/>
                <w:sz w:val="18"/>
                <w:szCs w:val="18"/>
              </w:rPr>
              <w:t xml:space="preserve">Conventions de déclaration et de rapprochement</w:t>
            </w:r>
          </w:p>
        </w:tc>
        <w:tc>
          <w:tcPr>
            <w:tcW w:type="dxa" w:w="1123"/>
            <w:tcMar>
              <w:top w:type="dxa" w:w="60"/>
              <w:left w:type="dxa" w:w="90"/>
              <w:bottom w:type="dxa" w:w="60"/>
              <w:right w:type="dxa" w:w="90"/>
            </w:tcMar>
          </w:tcPr>
          <w:p>
            <w:pPr>
              <w:spacing w:after="20" w:line="240"/>
            </w:pPr>
            <w:r>
              <w:rPr>
                <w:b w:val="false"/>
                <w:bCs w:val="false"/>
                <w:sz w:val="18"/>
                <w:szCs w:val="18"/>
              </w:rPr>
              <w:t xml:space="preserve">1</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Recouvrement des arriérés et régularisation volontaire</w:t>
            </w:r>
          </w:p>
        </w:tc>
        <w:tc>
          <w:tcPr>
            <w:tcW w:type="dxa" w:w="2434"/>
            <w:tcMar>
              <w:top w:type="dxa" w:w="60"/>
              <w:left w:type="dxa" w:w="90"/>
              <w:bottom w:type="dxa" w:w="60"/>
              <w:right w:type="dxa" w:w="90"/>
            </w:tcMar>
          </w:tcPr>
          <w:p>
            <w:pPr>
              <w:spacing w:after="20" w:line="240"/>
            </w:pPr>
            <w:r>
              <w:rPr>
                <w:b w:val="false"/>
                <w:bCs w:val="false"/>
                <w:sz w:val="18"/>
                <w:szCs w:val="18"/>
              </w:rPr>
              <w:t xml:space="preserve">Recettes historiques</w:t>
            </w:r>
          </w:p>
        </w:tc>
        <w:tc>
          <w:tcPr>
            <w:tcW w:type="dxa" w:w="2995"/>
            <w:tcMar>
              <w:top w:type="dxa" w:w="60"/>
              <w:left w:type="dxa" w:w="90"/>
              <w:bottom w:type="dxa" w:w="60"/>
              <w:right w:type="dxa" w:w="90"/>
            </w:tcMar>
          </w:tcPr>
          <w:p>
            <w:pPr>
              <w:spacing w:after="20" w:line="240"/>
            </w:pPr>
            <w:r>
              <w:rPr>
                <w:b w:val="false"/>
                <w:bCs w:val="false"/>
                <w:sz w:val="18"/>
                <w:szCs w:val="18"/>
              </w:rPr>
              <w:t xml:space="preserve">Campagne encadrée, échéanciers, abandon de pénalités si la loi le permet</w:t>
            </w:r>
          </w:p>
        </w:tc>
        <w:tc>
          <w:tcPr>
            <w:tcW w:type="dxa" w:w="1123"/>
            <w:tcMar>
              <w:top w:type="dxa" w:w="60"/>
              <w:left w:type="dxa" w:w="90"/>
              <w:bottom w:type="dxa" w:w="60"/>
              <w:right w:type="dxa" w:w="90"/>
            </w:tcMar>
          </w:tcPr>
          <w:p>
            <w:pPr>
              <w:spacing w:after="20" w:line="240"/>
            </w:pPr>
            <w:r>
              <w:rPr>
                <w:b w:val="false"/>
                <w:bCs w:val="false"/>
                <w:sz w:val="18"/>
                <w:szCs w:val="18"/>
              </w:rPr>
              <w:t xml:space="preserve">2</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Panneaux publicitaires non déclarés</w:t>
            </w:r>
          </w:p>
        </w:tc>
        <w:tc>
          <w:tcPr>
            <w:tcW w:type="dxa" w:w="2434"/>
            <w:tcMar>
              <w:top w:type="dxa" w:w="60"/>
              <w:left w:type="dxa" w:w="90"/>
              <w:bottom w:type="dxa" w:w="60"/>
              <w:right w:type="dxa" w:w="90"/>
            </w:tcMar>
          </w:tcPr>
          <w:p>
            <w:pPr>
              <w:spacing w:after="20" w:line="240"/>
            </w:pPr>
            <w:r>
              <w:rPr>
                <w:b w:val="false"/>
                <w:bCs w:val="false"/>
                <w:sz w:val="18"/>
                <w:szCs w:val="18"/>
              </w:rPr>
              <w:t xml:space="preserve">Assiette existante non captée</w:t>
            </w:r>
          </w:p>
        </w:tc>
        <w:tc>
          <w:tcPr>
            <w:tcW w:type="dxa" w:w="2995"/>
            <w:tcMar>
              <w:top w:type="dxa" w:w="60"/>
              <w:left w:type="dxa" w:w="90"/>
              <w:bottom w:type="dxa" w:w="60"/>
              <w:right w:type="dxa" w:w="90"/>
            </w:tcMar>
          </w:tcPr>
          <w:p>
            <w:pPr>
              <w:spacing w:after="20" w:line="240"/>
            </w:pPr>
            <w:r>
              <w:rPr>
                <w:b w:val="false"/>
                <w:bCs w:val="false"/>
                <w:sz w:val="18"/>
                <w:szCs w:val="18"/>
              </w:rPr>
              <w:t xml:space="preserve">Inventaire géoréférencé et plaques QR</w:t>
            </w:r>
          </w:p>
        </w:tc>
        <w:tc>
          <w:tcPr>
            <w:tcW w:type="dxa" w:w="1123"/>
            <w:tcMar>
              <w:top w:type="dxa" w:w="60"/>
              <w:left w:type="dxa" w:w="90"/>
              <w:bottom w:type="dxa" w:w="60"/>
              <w:right w:type="dxa" w:w="90"/>
            </w:tcMar>
          </w:tcPr>
          <w:p>
            <w:pPr>
              <w:spacing w:after="20" w:line="240"/>
            </w:pPr>
            <w:r>
              <w:rPr>
                <w:b w:val="false"/>
                <w:bCs w:val="false"/>
                <w:sz w:val="18"/>
                <w:szCs w:val="18"/>
              </w:rPr>
              <w:t xml:space="preserve">2</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Occupation du domaine public et parkings</w:t>
            </w:r>
          </w:p>
        </w:tc>
        <w:tc>
          <w:tcPr>
            <w:tcW w:type="dxa" w:w="2434"/>
            <w:tcMar>
              <w:top w:type="dxa" w:w="60"/>
              <w:left w:type="dxa" w:w="90"/>
              <w:bottom w:type="dxa" w:w="60"/>
              <w:right w:type="dxa" w:w="90"/>
            </w:tcMar>
          </w:tcPr>
          <w:p>
            <w:pPr>
              <w:spacing w:after="20" w:line="240"/>
            </w:pPr>
            <w:r>
              <w:rPr>
                <w:b w:val="false"/>
                <w:bCs w:val="false"/>
                <w:sz w:val="18"/>
                <w:szCs w:val="18"/>
              </w:rPr>
              <w:t xml:space="preserve">Redevances existantes mal suivies</w:t>
            </w:r>
          </w:p>
        </w:tc>
        <w:tc>
          <w:tcPr>
            <w:tcW w:type="dxa" w:w="2995"/>
            <w:tcMar>
              <w:top w:type="dxa" w:w="60"/>
              <w:left w:type="dxa" w:w="90"/>
              <w:bottom w:type="dxa" w:w="60"/>
              <w:right w:type="dxa" w:w="90"/>
            </w:tcMar>
          </w:tcPr>
          <w:p>
            <w:pPr>
              <w:spacing w:after="20" w:line="240"/>
            </w:pPr>
            <w:r>
              <w:rPr>
                <w:b w:val="false"/>
                <w:bCs w:val="false"/>
                <w:sz w:val="18"/>
                <w:szCs w:val="18"/>
              </w:rPr>
              <w:t xml:space="preserve">Plan des emprises, redevance mobile</w:t>
            </w:r>
          </w:p>
        </w:tc>
        <w:tc>
          <w:tcPr>
            <w:tcW w:type="dxa" w:w="1123"/>
            <w:tcMar>
              <w:top w:type="dxa" w:w="60"/>
              <w:left w:type="dxa" w:w="90"/>
              <w:bottom w:type="dxa" w:w="60"/>
              <w:right w:type="dxa" w:w="90"/>
            </w:tcMar>
          </w:tcPr>
          <w:p>
            <w:pPr>
              <w:spacing w:after="20" w:line="240"/>
            </w:pPr>
            <w:r>
              <w:rPr>
                <w:b w:val="false"/>
                <w:bCs w:val="false"/>
                <w:sz w:val="18"/>
                <w:szCs w:val="18"/>
              </w:rPr>
              <w:t xml:space="preserve">2</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Réduction des exonérations et annulations irrégulières</w:t>
            </w:r>
          </w:p>
        </w:tc>
        <w:tc>
          <w:tcPr>
            <w:tcW w:type="dxa" w:w="2434"/>
            <w:tcMar>
              <w:top w:type="dxa" w:w="60"/>
              <w:left w:type="dxa" w:w="90"/>
              <w:bottom w:type="dxa" w:w="60"/>
              <w:right w:type="dxa" w:w="90"/>
            </w:tcMar>
          </w:tcPr>
          <w:p>
            <w:pPr>
              <w:spacing w:after="20" w:line="240"/>
            </w:pPr>
            <w:r>
              <w:rPr>
                <w:b w:val="false"/>
                <w:bCs w:val="false"/>
                <w:sz w:val="18"/>
                <w:szCs w:val="18"/>
              </w:rPr>
              <w:t xml:space="preserve">Récupération de base</w:t>
            </w:r>
          </w:p>
        </w:tc>
        <w:tc>
          <w:tcPr>
            <w:tcW w:type="dxa" w:w="2995"/>
            <w:tcMar>
              <w:top w:type="dxa" w:w="60"/>
              <w:left w:type="dxa" w:w="90"/>
              <w:bottom w:type="dxa" w:w="60"/>
              <w:right w:type="dxa" w:w="90"/>
            </w:tcMar>
          </w:tcPr>
          <w:p>
            <w:pPr>
              <w:spacing w:after="20" w:line="240"/>
            </w:pPr>
            <w:r>
              <w:rPr>
                <w:b w:val="false"/>
                <w:bCs w:val="false"/>
                <w:sz w:val="18"/>
                <w:szCs w:val="18"/>
              </w:rPr>
              <w:t xml:space="preserve">Registre des exonérations avec preuve et double validation</w:t>
            </w:r>
          </w:p>
        </w:tc>
        <w:tc>
          <w:tcPr>
            <w:tcW w:type="dxa" w:w="1123"/>
            <w:tcMar>
              <w:top w:type="dxa" w:w="60"/>
              <w:left w:type="dxa" w:w="90"/>
              <w:bottom w:type="dxa" w:w="60"/>
              <w:right w:type="dxa" w:w="90"/>
            </w:tcMar>
          </w:tcPr>
          <w:p>
            <w:pPr>
              <w:spacing w:after="20" w:line="240"/>
            </w:pPr>
            <w:r>
              <w:rPr>
                <w:b w:val="false"/>
                <w:bCs w:val="false"/>
                <w:sz w:val="18"/>
                <w:szCs w:val="18"/>
              </w:rPr>
              <w:t xml:space="preserve">2</w:t>
            </w:r>
          </w:p>
        </w:tc>
      </w:tr>
    </w:tbl>
    <w:p>
      <w:pPr>
        <w:pStyle w:val="Heading2"/>
        <w:spacing w:after="120" w:before="260"/>
      </w:pPr>
      <w:r>
        <w:t xml:space="preserve">8.2 Gisements exigeant un acte provincial</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2246"/>
        <w:gridCol w:w="2621"/>
        <w:gridCol w:w="2246"/>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Piste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Objectif de politique publique</w:t>
            </w:r>
          </w:p>
        </w:tc>
        <w:tc>
          <w:tcPr>
            <w:tcW w:type="dxa" w:w="2621"/>
            <w:shd w:fill="E6F4F1" w:color="auto" w:val="clear"/>
            <w:tcMar>
              <w:top w:type="dxa" w:w="60"/>
              <w:left w:type="dxa" w:w="90"/>
              <w:bottom w:type="dxa" w:w="60"/>
              <w:right w:type="dxa" w:w="90"/>
            </w:tcMar>
          </w:tcPr>
          <w:p>
            <w:pPr>
              <w:spacing w:after="20" w:line="240"/>
            </w:pPr>
            <w:r>
              <w:rPr>
                <w:b/>
                <w:bCs/>
                <w:sz w:val="18"/>
                <w:szCs w:val="18"/>
              </w:rPr>
              <w:t xml:space="preserve">Voie juridique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Risques à maîtriser</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Contribution environnementale sur les plastiques</w:t>
            </w:r>
          </w:p>
        </w:tc>
        <w:tc>
          <w:tcPr>
            <w:tcW w:type="dxa" w:w="2246"/>
            <w:tcMar>
              <w:top w:type="dxa" w:w="60"/>
              <w:left w:type="dxa" w:w="90"/>
              <w:bottom w:type="dxa" w:w="60"/>
              <w:right w:type="dxa" w:w="90"/>
            </w:tcMar>
          </w:tcPr>
          <w:p>
            <w:pPr>
              <w:spacing w:after="20" w:line="240"/>
            </w:pPr>
            <w:r>
              <w:rPr>
                <w:b w:val="false"/>
                <w:bCs w:val="false"/>
                <w:sz w:val="18"/>
                <w:szCs w:val="18"/>
              </w:rPr>
              <w:t xml:space="preserve">Réduction des déchets plastiques et financement de l'assainissement</w:t>
            </w:r>
          </w:p>
        </w:tc>
        <w:tc>
          <w:tcPr>
            <w:tcW w:type="dxa" w:w="2621"/>
            <w:tcMar>
              <w:top w:type="dxa" w:w="60"/>
              <w:left w:type="dxa" w:w="90"/>
              <w:bottom w:type="dxa" w:w="60"/>
              <w:right w:type="dxa" w:w="90"/>
            </w:tcMar>
          </w:tcPr>
          <w:p>
            <w:pPr>
              <w:spacing w:after="20" w:line="240"/>
            </w:pPr>
            <w:r>
              <w:rPr>
                <w:b w:val="false"/>
                <w:bCs w:val="false"/>
                <w:sz w:val="18"/>
                <w:szCs w:val="18"/>
              </w:rPr>
              <w:t xml:space="preserve">Édit provincial, après étude d'impact et consultation ; vérifier l'articulation avec la fiscalité centrale</w:t>
            </w:r>
          </w:p>
        </w:tc>
        <w:tc>
          <w:tcPr>
            <w:tcW w:type="dxa" w:w="2246"/>
            <w:tcMar>
              <w:top w:type="dxa" w:w="60"/>
              <w:left w:type="dxa" w:w="90"/>
              <w:bottom w:type="dxa" w:w="60"/>
              <w:right w:type="dxa" w:w="90"/>
            </w:tcMar>
          </w:tcPr>
          <w:p>
            <w:pPr>
              <w:spacing w:after="20" w:line="240"/>
            </w:pPr>
            <w:r>
              <w:rPr>
                <w:b w:val="false"/>
                <w:bCs w:val="false"/>
                <w:sz w:val="18"/>
                <w:szCs w:val="18"/>
              </w:rPr>
              <w:t xml:space="preserve">Double imposition, report de charge sur le consommateur, contrebande interprovinciale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Redevance d'accès logistique urbain pour poids lourds</w:t>
            </w:r>
          </w:p>
        </w:tc>
        <w:tc>
          <w:tcPr>
            <w:tcW w:type="dxa" w:w="2246"/>
            <w:tcMar>
              <w:top w:type="dxa" w:w="60"/>
              <w:left w:type="dxa" w:w="90"/>
              <w:bottom w:type="dxa" w:w="60"/>
              <w:right w:type="dxa" w:w="90"/>
            </w:tcMar>
          </w:tcPr>
          <w:p>
            <w:pPr>
              <w:spacing w:after="20" w:line="240"/>
            </w:pPr>
            <w:r>
              <w:rPr>
                <w:b w:val="false"/>
                <w:bCs w:val="false"/>
                <w:sz w:val="18"/>
                <w:szCs w:val="18"/>
              </w:rPr>
              <w:t xml:space="preserve">Protection de la voirie et régulation des flux</w:t>
            </w:r>
          </w:p>
        </w:tc>
        <w:tc>
          <w:tcPr>
            <w:tcW w:type="dxa" w:w="2621"/>
            <w:tcMar>
              <w:top w:type="dxa" w:w="60"/>
              <w:left w:type="dxa" w:w="90"/>
              <w:bottom w:type="dxa" w:w="60"/>
              <w:right w:type="dxa" w:w="90"/>
            </w:tcMar>
          </w:tcPr>
          <w:p>
            <w:pPr>
              <w:spacing w:after="20" w:line="240"/>
            </w:pPr>
            <w:r>
              <w:rPr>
                <w:b w:val="false"/>
                <w:bCs w:val="false"/>
                <w:sz w:val="18"/>
                <w:szCs w:val="18"/>
              </w:rPr>
              <w:t xml:space="preserve">Édit, avec horaires et corridors définis</w:t>
            </w:r>
          </w:p>
        </w:tc>
        <w:tc>
          <w:tcPr>
            <w:tcW w:type="dxa" w:w="2246"/>
            <w:tcMar>
              <w:top w:type="dxa" w:w="60"/>
              <w:left w:type="dxa" w:w="90"/>
              <w:bottom w:type="dxa" w:w="60"/>
              <w:right w:type="dxa" w:w="90"/>
            </w:tcMar>
          </w:tcPr>
          <w:p>
            <w:pPr>
              <w:spacing w:after="20" w:line="240"/>
            </w:pPr>
            <w:r>
              <w:rPr>
                <w:b w:val="false"/>
                <w:bCs w:val="false"/>
                <w:sz w:val="18"/>
                <w:szCs w:val="18"/>
              </w:rPr>
              <w:t xml:space="preserve">Effet inflationniste sur les biens, contournement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Droits de voirie liés aux chantiers et aux permis de bâtir</w:t>
            </w:r>
          </w:p>
        </w:tc>
        <w:tc>
          <w:tcPr>
            <w:tcW w:type="dxa" w:w="2246"/>
            <w:tcMar>
              <w:top w:type="dxa" w:w="60"/>
              <w:left w:type="dxa" w:w="90"/>
              <w:bottom w:type="dxa" w:w="60"/>
              <w:right w:type="dxa" w:w="90"/>
            </w:tcMar>
          </w:tcPr>
          <w:p>
            <w:pPr>
              <w:spacing w:after="20" w:line="240"/>
            </w:pPr>
            <w:r>
              <w:rPr>
                <w:b w:val="false"/>
                <w:bCs w:val="false"/>
                <w:sz w:val="18"/>
                <w:szCs w:val="18"/>
              </w:rPr>
              <w:t xml:space="preserve">Financement de la réfection après travaux</w:t>
            </w:r>
          </w:p>
        </w:tc>
        <w:tc>
          <w:tcPr>
            <w:tcW w:type="dxa" w:w="2621"/>
            <w:tcMar>
              <w:top w:type="dxa" w:w="60"/>
              <w:left w:type="dxa" w:w="90"/>
              <w:bottom w:type="dxa" w:w="60"/>
              <w:right w:type="dxa" w:w="90"/>
            </w:tcMar>
          </w:tcPr>
          <w:p>
            <w:pPr>
              <w:spacing w:after="20" w:line="240"/>
            </w:pPr>
            <w:r>
              <w:rPr>
                <w:b w:val="false"/>
                <w:bCs w:val="false"/>
                <w:sz w:val="18"/>
                <w:szCs w:val="18"/>
              </w:rPr>
              <w:t xml:space="preserve">Arrêté et barème</w:t>
            </w:r>
          </w:p>
        </w:tc>
        <w:tc>
          <w:tcPr>
            <w:tcW w:type="dxa" w:w="2246"/>
            <w:tcMar>
              <w:top w:type="dxa" w:w="60"/>
              <w:left w:type="dxa" w:w="90"/>
              <w:bottom w:type="dxa" w:w="60"/>
              <w:right w:type="dxa" w:w="90"/>
            </w:tcMar>
          </w:tcPr>
          <w:p>
            <w:pPr>
              <w:spacing w:after="20" w:line="240"/>
            </w:pPr>
            <w:r>
              <w:rPr>
                <w:b w:val="false"/>
                <w:bCs w:val="false"/>
                <w:sz w:val="18"/>
                <w:szCs w:val="18"/>
              </w:rPr>
              <w:t xml:space="preserve">Blocage de l'investissement si mal calibré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Captation de plus-value foncière liée aux infrastructures</w:t>
            </w:r>
          </w:p>
        </w:tc>
        <w:tc>
          <w:tcPr>
            <w:tcW w:type="dxa" w:w="2246"/>
            <w:tcMar>
              <w:top w:type="dxa" w:w="60"/>
              <w:left w:type="dxa" w:w="90"/>
              <w:bottom w:type="dxa" w:w="60"/>
              <w:right w:type="dxa" w:w="90"/>
            </w:tcMar>
          </w:tcPr>
          <w:p>
            <w:pPr>
              <w:spacing w:after="20" w:line="240"/>
            </w:pPr>
            <w:r>
              <w:rPr>
                <w:b w:val="false"/>
                <w:bCs w:val="false"/>
                <w:sz w:val="18"/>
                <w:szCs w:val="18"/>
              </w:rPr>
              <w:t xml:space="preserve">Financement des équipements par la valorisation induite</w:t>
            </w:r>
          </w:p>
        </w:tc>
        <w:tc>
          <w:tcPr>
            <w:tcW w:type="dxa" w:w="2621"/>
            <w:tcMar>
              <w:top w:type="dxa" w:w="60"/>
              <w:left w:type="dxa" w:w="90"/>
              <w:bottom w:type="dxa" w:w="60"/>
              <w:right w:type="dxa" w:w="90"/>
            </w:tcMar>
          </w:tcPr>
          <w:p>
            <w:pPr>
              <w:spacing w:after="20" w:line="240"/>
            </w:pPr>
            <w:r>
              <w:rPr>
                <w:b w:val="false"/>
                <w:bCs w:val="false"/>
                <w:sz w:val="18"/>
                <w:szCs w:val="18"/>
              </w:rPr>
              <w:t xml:space="preserve">Édit et méthode d'évaluation certifiée</w:t>
            </w:r>
          </w:p>
        </w:tc>
        <w:tc>
          <w:tcPr>
            <w:tcW w:type="dxa" w:w="2246"/>
            <w:tcMar>
              <w:top w:type="dxa" w:w="60"/>
              <w:left w:type="dxa" w:w="90"/>
              <w:bottom w:type="dxa" w:w="60"/>
              <w:right w:type="dxa" w:w="90"/>
            </w:tcMar>
          </w:tcPr>
          <w:p>
            <w:pPr>
              <w:spacing w:after="20" w:line="240"/>
            </w:pPr>
            <w:r>
              <w:rPr>
                <w:b w:val="false"/>
                <w:bCs w:val="false"/>
                <w:sz w:val="18"/>
                <w:szCs w:val="18"/>
              </w:rPr>
              <w:t xml:space="preserve">Contentieux d'évaluation, acceptabilité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Droits de dénomination et d'usage commercial d'actifs publics</w:t>
            </w:r>
          </w:p>
        </w:tc>
        <w:tc>
          <w:tcPr>
            <w:tcW w:type="dxa" w:w="2246"/>
            <w:tcMar>
              <w:top w:type="dxa" w:w="60"/>
              <w:left w:type="dxa" w:w="90"/>
              <w:bottom w:type="dxa" w:w="60"/>
              <w:right w:type="dxa" w:w="90"/>
            </w:tcMar>
          </w:tcPr>
          <w:p>
            <w:pPr>
              <w:spacing w:after="20" w:line="240"/>
            </w:pPr>
            <w:r>
              <w:rPr>
                <w:b w:val="false"/>
                <w:bCs w:val="false"/>
                <w:sz w:val="18"/>
                <w:szCs w:val="18"/>
              </w:rPr>
              <w:t xml:space="preserve">Valorisation d'actifs existants</w:t>
            </w:r>
          </w:p>
        </w:tc>
        <w:tc>
          <w:tcPr>
            <w:tcW w:type="dxa" w:w="2621"/>
            <w:tcMar>
              <w:top w:type="dxa" w:w="60"/>
              <w:left w:type="dxa" w:w="90"/>
              <w:bottom w:type="dxa" w:w="60"/>
              <w:right w:type="dxa" w:w="90"/>
            </w:tcMar>
          </w:tcPr>
          <w:p>
            <w:pPr>
              <w:spacing w:after="20" w:line="240"/>
            </w:pPr>
            <w:r>
              <w:rPr>
                <w:b w:val="false"/>
                <w:bCs w:val="false"/>
                <w:sz w:val="18"/>
                <w:szCs w:val="18"/>
              </w:rPr>
              <w:t xml:space="preserve">Délibération et mise en concurrence</w:t>
            </w:r>
          </w:p>
        </w:tc>
        <w:tc>
          <w:tcPr>
            <w:tcW w:type="dxa" w:w="2246"/>
            <w:tcMar>
              <w:top w:type="dxa" w:w="60"/>
              <w:left w:type="dxa" w:w="90"/>
              <w:bottom w:type="dxa" w:w="60"/>
              <w:right w:type="dxa" w:w="90"/>
            </w:tcMar>
          </w:tcPr>
          <w:p>
            <w:pPr>
              <w:spacing w:after="20" w:line="240"/>
            </w:pPr>
            <w:r>
              <w:rPr>
                <w:b w:val="false"/>
                <w:bCs w:val="false"/>
                <w:sz w:val="18"/>
                <w:szCs w:val="18"/>
              </w:rPr>
              <w:t xml:space="preserve">Opacité si attribution de gré à gré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Location et mise en valeur du patrimoine provincial sous-utilisé</w:t>
            </w:r>
          </w:p>
        </w:tc>
        <w:tc>
          <w:tcPr>
            <w:tcW w:type="dxa" w:w="2246"/>
            <w:tcMar>
              <w:top w:type="dxa" w:w="60"/>
              <w:left w:type="dxa" w:w="90"/>
              <w:bottom w:type="dxa" w:w="60"/>
              <w:right w:type="dxa" w:w="90"/>
            </w:tcMar>
          </w:tcPr>
          <w:p>
            <w:pPr>
              <w:spacing w:after="20" w:line="240"/>
            </w:pPr>
            <w:r>
              <w:rPr>
                <w:b w:val="false"/>
                <w:bCs w:val="false"/>
                <w:sz w:val="18"/>
                <w:szCs w:val="18"/>
              </w:rPr>
              <w:t xml:space="preserve">Revenu domanial récurrent</w:t>
            </w:r>
          </w:p>
        </w:tc>
        <w:tc>
          <w:tcPr>
            <w:tcW w:type="dxa" w:w="2621"/>
            <w:tcMar>
              <w:top w:type="dxa" w:w="60"/>
              <w:left w:type="dxa" w:w="90"/>
              <w:bottom w:type="dxa" w:w="60"/>
              <w:right w:type="dxa" w:w="90"/>
            </w:tcMar>
          </w:tcPr>
          <w:p>
            <w:pPr>
              <w:spacing w:after="20" w:line="240"/>
            </w:pPr>
            <w:r>
              <w:rPr>
                <w:b w:val="false"/>
                <w:bCs w:val="false"/>
                <w:sz w:val="18"/>
                <w:szCs w:val="18"/>
              </w:rPr>
              <w:t xml:space="preserve">Inventaire, évaluation, appel public</w:t>
            </w:r>
          </w:p>
        </w:tc>
        <w:tc>
          <w:tcPr>
            <w:tcW w:type="dxa" w:w="2246"/>
            <w:tcMar>
              <w:top w:type="dxa" w:w="60"/>
              <w:left w:type="dxa" w:w="90"/>
              <w:bottom w:type="dxa" w:w="60"/>
              <w:right w:type="dxa" w:w="90"/>
            </w:tcMar>
          </w:tcPr>
          <w:p>
            <w:pPr>
              <w:spacing w:after="20" w:line="240"/>
            </w:pPr>
            <w:r>
              <w:rPr>
                <w:b w:val="false"/>
                <w:bCs w:val="false"/>
                <w:sz w:val="18"/>
                <w:szCs w:val="18"/>
              </w:rPr>
              <w:t xml:space="preserve">Bradage, conflits d'intérêts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Services administratifs numériques premium (délais garantis)</w:t>
            </w:r>
          </w:p>
        </w:tc>
        <w:tc>
          <w:tcPr>
            <w:tcW w:type="dxa" w:w="2246"/>
            <w:tcMar>
              <w:top w:type="dxa" w:w="60"/>
              <w:left w:type="dxa" w:w="90"/>
              <w:bottom w:type="dxa" w:w="60"/>
              <w:right w:type="dxa" w:w="90"/>
            </w:tcMar>
          </w:tcPr>
          <w:p>
            <w:pPr>
              <w:spacing w:after="20" w:line="240"/>
            </w:pPr>
            <w:r>
              <w:rPr>
                <w:b w:val="false"/>
                <w:bCs w:val="false"/>
                <w:sz w:val="18"/>
                <w:szCs w:val="18"/>
              </w:rPr>
              <w:t xml:space="preserve">Qualité de service financée</w:t>
            </w:r>
          </w:p>
        </w:tc>
        <w:tc>
          <w:tcPr>
            <w:tcW w:type="dxa" w:w="2621"/>
            <w:tcMar>
              <w:top w:type="dxa" w:w="60"/>
              <w:left w:type="dxa" w:w="90"/>
              <w:bottom w:type="dxa" w:w="60"/>
              <w:right w:type="dxa" w:w="90"/>
            </w:tcMar>
          </w:tcPr>
          <w:p>
            <w:pPr>
              <w:spacing w:after="20" w:line="240"/>
            </w:pPr>
            <w:r>
              <w:rPr>
                <w:b w:val="false"/>
                <w:bCs w:val="false"/>
                <w:sz w:val="18"/>
                <w:szCs w:val="18"/>
              </w:rPr>
              <w:t xml:space="preserve">Arrêté tarifaire</w:t>
            </w:r>
          </w:p>
        </w:tc>
        <w:tc>
          <w:tcPr>
            <w:tcW w:type="dxa" w:w="2246"/>
            <w:tcMar>
              <w:top w:type="dxa" w:w="60"/>
              <w:left w:type="dxa" w:w="90"/>
              <w:bottom w:type="dxa" w:w="60"/>
              <w:right w:type="dxa" w:w="90"/>
            </w:tcMar>
          </w:tcPr>
          <w:p>
            <w:pPr>
              <w:spacing w:after="20" w:line="240"/>
            </w:pPr>
            <w:r>
              <w:rPr>
                <w:b w:val="false"/>
                <w:bCs w:val="false"/>
                <w:sz w:val="18"/>
                <w:szCs w:val="18"/>
              </w:rPr>
              <w:t xml:space="preserve">Création d'un service à deux vitesses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Produits de données urbaines anonymisées</w:t>
            </w:r>
          </w:p>
        </w:tc>
        <w:tc>
          <w:tcPr>
            <w:tcW w:type="dxa" w:w="2246"/>
            <w:tcMar>
              <w:top w:type="dxa" w:w="60"/>
              <w:left w:type="dxa" w:w="90"/>
              <w:bottom w:type="dxa" w:w="60"/>
              <w:right w:type="dxa" w:w="90"/>
            </w:tcMar>
          </w:tcPr>
          <w:p>
            <w:pPr>
              <w:spacing w:after="20" w:line="240"/>
            </w:pPr>
            <w:r>
              <w:rPr>
                <w:b w:val="false"/>
                <w:bCs w:val="false"/>
                <w:sz w:val="18"/>
                <w:szCs w:val="18"/>
              </w:rPr>
              <w:t xml:space="preserve">Valorisation statistique non personnelle</w:t>
            </w:r>
          </w:p>
        </w:tc>
        <w:tc>
          <w:tcPr>
            <w:tcW w:type="dxa" w:w="2621"/>
            <w:tcMar>
              <w:top w:type="dxa" w:w="60"/>
              <w:left w:type="dxa" w:w="90"/>
              <w:bottom w:type="dxa" w:w="60"/>
              <w:right w:type="dxa" w:w="90"/>
            </w:tcMar>
          </w:tcPr>
          <w:p>
            <w:pPr>
              <w:spacing w:after="20" w:line="240"/>
            </w:pPr>
            <w:r>
              <w:rPr>
                <w:b w:val="false"/>
                <w:bCs w:val="false"/>
                <w:sz w:val="18"/>
                <w:szCs w:val="18"/>
              </w:rPr>
              <w:t xml:space="preserve">Cadre de gouvernance des données et avis de conformité</w:t>
            </w:r>
          </w:p>
        </w:tc>
        <w:tc>
          <w:tcPr>
            <w:tcW w:type="dxa" w:w="2246"/>
            <w:tcMar>
              <w:top w:type="dxa" w:w="60"/>
              <w:left w:type="dxa" w:w="90"/>
              <w:bottom w:type="dxa" w:w="60"/>
              <w:right w:type="dxa" w:w="90"/>
            </w:tcMar>
          </w:tcPr>
          <w:p>
            <w:pPr>
              <w:spacing w:after="20" w:line="240"/>
            </w:pPr>
            <w:r>
              <w:rPr>
                <w:b w:val="false"/>
                <w:bCs w:val="false"/>
                <w:sz w:val="18"/>
                <w:szCs w:val="18"/>
              </w:rPr>
              <w:t xml:space="preserve">Ré-identification, atteinte à la vie privée</w:t>
            </w:r>
          </w:p>
        </w:tc>
      </w:tr>
    </w:tbl>
    <w:p>
      <w:pPr>
        <w:pStyle w:val="Heading2"/>
        <w:spacing w:after="120" w:before="260"/>
      </w:pPr>
      <w:r>
        <w:t xml:space="preserve">8.3 Grille d'évaluation applicable à chaque piste</w:t>
      </w:r>
    </w:p>
    <w:p>
      <w:pPr>
        <w:spacing w:after="120" w:line="276"/>
        <w:jc w:val="both"/>
      </w:pPr>
      <w:r>
        <w:rPr>
          <w:b w:val="false"/>
          <w:bCs w:val="false"/>
          <w:i w:val="false"/>
          <w:iCs w:val="false"/>
          <w:sz w:val="21"/>
          <w:szCs w:val="21"/>
        </w:rPr>
        <w:t xml:space="preserve">Chaque piste est instruite avec la même grille avant d'être soumise à décision : faisabilité juridique ; objectif de politique publique ; autorité responsable ; fait générateur ; population concernée ; méthode de calcul ; coût de mise en œuvre ; impact social ; impact économique ; potentiel de recettes en scénarios prudent, attendu et ambitieux ; risque de corruption ; exigences de contrôle ; texte requis ; priorité ; recommandation de pilote. Aucune projection n'est présentée comme acquise ; toute hypothèse est datée, sourcée et révisable.</w:t>
      </w:r>
    </w:p>
    <w:p>
      <w:pPr>
        <w:pStyle w:val="Heading1"/>
        <w:spacing w:after="160" w:before="360"/>
      </w:pPr>
      <w:r>
        <w:t xml:space="preserve">9. Modèle un utilisateur, un compte</w:t>
      </w:r>
    </w:p>
    <w:p>
      <w:pPr>
        <w:spacing w:after="120" w:line="276"/>
        <w:jc w:val="both"/>
      </w:pPr>
      <w:r>
        <w:rPr>
          <w:b w:val="false"/>
          <w:bCs w:val="false"/>
          <w:i w:val="false"/>
          <w:iCs w:val="false"/>
          <w:sz w:val="21"/>
          <w:szCs w:val="21"/>
        </w:rPr>
        <w:t xml:space="preserve">Le compte unique est le cœur du système. Il porte l'identité, les rôles, les objets, les obligations, les paiements, les preuves et les droits du contribuable.</w:t>
      </w:r>
    </w:p>
    <w:p>
      <w:pPr>
        <w:pStyle w:val="Heading2"/>
        <w:spacing w:after="120" w:before="260"/>
      </w:pPr>
      <w:r>
        <w:t xml:space="preserve">9.1 Clé d'identité</w:t>
      </w:r>
    </w:p>
    <w:p>
      <w:pPr>
        <w:pStyle w:val="ListItem"/>
        <w:numPr>
          <w:ilvl w:val="0"/>
          <w:numId w:val="1"/>
        </w:numPr>
        <w:spacing w:after="60" w:line="264"/>
      </w:pPr>
      <w:r>
        <w:t xml:space="preserve">Clé principale : le NIF lorsqu'il existe ; le système déclenche sinon une demande de NIF en arrière-plan.</w:t>
      </w:r>
    </w:p>
    <w:p>
      <w:pPr>
        <w:pStyle w:val="ListItem"/>
        <w:numPr>
          <w:ilvl w:val="0"/>
          <w:numId w:val="1"/>
        </w:numPr>
        <w:spacing w:after="60" w:line="264"/>
      </w:pPr>
      <w:r>
        <w:t xml:space="preserve">Clé de repli : numéro de téléphone vérifié par code à usage unique, associé à une pièce d'identité légalement acceptée.</w:t>
      </w:r>
    </w:p>
    <w:p>
      <w:pPr>
        <w:pStyle w:val="ListItem"/>
        <w:numPr>
          <w:ilvl w:val="0"/>
          <w:numId w:val="1"/>
        </w:numPr>
        <w:spacing w:after="60" w:line="264"/>
      </w:pPr>
      <w:r>
        <w:t xml:space="preserve">Personnes morales : NIF et registre du commerce, avec mandataires nommément habilités.</w:t>
      </w:r>
    </w:p>
    <w:p>
      <w:pPr>
        <w:pStyle w:val="ListItem"/>
        <w:numPr>
          <w:ilvl w:val="0"/>
          <w:numId w:val="1"/>
        </w:numPr>
        <w:spacing w:after="60" w:line="264"/>
      </w:pPr>
      <w:r>
        <w:t xml:space="preserve">Un compte principal par personne ou organisation, plusieurs rôles (propriétaire, bailleur, locataire, commerçant, transporteur, mandataire) et plusieurs objets.</w:t>
      </w:r>
    </w:p>
    <w:p>
      <w:pPr>
        <w:pStyle w:val="ListItem"/>
        <w:numPr>
          <w:ilvl w:val="0"/>
          <w:numId w:val="1"/>
        </w:numPr>
        <w:spacing w:after="60" w:line="264"/>
      </w:pPr>
      <w:r>
        <w:t xml:space="preserve">Rapprochement d'identités contrôlé : aucune fusion automatique sur la seule similitude de noms ; la fusion exige une preuve et une double validation, et reste réversible.</w:t>
      </w:r>
    </w:p>
    <w:p>
      <w:pPr>
        <w:pStyle w:val="Heading2"/>
        <w:spacing w:after="120" w:before="260"/>
      </w:pPr>
      <w:r>
        <w:t xml:space="preserve">9.2 Niveaux de vérification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685"/>
        <w:gridCol w:w="3744"/>
        <w:gridCol w:w="3931"/>
      </w:tblGrid>
      <w:tr>
        <w:trPr>
          <w:tblHeader/>
        </w:trPr>
        <w:tc>
          <w:tcPr>
            <w:tcW w:type="dxa" w:w="1685"/>
            <w:shd w:fill="E6F4F1" w:color="auto" w:val="clear"/>
            <w:tcMar>
              <w:top w:type="dxa" w:w="60"/>
              <w:left w:type="dxa" w:w="90"/>
              <w:bottom w:type="dxa" w:w="60"/>
              <w:right w:type="dxa" w:w="90"/>
            </w:tcMar>
          </w:tcPr>
          <w:p>
            <w:pPr>
              <w:spacing w:after="20" w:line="240"/>
            </w:pPr>
            <w:r>
              <w:rPr>
                <w:b/>
                <w:bCs/>
                <w:sz w:val="18"/>
                <w:szCs w:val="18"/>
              </w:rPr>
              <w:t xml:space="preserve">Niveau</w:t>
            </w:r>
          </w:p>
        </w:tc>
        <w:tc>
          <w:tcPr>
            <w:tcW w:type="dxa" w:w="3744"/>
            <w:shd w:fill="E6F4F1" w:color="auto" w:val="clear"/>
            <w:tcMar>
              <w:top w:type="dxa" w:w="60"/>
              <w:left w:type="dxa" w:w="90"/>
              <w:bottom w:type="dxa" w:w="60"/>
              <w:right w:type="dxa" w:w="90"/>
            </w:tcMar>
          </w:tcPr>
          <w:p>
            <w:pPr>
              <w:spacing w:after="20" w:line="240"/>
            </w:pPr>
            <w:r>
              <w:rPr>
                <w:b/>
                <w:bCs/>
                <w:sz w:val="18"/>
                <w:szCs w:val="18"/>
              </w:rPr>
              <w:t xml:space="preserve">Preuve exigée</w:t>
            </w:r>
          </w:p>
        </w:tc>
        <w:tc>
          <w:tcPr>
            <w:tcW w:type="dxa" w:w="3931"/>
            <w:shd w:fill="E6F4F1" w:color="auto" w:val="clear"/>
            <w:tcMar>
              <w:top w:type="dxa" w:w="60"/>
              <w:left w:type="dxa" w:w="90"/>
              <w:bottom w:type="dxa" w:w="60"/>
              <w:right w:type="dxa" w:w="90"/>
            </w:tcMar>
          </w:tcPr>
          <w:p>
            <w:pPr>
              <w:spacing w:after="20" w:line="240"/>
            </w:pPr>
            <w:r>
              <w:rPr>
                <w:b/>
                <w:bCs/>
                <w:sz w:val="18"/>
                <w:szCs w:val="18"/>
              </w:rPr>
              <w:t xml:space="preserve">Droits ouverts</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N0 déclaratif</w:t>
            </w:r>
          </w:p>
        </w:tc>
        <w:tc>
          <w:tcPr>
            <w:tcW w:type="dxa" w:w="3744"/>
            <w:tcMar>
              <w:top w:type="dxa" w:w="60"/>
              <w:left w:type="dxa" w:w="90"/>
              <w:bottom w:type="dxa" w:w="60"/>
              <w:right w:type="dxa" w:w="90"/>
            </w:tcMar>
          </w:tcPr>
          <w:p>
            <w:pPr>
              <w:spacing w:after="20" w:line="240"/>
            </w:pPr>
            <w:r>
              <w:rPr>
                <w:b w:val="false"/>
                <w:bCs w:val="false"/>
                <w:sz w:val="18"/>
                <w:szCs w:val="18"/>
              </w:rPr>
              <w:t xml:space="preserve">Téléphone vérifié</w:t>
            </w:r>
          </w:p>
        </w:tc>
        <w:tc>
          <w:tcPr>
            <w:tcW w:type="dxa" w:w="3931"/>
            <w:tcMar>
              <w:top w:type="dxa" w:w="60"/>
              <w:left w:type="dxa" w:w="90"/>
              <w:bottom w:type="dxa" w:w="60"/>
              <w:right w:type="dxa" w:w="90"/>
            </w:tcMar>
          </w:tcPr>
          <w:p>
            <w:pPr>
              <w:spacing w:after="20" w:line="240"/>
            </w:pPr>
            <w:r>
              <w:rPr>
                <w:b w:val="false"/>
                <w:bCs w:val="false"/>
                <w:sz w:val="18"/>
                <w:szCs w:val="18"/>
              </w:rPr>
              <w:t xml:space="preserve">Consultation, simulation, signalement</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N1 identifié</w:t>
            </w:r>
          </w:p>
        </w:tc>
        <w:tc>
          <w:tcPr>
            <w:tcW w:type="dxa" w:w="3744"/>
            <w:tcMar>
              <w:top w:type="dxa" w:w="60"/>
              <w:left w:type="dxa" w:w="90"/>
              <w:bottom w:type="dxa" w:w="60"/>
              <w:right w:type="dxa" w:w="90"/>
            </w:tcMar>
          </w:tcPr>
          <w:p>
            <w:pPr>
              <w:spacing w:after="20" w:line="240"/>
            </w:pPr>
            <w:r>
              <w:rPr>
                <w:b w:val="false"/>
                <w:bCs w:val="false"/>
                <w:sz w:val="18"/>
                <w:szCs w:val="18"/>
              </w:rPr>
              <w:t xml:space="preserve">Pièce d'identité et adresse déclarée</w:t>
            </w:r>
          </w:p>
        </w:tc>
        <w:tc>
          <w:tcPr>
            <w:tcW w:type="dxa" w:w="3931"/>
            <w:tcMar>
              <w:top w:type="dxa" w:w="60"/>
              <w:left w:type="dxa" w:w="90"/>
              <w:bottom w:type="dxa" w:w="60"/>
              <w:right w:type="dxa" w:w="90"/>
            </w:tcMar>
          </w:tcPr>
          <w:p>
            <w:pPr>
              <w:spacing w:after="20" w:line="240"/>
            </w:pPr>
            <w:r>
              <w:rPr>
                <w:b w:val="false"/>
                <w:bCs w:val="false"/>
                <w:sz w:val="18"/>
                <w:szCs w:val="18"/>
              </w:rPr>
              <w:t xml:space="preserve">Déclaration d'objets, paiement, quittance</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N2 vérifié</w:t>
            </w:r>
          </w:p>
        </w:tc>
        <w:tc>
          <w:tcPr>
            <w:tcW w:type="dxa" w:w="3744"/>
            <w:tcMar>
              <w:top w:type="dxa" w:w="60"/>
              <w:left w:type="dxa" w:w="90"/>
              <w:bottom w:type="dxa" w:w="60"/>
              <w:right w:type="dxa" w:w="90"/>
            </w:tcMar>
          </w:tcPr>
          <w:p>
            <w:pPr>
              <w:spacing w:after="20" w:line="240"/>
            </w:pPr>
            <w:r>
              <w:rPr>
                <w:b w:val="false"/>
                <w:bCs w:val="false"/>
                <w:sz w:val="18"/>
                <w:szCs w:val="18"/>
              </w:rPr>
              <w:t xml:space="preserve">Contrôle documentaire ou visite de terrain</w:t>
            </w:r>
          </w:p>
        </w:tc>
        <w:tc>
          <w:tcPr>
            <w:tcW w:type="dxa" w:w="3931"/>
            <w:tcMar>
              <w:top w:type="dxa" w:w="60"/>
              <w:left w:type="dxa" w:w="90"/>
              <w:bottom w:type="dxa" w:w="60"/>
              <w:right w:type="dxa" w:w="90"/>
            </w:tcMar>
          </w:tcPr>
          <w:p>
            <w:pPr>
              <w:spacing w:after="20" w:line="240"/>
            </w:pPr>
            <w:r>
              <w:rPr>
                <w:b w:val="false"/>
                <w:bCs w:val="false"/>
                <w:sz w:val="18"/>
                <w:szCs w:val="18"/>
              </w:rPr>
              <w:t xml:space="preserve">Rattachement d'objets à forte valeur, contestation formelle</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N3 certifié</w:t>
            </w:r>
          </w:p>
        </w:tc>
        <w:tc>
          <w:tcPr>
            <w:tcW w:type="dxa" w:w="3744"/>
            <w:tcMar>
              <w:top w:type="dxa" w:w="60"/>
              <w:left w:type="dxa" w:w="90"/>
              <w:bottom w:type="dxa" w:w="60"/>
              <w:right w:type="dxa" w:w="90"/>
            </w:tcMar>
          </w:tcPr>
          <w:p>
            <w:pPr>
              <w:spacing w:after="20" w:line="240"/>
            </w:pPr>
            <w:r>
              <w:rPr>
                <w:b w:val="false"/>
                <w:bCs w:val="false"/>
                <w:sz w:val="18"/>
                <w:szCs w:val="18"/>
              </w:rPr>
              <w:t xml:space="preserve">NIF, registre du commerce, mandat notarié pour les représentants</w:t>
            </w:r>
          </w:p>
        </w:tc>
        <w:tc>
          <w:tcPr>
            <w:tcW w:type="dxa" w:w="3931"/>
            <w:tcMar>
              <w:top w:type="dxa" w:w="60"/>
              <w:left w:type="dxa" w:w="90"/>
              <w:bottom w:type="dxa" w:w="60"/>
              <w:right w:type="dxa" w:w="90"/>
            </w:tcMar>
          </w:tcPr>
          <w:p>
            <w:pPr>
              <w:spacing w:after="20" w:line="240"/>
            </w:pPr>
            <w:r>
              <w:rPr>
                <w:b w:val="false"/>
                <w:bCs w:val="false"/>
                <w:sz w:val="18"/>
                <w:szCs w:val="18"/>
              </w:rPr>
              <w:t xml:space="preserve">Mandat de tiers, opérations d'entreprise, quitus fiscal</w:t>
            </w:r>
          </w:p>
        </w:tc>
      </w:tr>
    </w:tbl>
    <w:p>
      <w:pPr>
        <w:pStyle w:val="Heading2"/>
        <w:spacing w:after="120" w:before="260"/>
      </w:pPr>
      <w:r>
        <w:t xml:space="preserve">9.3 Parcours d'enrôlement par profil</w:t>
      </w:r>
    </w:p>
    <w:p>
      <w:pPr>
        <w:spacing w:after="120" w:line="276"/>
        <w:jc w:val="both"/>
      </w:pPr>
      <w:r>
        <w:rPr>
          <w:b w:val="false"/>
          <w:bCs w:val="false"/>
          <w:i w:val="false"/>
          <w:iCs w:val="false"/>
          <w:sz w:val="21"/>
          <w:szCs w:val="21"/>
        </w:rPr>
        <w:t xml:space="preserve">Chaque profil dispose d'un parcours court, ne demandant que les informations utiles à ses obligations : citoyen ; propriétaire occupant ; bailleur ; locataire ; opérateur informel ; commerçant et entreprise ; transporteur et propriétaire de véhicule ; commerçant de marché ; fabricant et importateur ; opérateur de boissons et tabac ; organisateur d'événements ; annonceur publicitaire ; exploitant de carrière ; opérateur forestier ; batelier et opérateur portuaire ; occupant du domaine public ; association ; institution publique ; mandataire. La déclaration d'un rôle par l'utilisateur n'établit pas à elle seule la propriété ni la dette : elle ouvre une instruction.</w:t>
      </w:r>
    </w:p>
    <w:p>
      <w:pPr>
        <w:pStyle w:val="Heading2"/>
        <w:spacing w:after="120" w:before="260"/>
      </w:pPr>
      <w:r>
        <w:t xml:space="preserve">9.4 Contenu du profil unifié</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5242"/>
        <w:gridCol w:w="2621"/>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Bloc</w:t>
            </w:r>
          </w:p>
        </w:tc>
        <w:tc>
          <w:tcPr>
            <w:tcW w:type="dxa" w:w="5242"/>
            <w:shd w:fill="E6F4F1" w:color="auto" w:val="clear"/>
            <w:tcMar>
              <w:top w:type="dxa" w:w="60"/>
              <w:left w:type="dxa" w:w="90"/>
              <w:bottom w:type="dxa" w:w="60"/>
              <w:right w:type="dxa" w:w="90"/>
            </w:tcMar>
          </w:tcPr>
          <w:p>
            <w:pPr>
              <w:spacing w:after="20" w:line="240"/>
            </w:pPr>
            <w:r>
              <w:rPr>
                <w:b/>
                <w:bCs/>
                <w:sz w:val="18"/>
                <w:szCs w:val="18"/>
              </w:rPr>
              <w:t xml:space="preserve">Données</w:t>
            </w:r>
          </w:p>
        </w:tc>
        <w:tc>
          <w:tcPr>
            <w:tcW w:type="dxa" w:w="2621"/>
            <w:shd w:fill="E6F4F1" w:color="auto" w:val="clear"/>
            <w:tcMar>
              <w:top w:type="dxa" w:w="60"/>
              <w:left w:type="dxa" w:w="90"/>
              <w:bottom w:type="dxa" w:w="60"/>
              <w:right w:type="dxa" w:w="90"/>
            </w:tcMar>
          </w:tcPr>
          <w:p>
            <w:pPr>
              <w:spacing w:after="20" w:line="240"/>
            </w:pPr>
            <w:r>
              <w:rPr>
                <w:b/>
                <w:bCs/>
                <w:sz w:val="18"/>
                <w:szCs w:val="18"/>
              </w:rPr>
              <w:t xml:space="preserve">Classification</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Identité</w:t>
            </w:r>
          </w:p>
        </w:tc>
        <w:tc>
          <w:tcPr>
            <w:tcW w:type="dxa" w:w="5242"/>
            <w:tcMar>
              <w:top w:type="dxa" w:w="60"/>
              <w:left w:type="dxa" w:w="90"/>
              <w:bottom w:type="dxa" w:w="60"/>
              <w:right w:type="dxa" w:w="90"/>
            </w:tcMar>
          </w:tcPr>
          <w:p>
            <w:pPr>
              <w:spacing w:after="20" w:line="240"/>
            </w:pPr>
            <w:r>
              <w:rPr>
                <w:b w:val="false"/>
                <w:bCs w:val="false"/>
                <w:sz w:val="18"/>
                <w:szCs w:val="18"/>
              </w:rPr>
              <w:t xml:space="preserve">Identifiant unique, NIF, nom légal, pièce d'identité, date et lieu de naissance si légalement requis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personnelles sensibles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Contact</w:t>
            </w:r>
          </w:p>
        </w:tc>
        <w:tc>
          <w:tcPr>
            <w:tcW w:type="dxa" w:w="5242"/>
            <w:tcMar>
              <w:top w:type="dxa" w:w="60"/>
              <w:left w:type="dxa" w:w="90"/>
              <w:bottom w:type="dxa" w:w="60"/>
              <w:right w:type="dxa" w:w="90"/>
            </w:tcMar>
          </w:tcPr>
          <w:p>
            <w:pPr>
              <w:spacing w:after="20" w:line="240"/>
            </w:pPr>
            <w:r>
              <w:rPr>
                <w:b w:val="false"/>
                <w:bCs w:val="false"/>
                <w:sz w:val="18"/>
                <w:szCs w:val="18"/>
              </w:rPr>
              <w:t xml:space="preserve">Téléphones, courriel, préférences de notification, consentements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personnelles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Adresse</w:t>
            </w:r>
          </w:p>
        </w:tc>
        <w:tc>
          <w:tcPr>
            <w:tcW w:type="dxa" w:w="5242"/>
            <w:tcMar>
              <w:top w:type="dxa" w:w="60"/>
              <w:left w:type="dxa" w:w="90"/>
              <w:bottom w:type="dxa" w:w="60"/>
              <w:right w:type="dxa" w:w="90"/>
            </w:tcMar>
          </w:tcPr>
          <w:p>
            <w:pPr>
              <w:spacing w:after="20" w:line="240"/>
            </w:pPr>
            <w:r>
              <w:rPr>
                <w:b w:val="false"/>
                <w:bCs w:val="false"/>
                <w:sz w:val="18"/>
                <w:szCs w:val="18"/>
              </w:rPr>
              <w:t xml:space="preserve">Commune, quartier, avenue, référence de parcelle, coordonnées GPS, niveau de vérification</w:t>
            </w:r>
          </w:p>
        </w:tc>
        <w:tc>
          <w:tcPr>
            <w:tcW w:type="dxa" w:w="2621"/>
            <w:tcMar>
              <w:top w:type="dxa" w:w="60"/>
              <w:left w:type="dxa" w:w="90"/>
              <w:bottom w:type="dxa" w:w="60"/>
              <w:right w:type="dxa" w:w="90"/>
            </w:tcMar>
          </w:tcPr>
          <w:p>
            <w:pPr>
              <w:spacing w:after="20" w:line="240"/>
            </w:pPr>
            <w:r>
              <w:rPr>
                <w:b w:val="false"/>
                <w:bCs w:val="false"/>
                <w:sz w:val="18"/>
                <w:szCs w:val="18"/>
              </w:rPr>
              <w:t xml:space="preserve">Données personnelles et géographiques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Rôles</w:t>
            </w:r>
          </w:p>
        </w:tc>
        <w:tc>
          <w:tcPr>
            <w:tcW w:type="dxa" w:w="5242"/>
            <w:tcMar>
              <w:top w:type="dxa" w:w="60"/>
              <w:left w:type="dxa" w:w="90"/>
              <w:bottom w:type="dxa" w:w="60"/>
              <w:right w:type="dxa" w:w="90"/>
            </w:tcMar>
          </w:tcPr>
          <w:p>
            <w:pPr>
              <w:spacing w:after="20" w:line="240"/>
            </w:pPr>
            <w:r>
              <w:rPr>
                <w:b w:val="false"/>
                <w:bCs w:val="false"/>
                <w:sz w:val="18"/>
                <w:szCs w:val="18"/>
              </w:rPr>
              <w:t xml:space="preserve">Propriétaire, bailleur, locataire, occupant, gestionnaire, mandataire</w:t>
            </w:r>
          </w:p>
        </w:tc>
        <w:tc>
          <w:tcPr>
            <w:tcW w:type="dxa" w:w="2621"/>
            <w:tcMar>
              <w:top w:type="dxa" w:w="60"/>
              <w:left w:type="dxa" w:w="90"/>
              <w:bottom w:type="dxa" w:w="60"/>
              <w:right w:type="dxa" w:w="90"/>
            </w:tcMar>
          </w:tcPr>
          <w:p>
            <w:pPr>
              <w:spacing w:after="20" w:line="240"/>
            </w:pPr>
            <w:r>
              <w:rPr>
                <w:b w:val="false"/>
                <w:bCs w:val="false"/>
                <w:sz w:val="18"/>
                <w:szCs w:val="18"/>
              </w:rPr>
              <w:t xml:space="preserve">Données fiscales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Objets</w:t>
            </w:r>
          </w:p>
        </w:tc>
        <w:tc>
          <w:tcPr>
            <w:tcW w:type="dxa" w:w="5242"/>
            <w:tcMar>
              <w:top w:type="dxa" w:w="60"/>
              <w:left w:type="dxa" w:w="90"/>
              <w:bottom w:type="dxa" w:w="60"/>
              <w:right w:type="dxa" w:w="90"/>
            </w:tcMar>
          </w:tcPr>
          <w:p>
            <w:pPr>
              <w:spacing w:after="20" w:line="240"/>
            </w:pPr>
            <w:r>
              <w:rPr>
                <w:b w:val="false"/>
                <w:bCs w:val="false"/>
                <w:sz w:val="18"/>
                <w:szCs w:val="18"/>
              </w:rPr>
              <w:t xml:space="preserve">Parcelles, unités louées, baux, activités, établissements, véhicules, panneaux, antennes, embarcations, concessions, licences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fiscales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Situation</w:t>
            </w:r>
          </w:p>
        </w:tc>
        <w:tc>
          <w:tcPr>
            <w:tcW w:type="dxa" w:w="5242"/>
            <w:tcMar>
              <w:top w:type="dxa" w:w="60"/>
              <w:left w:type="dxa" w:w="90"/>
              <w:bottom w:type="dxa" w:w="60"/>
              <w:right w:type="dxa" w:w="90"/>
            </w:tcMar>
          </w:tcPr>
          <w:p>
            <w:pPr>
              <w:spacing w:after="20" w:line="240"/>
            </w:pPr>
            <w:r>
              <w:rPr>
                <w:b w:val="false"/>
                <w:bCs w:val="false"/>
                <w:sz w:val="18"/>
                <w:szCs w:val="18"/>
              </w:rPr>
              <w:t xml:space="preserve">Obligations en cours, échéances, paiements, quittances, arriérés, litiges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fiscales sensibles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Preuves</w:t>
            </w:r>
          </w:p>
        </w:tc>
        <w:tc>
          <w:tcPr>
            <w:tcW w:type="dxa" w:w="5242"/>
            <w:tcMar>
              <w:top w:type="dxa" w:w="60"/>
              <w:left w:type="dxa" w:w="90"/>
              <w:bottom w:type="dxa" w:w="60"/>
              <w:right w:type="dxa" w:w="90"/>
            </w:tcMar>
          </w:tcPr>
          <w:p>
            <w:pPr>
              <w:spacing w:after="20" w:line="240"/>
            </w:pPr>
            <w:r>
              <w:rPr>
                <w:b w:val="false"/>
                <w:bCs w:val="false"/>
                <w:sz w:val="18"/>
                <w:szCs w:val="18"/>
              </w:rPr>
              <w:t xml:space="preserve">Documents, photographies, procès-verbaux, décisions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probantes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Historique</w:t>
            </w:r>
          </w:p>
        </w:tc>
        <w:tc>
          <w:tcPr>
            <w:tcW w:type="dxa" w:w="5242"/>
            <w:tcMar>
              <w:top w:type="dxa" w:w="60"/>
              <w:left w:type="dxa" w:w="90"/>
              <w:bottom w:type="dxa" w:w="60"/>
              <w:right w:type="dxa" w:w="90"/>
            </w:tcMar>
          </w:tcPr>
          <w:p>
            <w:pPr>
              <w:spacing w:after="20" w:line="240"/>
            </w:pPr>
            <w:r>
              <w:rPr>
                <w:b w:val="false"/>
                <w:bCs w:val="false"/>
                <w:sz w:val="18"/>
                <w:szCs w:val="18"/>
              </w:rPr>
              <w:t xml:space="preserve">Contrôles, notifications, recours, décisions, mandats</w:t>
            </w:r>
          </w:p>
        </w:tc>
        <w:tc>
          <w:tcPr>
            <w:tcW w:type="dxa" w:w="2621"/>
            <w:tcMar>
              <w:top w:type="dxa" w:w="60"/>
              <w:left w:type="dxa" w:w="90"/>
              <w:bottom w:type="dxa" w:w="60"/>
              <w:right w:type="dxa" w:w="90"/>
            </w:tcMar>
          </w:tcPr>
          <w:p>
            <w:pPr>
              <w:spacing w:after="20" w:line="240"/>
            </w:pPr>
            <w:r>
              <w:rPr>
                <w:b w:val="false"/>
                <w:bCs w:val="false"/>
                <w:sz w:val="18"/>
                <w:szCs w:val="18"/>
              </w:rPr>
              <w:t xml:space="preserve">Données d'audit</w:t>
            </w:r>
          </w:p>
        </w:tc>
      </w:tr>
    </w:tbl>
    <w:p>
      <w:pPr>
        <w:pStyle w:val="Heading2"/>
        <w:spacing w:after="120" w:before="260"/>
      </w:pPr>
      <w:r>
        <w:t xml:space="preserve">9.5 Ce que le compte unique change pour le contribuable</w:t>
      </w:r>
    </w:p>
    <w:p>
      <w:pPr>
        <w:pStyle w:val="ListItem"/>
        <w:numPr>
          <w:ilvl w:val="0"/>
          <w:numId w:val="1"/>
        </w:numPr>
        <w:spacing w:after="60" w:line="264"/>
      </w:pPr>
      <w:r>
        <w:t xml:space="preserve">Une seule saisie : les informations vérifiées sont réutilisées par tous les modules, sans redemander les mêmes pièces.</w:t>
      </w:r>
    </w:p>
    <w:p>
      <w:pPr>
        <w:pStyle w:val="ListItem"/>
        <w:numPr>
          <w:ilvl w:val="0"/>
          <w:numId w:val="1"/>
        </w:numPr>
        <w:spacing w:after="60" w:line="264"/>
      </w:pPr>
      <w:r>
        <w:t xml:space="preserve">Une vue unique : toutes les obligations, tous les objets, toutes les échéances et toutes les quittances au même endroit.</w:t>
      </w:r>
    </w:p>
    <w:p>
      <w:pPr>
        <w:pStyle w:val="ListItem"/>
        <w:numPr>
          <w:ilvl w:val="0"/>
          <w:numId w:val="1"/>
        </w:numPr>
        <w:spacing w:after="60" w:line="264"/>
      </w:pPr>
      <w:r>
        <w:t xml:space="preserve">Un seul paiement possible depuis le téléphone, avec référence unique et quittance immédiate.</w:t>
      </w:r>
    </w:p>
    <w:p>
      <w:pPr>
        <w:pStyle w:val="ListItem"/>
        <w:numPr>
          <w:ilvl w:val="0"/>
          <w:numId w:val="1"/>
        </w:numPr>
        <w:spacing w:after="60" w:line="264"/>
      </w:pPr>
      <w:r>
        <w:t xml:space="preserve">Un droit de contestation accessible depuis chaque objet, avec suivi du délai légal de traitement.</w:t>
      </w:r>
    </w:p>
    <w:p>
      <w:pPr>
        <w:pStyle w:val="ListItem"/>
        <w:numPr>
          <w:ilvl w:val="0"/>
          <w:numId w:val="1"/>
        </w:numPr>
        <w:spacing w:after="60" w:line="264"/>
      </w:pPr>
      <w:r>
        <w:t xml:space="preserve">Un mode diaspora : un propriétaire résidant à l'étranger paie par carte, désigne un mandataire local aux droits limités et télécharge ses quittances à distance.</w:t>
      </w:r>
    </w:p>
    <w:p>
      <w:pPr>
        <w:pStyle w:val="Heading1"/>
        <w:spacing w:after="160" w:before="360"/>
      </w:pPr>
      <w:r>
        <w:t xml:space="preserve">10. Architecture fonctionnelle</w:t>
      </w:r>
    </w:p>
    <w:p>
      <w:pPr>
        <w:spacing w:after="120" w:line="276"/>
        <w:jc w:val="both"/>
      </w:pPr>
      <w:r>
        <w:rPr>
          <w:b w:val="false"/>
          <w:bCs w:val="false"/>
          <w:i w:val="false"/>
          <w:iCs w:val="false"/>
          <w:sz w:val="21"/>
          <w:szCs w:val="21"/>
        </w:rPr>
        <w:t xml:space="preserve">La plateforme s'organise en sept domaines fonctionnels, chacun propriétaire de ses données et exposant des services aux autres. Cette séparation permet de faire évoluer une régie, un canal de paiement ou une catégorie de recette sans reconstruire l'ensemble.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4493"/>
        <w:gridCol w:w="280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Domaine</w:t>
            </w:r>
          </w:p>
        </w:tc>
        <w:tc>
          <w:tcPr>
            <w:tcW w:type="dxa" w:w="4493"/>
            <w:shd w:fill="E6F4F1" w:color="auto" w:val="clear"/>
            <w:tcMar>
              <w:top w:type="dxa" w:w="60"/>
              <w:left w:type="dxa" w:w="90"/>
              <w:bottom w:type="dxa" w:w="60"/>
              <w:right w:type="dxa" w:w="90"/>
            </w:tcMar>
          </w:tcPr>
          <w:p>
            <w:pPr>
              <w:spacing w:after="20" w:line="240"/>
            </w:pPr>
            <w:r>
              <w:rPr>
                <w:b/>
                <w:bCs/>
                <w:sz w:val="18"/>
                <w:szCs w:val="18"/>
              </w:rPr>
              <w:t xml:space="preserve">Responsabilité</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Ne fait pas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Identité et contribuable</w:t>
            </w:r>
          </w:p>
        </w:tc>
        <w:tc>
          <w:tcPr>
            <w:tcW w:type="dxa" w:w="4493"/>
            <w:tcMar>
              <w:top w:type="dxa" w:w="60"/>
              <w:left w:type="dxa" w:w="90"/>
              <w:bottom w:type="dxa" w:w="60"/>
              <w:right w:type="dxa" w:w="90"/>
            </w:tcMar>
          </w:tcPr>
          <w:p>
            <w:pPr>
              <w:spacing w:after="20" w:line="240"/>
            </w:pPr>
            <w:r>
              <w:rPr>
                <w:b w:val="false"/>
                <w:bCs w:val="false"/>
                <w:sz w:val="18"/>
                <w:szCs w:val="18"/>
              </w:rPr>
              <w:t xml:space="preserve">Comptes, rôles, vérification, mandats, consentements</w:t>
            </w:r>
          </w:p>
        </w:tc>
        <w:tc>
          <w:tcPr>
            <w:tcW w:type="dxa" w:w="2808"/>
            <w:tcMar>
              <w:top w:type="dxa" w:w="60"/>
              <w:left w:type="dxa" w:w="90"/>
              <w:bottom w:type="dxa" w:w="60"/>
              <w:right w:type="dxa" w:w="90"/>
            </w:tcMar>
          </w:tcPr>
          <w:p>
            <w:pPr>
              <w:spacing w:after="20" w:line="240"/>
            </w:pPr>
            <w:r>
              <w:rPr>
                <w:b w:val="false"/>
                <w:bCs w:val="false"/>
                <w:sz w:val="18"/>
                <w:szCs w:val="18"/>
              </w:rPr>
              <w:t xml:space="preserve">Ne liquide aucune obligation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Objets et cadastre fiscal</w:t>
            </w:r>
          </w:p>
        </w:tc>
        <w:tc>
          <w:tcPr>
            <w:tcW w:type="dxa" w:w="4493"/>
            <w:tcMar>
              <w:top w:type="dxa" w:w="60"/>
              <w:left w:type="dxa" w:w="90"/>
              <w:bottom w:type="dxa" w:w="60"/>
              <w:right w:type="dxa" w:w="90"/>
            </w:tcMar>
          </w:tcPr>
          <w:p>
            <w:pPr>
              <w:spacing w:after="20" w:line="240"/>
            </w:pPr>
            <w:r>
              <w:rPr>
                <w:b w:val="false"/>
                <w:bCs w:val="false"/>
                <w:sz w:val="18"/>
                <w:szCs w:val="18"/>
              </w:rPr>
              <w:t xml:space="preserve">Recensement, géolocalisation, cycle de vie des objets imposables</w:t>
            </w:r>
          </w:p>
        </w:tc>
        <w:tc>
          <w:tcPr>
            <w:tcW w:type="dxa" w:w="2808"/>
            <w:tcMar>
              <w:top w:type="dxa" w:w="60"/>
              <w:left w:type="dxa" w:w="90"/>
              <w:bottom w:type="dxa" w:w="60"/>
              <w:right w:type="dxa" w:w="90"/>
            </w:tcMar>
          </w:tcPr>
          <w:p>
            <w:pPr>
              <w:spacing w:after="20" w:line="240"/>
            </w:pPr>
            <w:r>
              <w:rPr>
                <w:b w:val="false"/>
                <w:bCs w:val="false"/>
                <w:sz w:val="18"/>
                <w:szCs w:val="18"/>
              </w:rPr>
              <w:t xml:space="preserve">Ne détermine pas la propriété juridique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Droit et référentiel</w:t>
            </w:r>
          </w:p>
        </w:tc>
        <w:tc>
          <w:tcPr>
            <w:tcW w:type="dxa" w:w="4493"/>
            <w:tcMar>
              <w:top w:type="dxa" w:w="60"/>
              <w:left w:type="dxa" w:w="90"/>
              <w:bottom w:type="dxa" w:w="60"/>
              <w:right w:type="dxa" w:w="90"/>
            </w:tcMar>
          </w:tcPr>
          <w:p>
            <w:pPr>
              <w:spacing w:after="20" w:line="240"/>
            </w:pPr>
            <w:r>
              <w:rPr>
                <w:b w:val="false"/>
                <w:bCs w:val="false"/>
                <w:sz w:val="18"/>
                <w:szCs w:val="18"/>
              </w:rPr>
              <w:t xml:space="preserve">Fiches de recettes, taux, exonérations, versions, publication</w:t>
            </w:r>
          </w:p>
        </w:tc>
        <w:tc>
          <w:tcPr>
            <w:tcW w:type="dxa" w:w="2808"/>
            <w:tcMar>
              <w:top w:type="dxa" w:w="60"/>
              <w:left w:type="dxa" w:w="90"/>
              <w:bottom w:type="dxa" w:w="60"/>
              <w:right w:type="dxa" w:w="90"/>
            </w:tcMar>
          </w:tcPr>
          <w:p>
            <w:pPr>
              <w:spacing w:after="20" w:line="240"/>
            </w:pPr>
            <w:r>
              <w:rPr>
                <w:b w:val="false"/>
                <w:bCs w:val="false"/>
                <w:sz w:val="18"/>
                <w:szCs w:val="18"/>
              </w:rPr>
              <w:t xml:space="preserve">N'applique pas de règle non approuvée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Liquidation et obligations</w:t>
            </w:r>
          </w:p>
        </w:tc>
        <w:tc>
          <w:tcPr>
            <w:tcW w:type="dxa" w:w="4493"/>
            <w:tcMar>
              <w:top w:type="dxa" w:w="60"/>
              <w:left w:type="dxa" w:w="90"/>
              <w:bottom w:type="dxa" w:w="60"/>
              <w:right w:type="dxa" w:w="90"/>
            </w:tcMar>
          </w:tcPr>
          <w:p>
            <w:pPr>
              <w:spacing w:after="20" w:line="240"/>
            </w:pPr>
            <w:r>
              <w:rPr>
                <w:b w:val="false"/>
                <w:bCs w:val="false"/>
                <w:sz w:val="18"/>
                <w:szCs w:val="18"/>
              </w:rPr>
              <w:t xml:space="preserve">Déclarations, calculs, avis de paiement, échéanciers, arriérés</w:t>
            </w:r>
          </w:p>
        </w:tc>
        <w:tc>
          <w:tcPr>
            <w:tcW w:type="dxa" w:w="2808"/>
            <w:tcMar>
              <w:top w:type="dxa" w:w="60"/>
              <w:left w:type="dxa" w:w="90"/>
              <w:bottom w:type="dxa" w:w="60"/>
              <w:right w:type="dxa" w:w="90"/>
            </w:tcMar>
          </w:tcPr>
          <w:p>
            <w:pPr>
              <w:spacing w:after="20" w:line="240"/>
            </w:pPr>
            <w:r>
              <w:rPr>
                <w:b w:val="false"/>
                <w:bCs w:val="false"/>
                <w:sz w:val="18"/>
                <w:szCs w:val="18"/>
              </w:rPr>
              <w:t xml:space="preserve">Ne modifie pas une règle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Paiement et trésorerie</w:t>
            </w:r>
          </w:p>
        </w:tc>
        <w:tc>
          <w:tcPr>
            <w:tcW w:type="dxa" w:w="4493"/>
            <w:tcMar>
              <w:top w:type="dxa" w:w="60"/>
              <w:left w:type="dxa" w:w="90"/>
              <w:bottom w:type="dxa" w:w="60"/>
              <w:right w:type="dxa" w:w="90"/>
            </w:tcMar>
          </w:tcPr>
          <w:p>
            <w:pPr>
              <w:spacing w:after="20" w:line="240"/>
            </w:pPr>
            <w:r>
              <w:rPr>
                <w:b w:val="false"/>
                <w:bCs w:val="false"/>
                <w:sz w:val="18"/>
                <w:szCs w:val="18"/>
              </w:rPr>
              <w:t xml:space="preserve">Orchestration, règlement, rapprochement, quittances</w:t>
            </w:r>
          </w:p>
        </w:tc>
        <w:tc>
          <w:tcPr>
            <w:tcW w:type="dxa" w:w="2808"/>
            <w:tcMar>
              <w:top w:type="dxa" w:w="60"/>
              <w:left w:type="dxa" w:w="90"/>
              <w:bottom w:type="dxa" w:w="60"/>
              <w:right w:type="dxa" w:w="90"/>
            </w:tcMar>
          </w:tcPr>
          <w:p>
            <w:pPr>
              <w:spacing w:after="20" w:line="240"/>
            </w:pPr>
            <w:r>
              <w:rPr>
                <w:b w:val="false"/>
                <w:bCs w:val="false"/>
                <w:sz w:val="18"/>
                <w:szCs w:val="18"/>
              </w:rPr>
              <w:t xml:space="preserve">Ne crée pas d'obligation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Contrôle et contentieux</w:t>
            </w:r>
          </w:p>
        </w:tc>
        <w:tc>
          <w:tcPr>
            <w:tcW w:type="dxa" w:w="4493"/>
            <w:tcMar>
              <w:top w:type="dxa" w:w="60"/>
              <w:left w:type="dxa" w:w="90"/>
              <w:bottom w:type="dxa" w:w="60"/>
              <w:right w:type="dxa" w:w="90"/>
            </w:tcMar>
          </w:tcPr>
          <w:p>
            <w:pPr>
              <w:spacing w:after="20" w:line="240"/>
            </w:pPr>
            <w:r>
              <w:rPr>
                <w:b w:val="false"/>
                <w:bCs w:val="false"/>
                <w:sz w:val="18"/>
                <w:szCs w:val="18"/>
              </w:rPr>
              <w:t xml:space="preserve">Missions, constats, notifications, recouvrement, recours</w:t>
            </w:r>
          </w:p>
        </w:tc>
        <w:tc>
          <w:tcPr>
            <w:tcW w:type="dxa" w:w="2808"/>
            <w:tcMar>
              <w:top w:type="dxa" w:w="60"/>
              <w:left w:type="dxa" w:w="90"/>
              <w:bottom w:type="dxa" w:w="60"/>
              <w:right w:type="dxa" w:w="90"/>
            </w:tcMar>
          </w:tcPr>
          <w:p>
            <w:pPr>
              <w:spacing w:after="20" w:line="240"/>
            </w:pPr>
            <w:r>
              <w:rPr>
                <w:b w:val="false"/>
                <w:bCs w:val="false"/>
                <w:sz w:val="18"/>
                <w:szCs w:val="18"/>
              </w:rPr>
              <w:t xml:space="preserve">N'encaisse pas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Pilotage, IA et audit</w:t>
            </w:r>
          </w:p>
        </w:tc>
        <w:tc>
          <w:tcPr>
            <w:tcW w:type="dxa" w:w="4493"/>
            <w:tcMar>
              <w:top w:type="dxa" w:w="60"/>
              <w:left w:type="dxa" w:w="90"/>
              <w:bottom w:type="dxa" w:w="60"/>
              <w:right w:type="dxa" w:w="90"/>
            </w:tcMar>
          </w:tcPr>
          <w:p>
            <w:pPr>
              <w:spacing w:after="20" w:line="240"/>
            </w:pPr>
            <w:r>
              <w:rPr>
                <w:b w:val="false"/>
                <w:bCs w:val="false"/>
                <w:sz w:val="18"/>
                <w:szCs w:val="18"/>
              </w:rPr>
              <w:t xml:space="preserve">Tableaux de bord, prévisions, détection de fraude, journal d'audit</w:t>
            </w:r>
          </w:p>
        </w:tc>
        <w:tc>
          <w:tcPr>
            <w:tcW w:type="dxa" w:w="2808"/>
            <w:tcMar>
              <w:top w:type="dxa" w:w="60"/>
              <w:left w:type="dxa" w:w="90"/>
              <w:bottom w:type="dxa" w:w="60"/>
              <w:right w:type="dxa" w:w="90"/>
            </w:tcMar>
          </w:tcPr>
          <w:p>
            <w:pPr>
              <w:spacing w:after="20" w:line="240"/>
            </w:pPr>
            <w:r>
              <w:rPr>
                <w:b w:val="false"/>
                <w:bCs w:val="false"/>
                <w:sz w:val="18"/>
                <w:szCs w:val="18"/>
              </w:rPr>
              <w:t xml:space="preserve">Ne décide ni n'exécute d'acte financier</w:t>
            </w:r>
          </w:p>
        </w:tc>
      </w:tr>
    </w:tbl>
    <w:p>
      <w:pPr>
        <w:spacing w:after="120" w:line="276"/>
        <w:jc w:val="both"/>
      </w:pPr>
      <w:r>
        <w:rPr>
          <w:b w:val="false"/>
          <w:bCs w:val="false"/>
          <w:i w:val="false"/>
          <w:iCs w:val="false"/>
          <w:sz w:val="21"/>
          <w:szCs w:val="21"/>
        </w:rPr>
        <w:t xml:space="preserve">Un principe traverse l'ensemble : les faits sont immuables et les corrections sont des écritures nouvelles. Un constat erroné n'est pas effacé, il est annulé par un acte contraire, motivé, signé et relié à l'original.</w:t>
      </w:r>
    </w:p>
    <w:p>
      <w:pPr>
        <w:pStyle w:val="Heading1"/>
        <w:spacing w:after="160" w:before="360"/>
      </w:pPr>
      <w:r>
        <w:t xml:space="preserve">11. Catalogue des modules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562"/>
        <w:gridCol w:w="2808"/>
        <w:gridCol w:w="5990"/>
      </w:tblGrid>
      <w:tr>
        <w:trPr>
          <w:tblHeader/>
        </w:trPr>
        <w:tc>
          <w:tcPr>
            <w:tcW w:type="dxa" w:w="562"/>
            <w:shd w:fill="E6F4F1" w:color="auto" w:val="clear"/>
            <w:tcMar>
              <w:top w:type="dxa" w:w="60"/>
              <w:left w:type="dxa" w:w="90"/>
              <w:bottom w:type="dxa" w:w="60"/>
              <w:right w:type="dxa" w:w="90"/>
            </w:tcMar>
          </w:tcPr>
          <w:p>
            <w:pPr>
              <w:spacing w:after="20" w:line="240"/>
            </w:pPr>
            <w:r>
              <w:rPr>
                <w:b/>
                <w:bCs/>
                <w:sz w:val="18"/>
                <w:szCs w:val="18"/>
              </w:rPr>
              <w:t xml:space="preserve">N°</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Module</w:t>
            </w:r>
          </w:p>
        </w:tc>
        <w:tc>
          <w:tcPr>
            <w:tcW w:type="dxa" w:w="5990"/>
            <w:shd w:fill="E6F4F1" w:color="auto" w:val="clear"/>
            <w:tcMar>
              <w:top w:type="dxa" w:w="60"/>
              <w:left w:type="dxa" w:w="90"/>
              <w:bottom w:type="dxa" w:w="60"/>
              <w:right w:type="dxa" w:w="90"/>
            </w:tcMar>
          </w:tcPr>
          <w:p>
            <w:pPr>
              <w:spacing w:after="20" w:line="240"/>
            </w:pPr>
            <w:r>
              <w:rPr>
                <w:b/>
                <w:bCs/>
                <w:sz w:val="18"/>
                <w:szCs w:val="18"/>
              </w:rPr>
              <w:t xml:space="preserve">Fonction principale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w:t>
            </w:r>
          </w:p>
        </w:tc>
        <w:tc>
          <w:tcPr>
            <w:tcW w:type="dxa" w:w="2808"/>
            <w:tcMar>
              <w:top w:type="dxa" w:w="60"/>
              <w:left w:type="dxa" w:w="90"/>
              <w:bottom w:type="dxa" w:w="60"/>
              <w:right w:type="dxa" w:w="90"/>
            </w:tcMar>
          </w:tcPr>
          <w:p>
            <w:pPr>
              <w:spacing w:after="20" w:line="240"/>
            </w:pPr>
            <w:r>
              <w:rPr>
                <w:b w:val="false"/>
                <w:bCs w:val="false"/>
                <w:sz w:val="18"/>
                <w:szCs w:val="18"/>
              </w:rPr>
              <w:t xml:space="preserve">Identité et compte contribuable</w:t>
            </w:r>
          </w:p>
        </w:tc>
        <w:tc>
          <w:tcPr>
            <w:tcW w:type="dxa" w:w="5990"/>
            <w:tcMar>
              <w:top w:type="dxa" w:w="60"/>
              <w:left w:type="dxa" w:w="90"/>
              <w:bottom w:type="dxa" w:w="60"/>
              <w:right w:type="dxa" w:w="90"/>
            </w:tcMar>
          </w:tcPr>
          <w:p>
            <w:pPr>
              <w:spacing w:after="20" w:line="240"/>
            </w:pPr>
            <w:r>
              <w:rPr>
                <w:b w:val="false"/>
                <w:bCs w:val="false"/>
                <w:sz w:val="18"/>
                <w:szCs w:val="18"/>
              </w:rPr>
              <w:t xml:space="preserve">Compte unique, rôles, mandats, niveaux de vérification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w:t>
            </w:r>
          </w:p>
        </w:tc>
        <w:tc>
          <w:tcPr>
            <w:tcW w:type="dxa" w:w="2808"/>
            <w:tcMar>
              <w:top w:type="dxa" w:w="60"/>
              <w:left w:type="dxa" w:w="90"/>
              <w:bottom w:type="dxa" w:w="60"/>
              <w:right w:type="dxa" w:w="90"/>
            </w:tcMar>
          </w:tcPr>
          <w:p>
            <w:pPr>
              <w:spacing w:after="20" w:line="240"/>
            </w:pPr>
            <w:r>
              <w:rPr>
                <w:b w:val="false"/>
                <w:bCs w:val="false"/>
                <w:sz w:val="18"/>
                <w:szCs w:val="18"/>
              </w:rPr>
              <w:t xml:space="preserve">Enrôlement et vérification</w:t>
            </w:r>
          </w:p>
        </w:tc>
        <w:tc>
          <w:tcPr>
            <w:tcW w:type="dxa" w:w="5990"/>
            <w:tcMar>
              <w:top w:type="dxa" w:w="60"/>
              <w:left w:type="dxa" w:w="90"/>
              <w:bottom w:type="dxa" w:w="60"/>
              <w:right w:type="dxa" w:w="90"/>
            </w:tcMar>
          </w:tcPr>
          <w:p>
            <w:pPr>
              <w:spacing w:after="20" w:line="240"/>
            </w:pPr>
            <w:r>
              <w:rPr>
                <w:b w:val="false"/>
                <w:bCs w:val="false"/>
                <w:sz w:val="18"/>
                <w:szCs w:val="18"/>
              </w:rPr>
              <w:t xml:space="preserve">Parcours par profil, contrôle des pièces, anti-doublon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w:t>
            </w:r>
          </w:p>
        </w:tc>
        <w:tc>
          <w:tcPr>
            <w:tcW w:type="dxa" w:w="2808"/>
            <w:tcMar>
              <w:top w:type="dxa" w:w="60"/>
              <w:left w:type="dxa" w:w="90"/>
              <w:bottom w:type="dxa" w:w="60"/>
              <w:right w:type="dxa" w:w="90"/>
            </w:tcMar>
          </w:tcPr>
          <w:p>
            <w:pPr>
              <w:spacing w:after="20" w:line="240"/>
            </w:pPr>
            <w:r>
              <w:rPr>
                <w:b w:val="false"/>
                <w:bCs w:val="false"/>
                <w:sz w:val="18"/>
                <w:szCs w:val="18"/>
              </w:rPr>
              <w:t xml:space="preserve">Portail contribuable</w:t>
            </w:r>
          </w:p>
        </w:tc>
        <w:tc>
          <w:tcPr>
            <w:tcW w:type="dxa" w:w="5990"/>
            <w:tcMar>
              <w:top w:type="dxa" w:w="60"/>
              <w:left w:type="dxa" w:w="90"/>
              <w:bottom w:type="dxa" w:w="60"/>
              <w:right w:type="dxa" w:w="90"/>
            </w:tcMar>
          </w:tcPr>
          <w:p>
            <w:pPr>
              <w:spacing w:after="20" w:line="240"/>
            </w:pPr>
            <w:r>
              <w:rPr>
                <w:b w:val="false"/>
                <w:bCs w:val="false"/>
                <w:sz w:val="18"/>
                <w:szCs w:val="18"/>
              </w:rPr>
              <w:t xml:space="preserve">Vue des objets, obligations, paiements, recours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w:t>
            </w:r>
          </w:p>
        </w:tc>
        <w:tc>
          <w:tcPr>
            <w:tcW w:type="dxa" w:w="2808"/>
            <w:tcMar>
              <w:top w:type="dxa" w:w="60"/>
              <w:left w:type="dxa" w:w="90"/>
              <w:bottom w:type="dxa" w:w="60"/>
              <w:right w:type="dxa" w:w="90"/>
            </w:tcMar>
          </w:tcPr>
          <w:p>
            <w:pPr>
              <w:spacing w:after="20" w:line="240"/>
            </w:pPr>
            <w:r>
              <w:rPr>
                <w:b w:val="false"/>
                <w:bCs w:val="false"/>
                <w:sz w:val="18"/>
                <w:szCs w:val="18"/>
              </w:rPr>
              <w:t xml:space="preserve">Application citoyenne Android</w:t>
            </w:r>
          </w:p>
        </w:tc>
        <w:tc>
          <w:tcPr>
            <w:tcW w:type="dxa" w:w="5990"/>
            <w:tcMar>
              <w:top w:type="dxa" w:w="60"/>
              <w:left w:type="dxa" w:w="90"/>
              <w:bottom w:type="dxa" w:w="60"/>
              <w:right w:type="dxa" w:w="90"/>
            </w:tcMar>
          </w:tcPr>
          <w:p>
            <w:pPr>
              <w:spacing w:after="20" w:line="240"/>
            </w:pPr>
            <w:r>
              <w:rPr>
                <w:b w:val="false"/>
                <w:bCs w:val="false"/>
                <w:sz w:val="18"/>
                <w:szCs w:val="18"/>
              </w:rPr>
              <w:t xml:space="preserve">Accès mobile, paiement, quittance, QR</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w:t>
            </w:r>
          </w:p>
        </w:tc>
        <w:tc>
          <w:tcPr>
            <w:tcW w:type="dxa" w:w="2808"/>
            <w:tcMar>
              <w:top w:type="dxa" w:w="60"/>
              <w:left w:type="dxa" w:w="90"/>
              <w:bottom w:type="dxa" w:w="60"/>
              <w:right w:type="dxa" w:w="90"/>
            </w:tcMar>
          </w:tcPr>
          <w:p>
            <w:pPr>
              <w:spacing w:after="20" w:line="240"/>
            </w:pPr>
            <w:r>
              <w:rPr>
                <w:b w:val="false"/>
                <w:bCs w:val="false"/>
                <w:sz w:val="18"/>
                <w:szCs w:val="18"/>
              </w:rPr>
              <w:t xml:space="preserve">Portail web public</w:t>
            </w:r>
          </w:p>
        </w:tc>
        <w:tc>
          <w:tcPr>
            <w:tcW w:type="dxa" w:w="5990"/>
            <w:tcMar>
              <w:top w:type="dxa" w:w="60"/>
              <w:left w:type="dxa" w:w="90"/>
              <w:bottom w:type="dxa" w:w="60"/>
              <w:right w:type="dxa" w:w="90"/>
            </w:tcMar>
          </w:tcPr>
          <w:p>
            <w:pPr>
              <w:spacing w:after="20" w:line="240"/>
            </w:pPr>
            <w:r>
              <w:rPr>
                <w:b w:val="false"/>
                <w:bCs w:val="false"/>
                <w:sz w:val="18"/>
                <w:szCs w:val="18"/>
              </w:rPr>
              <w:t xml:space="preserve">Information, simulateurs, vérification de quittance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6</w:t>
            </w:r>
          </w:p>
        </w:tc>
        <w:tc>
          <w:tcPr>
            <w:tcW w:type="dxa" w:w="2808"/>
            <w:tcMar>
              <w:top w:type="dxa" w:w="60"/>
              <w:left w:type="dxa" w:w="90"/>
              <w:bottom w:type="dxa" w:w="60"/>
              <w:right w:type="dxa" w:w="90"/>
            </w:tcMar>
          </w:tcPr>
          <w:p>
            <w:pPr>
              <w:spacing w:after="20" w:line="240"/>
            </w:pPr>
            <w:r>
              <w:rPr>
                <w:b w:val="false"/>
                <w:bCs w:val="false"/>
                <w:sz w:val="18"/>
                <w:szCs w:val="18"/>
              </w:rPr>
              <w:t xml:space="preserve">USSD et SMS</w:t>
            </w:r>
          </w:p>
        </w:tc>
        <w:tc>
          <w:tcPr>
            <w:tcW w:type="dxa" w:w="5990"/>
            <w:tcMar>
              <w:top w:type="dxa" w:w="60"/>
              <w:left w:type="dxa" w:w="90"/>
              <w:bottom w:type="dxa" w:w="60"/>
              <w:right w:type="dxa" w:w="90"/>
            </w:tcMar>
          </w:tcPr>
          <w:p>
            <w:pPr>
              <w:spacing w:after="20" w:line="240"/>
            </w:pPr>
            <w:r>
              <w:rPr>
                <w:b w:val="false"/>
                <w:bCs w:val="false"/>
                <w:sz w:val="18"/>
                <w:szCs w:val="18"/>
              </w:rPr>
              <w:t xml:space="preserve">Consultation et paiement sans smartphone, notifications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7</w:t>
            </w:r>
          </w:p>
        </w:tc>
        <w:tc>
          <w:tcPr>
            <w:tcW w:type="dxa" w:w="2808"/>
            <w:tcMar>
              <w:top w:type="dxa" w:w="60"/>
              <w:left w:type="dxa" w:w="90"/>
              <w:bottom w:type="dxa" w:w="60"/>
              <w:right w:type="dxa" w:w="90"/>
            </w:tcMar>
          </w:tcPr>
          <w:p>
            <w:pPr>
              <w:spacing w:after="20" w:line="240"/>
            </w:pPr>
            <w:r>
              <w:rPr>
                <w:b w:val="false"/>
                <w:bCs w:val="false"/>
                <w:sz w:val="18"/>
                <w:szCs w:val="18"/>
              </w:rPr>
              <w:t xml:space="preserve">Gestionnaire de relations contribuable–objet</w:t>
            </w:r>
          </w:p>
        </w:tc>
        <w:tc>
          <w:tcPr>
            <w:tcW w:type="dxa" w:w="5990"/>
            <w:tcMar>
              <w:top w:type="dxa" w:w="60"/>
              <w:left w:type="dxa" w:w="90"/>
              <w:bottom w:type="dxa" w:w="60"/>
              <w:right w:type="dxa" w:w="90"/>
            </w:tcMar>
          </w:tcPr>
          <w:p>
            <w:pPr>
              <w:spacing w:after="20" w:line="240"/>
            </w:pPr>
            <w:r>
              <w:rPr>
                <w:b w:val="false"/>
                <w:bCs w:val="false"/>
                <w:sz w:val="18"/>
                <w:szCs w:val="18"/>
              </w:rPr>
              <w:t xml:space="preserve">Rattachement, détachement, preuve, historique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8</w:t>
            </w:r>
          </w:p>
        </w:tc>
        <w:tc>
          <w:tcPr>
            <w:tcW w:type="dxa" w:w="2808"/>
            <w:tcMar>
              <w:top w:type="dxa" w:w="60"/>
              <w:left w:type="dxa" w:w="90"/>
              <w:bottom w:type="dxa" w:w="60"/>
              <w:right w:type="dxa" w:w="90"/>
            </w:tcMar>
          </w:tcPr>
          <w:p>
            <w:pPr>
              <w:spacing w:after="20" w:line="240"/>
            </w:pPr>
            <w:r>
              <w:rPr>
                <w:b w:val="false"/>
                <w:bCs w:val="false"/>
                <w:sz w:val="18"/>
                <w:szCs w:val="18"/>
              </w:rPr>
              <w:t xml:space="preserve">Cadastre fiscal géospatial</w:t>
            </w:r>
          </w:p>
        </w:tc>
        <w:tc>
          <w:tcPr>
            <w:tcW w:type="dxa" w:w="5990"/>
            <w:tcMar>
              <w:top w:type="dxa" w:w="60"/>
              <w:left w:type="dxa" w:w="90"/>
              <w:bottom w:type="dxa" w:w="60"/>
              <w:right w:type="dxa" w:w="90"/>
            </w:tcMar>
          </w:tcPr>
          <w:p>
            <w:pPr>
              <w:spacing w:after="20" w:line="240"/>
            </w:pPr>
            <w:r>
              <w:rPr>
                <w:b w:val="false"/>
                <w:bCs w:val="false"/>
                <w:sz w:val="18"/>
                <w:szCs w:val="18"/>
              </w:rPr>
              <w:t xml:space="preserve">Couches, objets, identifiants géographiques, cartes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9</w:t>
            </w:r>
          </w:p>
        </w:tc>
        <w:tc>
          <w:tcPr>
            <w:tcW w:type="dxa" w:w="2808"/>
            <w:tcMar>
              <w:top w:type="dxa" w:w="60"/>
              <w:left w:type="dxa" w:w="90"/>
              <w:bottom w:type="dxa" w:w="60"/>
              <w:right w:type="dxa" w:w="90"/>
            </w:tcMar>
          </w:tcPr>
          <w:p>
            <w:pPr>
              <w:spacing w:after="20" w:line="240"/>
            </w:pPr>
            <w:r>
              <w:rPr>
                <w:b w:val="false"/>
                <w:bCs w:val="false"/>
                <w:sz w:val="18"/>
                <w:szCs w:val="18"/>
              </w:rPr>
              <w:t xml:space="preserve">Intelligence foncière et locative</w:t>
            </w:r>
          </w:p>
        </w:tc>
        <w:tc>
          <w:tcPr>
            <w:tcW w:type="dxa" w:w="5990"/>
            <w:tcMar>
              <w:top w:type="dxa" w:w="60"/>
              <w:left w:type="dxa" w:w="90"/>
              <w:bottom w:type="dxa" w:w="60"/>
              <w:right w:type="dxa" w:w="90"/>
            </w:tcMar>
          </w:tcPr>
          <w:p>
            <w:pPr>
              <w:spacing w:after="20" w:line="240"/>
            </w:pPr>
            <w:r>
              <w:rPr>
                <w:b w:val="false"/>
                <w:bCs w:val="false"/>
                <w:sz w:val="18"/>
                <w:szCs w:val="18"/>
              </w:rPr>
              <w:t xml:space="preserve">Unités, baux, occupation, anomalies, couverture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10</w:t>
            </w:r>
          </w:p>
        </w:tc>
        <w:tc>
          <w:tcPr>
            <w:tcW w:type="dxa" w:w="2808"/>
            <w:tcMar>
              <w:top w:type="dxa" w:w="60"/>
              <w:left w:type="dxa" w:w="90"/>
              <w:bottom w:type="dxa" w:w="60"/>
              <w:right w:type="dxa" w:w="90"/>
            </w:tcMar>
          </w:tcPr>
          <w:p>
            <w:pPr>
              <w:spacing w:after="20" w:line="240"/>
            </w:pPr>
            <w:r>
              <w:rPr>
                <w:b w:val="false"/>
                <w:bCs w:val="false"/>
                <w:sz w:val="18"/>
                <w:szCs w:val="18"/>
              </w:rPr>
              <w:t xml:space="preserve">Registre des activités et patentes</w:t>
            </w:r>
          </w:p>
        </w:tc>
        <w:tc>
          <w:tcPr>
            <w:tcW w:type="dxa" w:w="5990"/>
            <w:tcMar>
              <w:top w:type="dxa" w:w="60"/>
              <w:left w:type="dxa" w:w="90"/>
              <w:bottom w:type="dxa" w:w="60"/>
              <w:right w:type="dxa" w:w="90"/>
            </w:tcMar>
          </w:tcPr>
          <w:p>
            <w:pPr>
              <w:spacing w:after="20" w:line="240"/>
            </w:pPr>
            <w:r>
              <w:rPr>
                <w:b w:val="false"/>
                <w:bCs w:val="false"/>
                <w:sz w:val="18"/>
                <w:szCs w:val="18"/>
              </w:rPr>
              <w:t xml:space="preserve">Commerces, catégories, marchés, renouvellements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11</w:t>
            </w:r>
          </w:p>
        </w:tc>
        <w:tc>
          <w:tcPr>
            <w:tcW w:type="dxa" w:w="2808"/>
            <w:tcMar>
              <w:top w:type="dxa" w:w="60"/>
              <w:left w:type="dxa" w:w="90"/>
              <w:bottom w:type="dxa" w:w="60"/>
              <w:right w:type="dxa" w:w="90"/>
            </w:tcMar>
          </w:tcPr>
          <w:p>
            <w:pPr>
              <w:spacing w:after="20" w:line="240"/>
            </w:pPr>
            <w:r>
              <w:rPr>
                <w:b w:val="false"/>
                <w:bCs w:val="false"/>
                <w:sz w:val="18"/>
                <w:szCs w:val="18"/>
              </w:rPr>
              <w:t xml:space="preserve">Véhicules et circulation</w:t>
            </w:r>
          </w:p>
        </w:tc>
        <w:tc>
          <w:tcPr>
            <w:tcW w:type="dxa" w:w="5990"/>
            <w:tcMar>
              <w:top w:type="dxa" w:w="60"/>
              <w:left w:type="dxa" w:w="90"/>
              <w:bottom w:type="dxa" w:w="60"/>
              <w:right w:type="dxa" w:w="90"/>
            </w:tcMar>
          </w:tcPr>
          <w:p>
            <w:pPr>
              <w:spacing w:after="20" w:line="240"/>
            </w:pPr>
            <w:r>
              <w:rPr>
                <w:b w:val="false"/>
                <w:bCs w:val="false"/>
                <w:sz w:val="18"/>
                <w:szCs w:val="18"/>
              </w:rPr>
              <w:t xml:space="preserve">Vignette, taxe de circulation, mutations, contrôles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12</w:t>
            </w:r>
          </w:p>
        </w:tc>
        <w:tc>
          <w:tcPr>
            <w:tcW w:type="dxa" w:w="2808"/>
            <w:tcMar>
              <w:top w:type="dxa" w:w="60"/>
              <w:left w:type="dxa" w:w="90"/>
              <w:bottom w:type="dxa" w:w="60"/>
              <w:right w:type="dxa" w:w="90"/>
            </w:tcMar>
          </w:tcPr>
          <w:p>
            <w:pPr>
              <w:spacing w:after="20" w:line="240"/>
            </w:pPr>
            <w:r>
              <w:rPr>
                <w:b w:val="false"/>
                <w:bCs w:val="false"/>
                <w:sz w:val="18"/>
                <w:szCs w:val="18"/>
              </w:rPr>
              <w:t xml:space="preserve">Autorisations de transport</w:t>
            </w:r>
          </w:p>
        </w:tc>
        <w:tc>
          <w:tcPr>
            <w:tcW w:type="dxa" w:w="5990"/>
            <w:tcMar>
              <w:top w:type="dxa" w:w="60"/>
              <w:left w:type="dxa" w:w="90"/>
              <w:bottom w:type="dxa" w:w="60"/>
              <w:right w:type="dxa" w:w="90"/>
            </w:tcMar>
          </w:tcPr>
          <w:p>
            <w:pPr>
              <w:spacing w:after="20" w:line="240"/>
            </w:pPr>
            <w:r>
              <w:rPr>
                <w:b w:val="false"/>
                <w:bCs w:val="false"/>
                <w:sz w:val="18"/>
                <w:szCs w:val="18"/>
              </w:rPr>
              <w:t xml:space="preserve">Licences, corridors, validité, contrôle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13</w:t>
            </w:r>
          </w:p>
        </w:tc>
        <w:tc>
          <w:tcPr>
            <w:tcW w:type="dxa" w:w="2808"/>
            <w:tcMar>
              <w:top w:type="dxa" w:w="60"/>
              <w:left w:type="dxa" w:w="90"/>
              <w:bottom w:type="dxa" w:w="60"/>
              <w:right w:type="dxa" w:w="90"/>
            </w:tcMar>
          </w:tcPr>
          <w:p>
            <w:pPr>
              <w:spacing w:after="20" w:line="240"/>
            </w:pPr>
            <w:r>
              <w:rPr>
                <w:b w:val="false"/>
                <w:bCs w:val="false"/>
                <w:sz w:val="18"/>
                <w:szCs w:val="18"/>
              </w:rPr>
              <w:t xml:space="preserve">Embarquement et débarquement</w:t>
            </w:r>
          </w:p>
        </w:tc>
        <w:tc>
          <w:tcPr>
            <w:tcW w:type="dxa" w:w="5990"/>
            <w:tcMar>
              <w:top w:type="dxa" w:w="60"/>
              <w:left w:type="dxa" w:w="90"/>
              <w:bottom w:type="dxa" w:w="60"/>
              <w:right w:type="dxa" w:w="90"/>
            </w:tcMar>
          </w:tcPr>
          <w:p>
            <w:pPr>
              <w:spacing w:after="20" w:line="240"/>
            </w:pPr>
            <w:r>
              <w:rPr>
                <w:b w:val="false"/>
                <w:bCs w:val="false"/>
                <w:sz w:val="18"/>
                <w:szCs w:val="18"/>
              </w:rPr>
              <w:t xml:space="preserve">Points, flux, perception, reçus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14</w:t>
            </w:r>
          </w:p>
        </w:tc>
        <w:tc>
          <w:tcPr>
            <w:tcW w:type="dxa" w:w="2808"/>
            <w:tcMar>
              <w:top w:type="dxa" w:w="60"/>
              <w:left w:type="dxa" w:w="90"/>
              <w:bottom w:type="dxa" w:w="60"/>
              <w:right w:type="dxa" w:w="90"/>
            </w:tcMar>
          </w:tcPr>
          <w:p>
            <w:pPr>
              <w:spacing w:after="20" w:line="240"/>
            </w:pPr>
            <w:r>
              <w:rPr>
                <w:b w:val="false"/>
                <w:bCs w:val="false"/>
                <w:sz w:val="18"/>
                <w:szCs w:val="18"/>
              </w:rPr>
              <w:t xml:space="preserve">Stationnement public</w:t>
            </w:r>
          </w:p>
        </w:tc>
        <w:tc>
          <w:tcPr>
            <w:tcW w:type="dxa" w:w="5990"/>
            <w:tcMar>
              <w:top w:type="dxa" w:w="60"/>
              <w:left w:type="dxa" w:w="90"/>
              <w:bottom w:type="dxa" w:w="60"/>
              <w:right w:type="dxa" w:w="90"/>
            </w:tcMar>
          </w:tcPr>
          <w:p>
            <w:pPr>
              <w:spacing w:after="20" w:line="240"/>
            </w:pPr>
            <w:r>
              <w:rPr>
                <w:b w:val="false"/>
                <w:bCs w:val="false"/>
                <w:sz w:val="18"/>
                <w:szCs w:val="18"/>
              </w:rPr>
              <w:t xml:space="preserve">Zones, places, abonnements, perception mobile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15</w:t>
            </w:r>
          </w:p>
        </w:tc>
        <w:tc>
          <w:tcPr>
            <w:tcW w:type="dxa" w:w="2808"/>
            <w:tcMar>
              <w:top w:type="dxa" w:w="60"/>
              <w:left w:type="dxa" w:w="90"/>
              <w:bottom w:type="dxa" w:w="60"/>
              <w:right w:type="dxa" w:w="90"/>
            </w:tcMar>
          </w:tcPr>
          <w:p>
            <w:pPr>
              <w:spacing w:after="20" w:line="240"/>
            </w:pPr>
            <w:r>
              <w:rPr>
                <w:b w:val="false"/>
                <w:bCs w:val="false"/>
                <w:sz w:val="18"/>
                <w:szCs w:val="18"/>
              </w:rPr>
              <w:t xml:space="preserve">Publicité extérieure</w:t>
            </w:r>
          </w:p>
        </w:tc>
        <w:tc>
          <w:tcPr>
            <w:tcW w:type="dxa" w:w="5990"/>
            <w:tcMar>
              <w:top w:type="dxa" w:w="60"/>
              <w:left w:type="dxa" w:w="90"/>
              <w:bottom w:type="dxa" w:w="60"/>
              <w:right w:type="dxa" w:w="90"/>
            </w:tcMar>
          </w:tcPr>
          <w:p>
            <w:pPr>
              <w:spacing w:after="20" w:line="240"/>
            </w:pPr>
            <w:r>
              <w:rPr>
                <w:b w:val="false"/>
                <w:bCs w:val="false"/>
                <w:sz w:val="18"/>
                <w:szCs w:val="18"/>
              </w:rPr>
              <w:t xml:space="preserve">Panneaux, surfaces, autorisations, plaques QR</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16</w:t>
            </w:r>
          </w:p>
        </w:tc>
        <w:tc>
          <w:tcPr>
            <w:tcW w:type="dxa" w:w="2808"/>
            <w:tcMar>
              <w:top w:type="dxa" w:w="60"/>
              <w:left w:type="dxa" w:w="90"/>
              <w:bottom w:type="dxa" w:w="60"/>
              <w:right w:type="dxa" w:w="90"/>
            </w:tcMar>
          </w:tcPr>
          <w:p>
            <w:pPr>
              <w:spacing w:after="20" w:line="240"/>
            </w:pPr>
            <w:r>
              <w:rPr>
                <w:b w:val="false"/>
                <w:bCs w:val="false"/>
                <w:sz w:val="18"/>
                <w:szCs w:val="18"/>
              </w:rPr>
              <w:t xml:space="preserve">Antennes et infrastructures télécoms</w:t>
            </w:r>
          </w:p>
        </w:tc>
        <w:tc>
          <w:tcPr>
            <w:tcW w:type="dxa" w:w="5990"/>
            <w:tcMar>
              <w:top w:type="dxa" w:w="60"/>
              <w:left w:type="dxa" w:w="90"/>
              <w:bottom w:type="dxa" w:w="60"/>
              <w:right w:type="dxa" w:w="90"/>
            </w:tcMar>
          </w:tcPr>
          <w:p>
            <w:pPr>
              <w:spacing w:after="20" w:line="240"/>
            </w:pPr>
            <w:r>
              <w:rPr>
                <w:b w:val="false"/>
                <w:bCs w:val="false"/>
                <w:sz w:val="18"/>
                <w:szCs w:val="18"/>
              </w:rPr>
              <w:t xml:space="preserve">Sites, opérateurs, liquidation annuelle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17</w:t>
            </w:r>
          </w:p>
        </w:tc>
        <w:tc>
          <w:tcPr>
            <w:tcW w:type="dxa" w:w="2808"/>
            <w:tcMar>
              <w:top w:type="dxa" w:w="60"/>
              <w:left w:type="dxa" w:w="90"/>
              <w:bottom w:type="dxa" w:w="60"/>
              <w:right w:type="dxa" w:w="90"/>
            </w:tcMar>
          </w:tcPr>
          <w:p>
            <w:pPr>
              <w:spacing w:after="20" w:line="240"/>
            </w:pPr>
            <w:r>
              <w:rPr>
                <w:b w:val="false"/>
                <w:bCs w:val="false"/>
                <w:sz w:val="18"/>
                <w:szCs w:val="18"/>
              </w:rPr>
              <w:t xml:space="preserve">Boissons, alcools et tabac</w:t>
            </w:r>
          </w:p>
        </w:tc>
        <w:tc>
          <w:tcPr>
            <w:tcW w:type="dxa" w:w="5990"/>
            <w:tcMar>
              <w:top w:type="dxa" w:w="60"/>
              <w:left w:type="dxa" w:w="90"/>
              <w:bottom w:type="dxa" w:w="60"/>
              <w:right w:type="dxa" w:w="90"/>
            </w:tcMar>
          </w:tcPr>
          <w:p>
            <w:pPr>
              <w:spacing w:after="20" w:line="240"/>
            </w:pPr>
            <w:r>
              <w:rPr>
                <w:b w:val="false"/>
                <w:bCs w:val="false"/>
                <w:sz w:val="18"/>
                <w:szCs w:val="18"/>
              </w:rPr>
              <w:t xml:space="preserve">Volumes, déclarations, rapprochement grands redevables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18</w:t>
            </w:r>
          </w:p>
        </w:tc>
        <w:tc>
          <w:tcPr>
            <w:tcW w:type="dxa" w:w="2808"/>
            <w:tcMar>
              <w:top w:type="dxa" w:w="60"/>
              <w:left w:type="dxa" w:w="90"/>
              <w:bottom w:type="dxa" w:w="60"/>
              <w:right w:type="dxa" w:w="90"/>
            </w:tcMar>
          </w:tcPr>
          <w:p>
            <w:pPr>
              <w:spacing w:after="20" w:line="240"/>
            </w:pPr>
            <w:r>
              <w:rPr>
                <w:b w:val="false"/>
                <w:bCs w:val="false"/>
                <w:sz w:val="18"/>
                <w:szCs w:val="18"/>
              </w:rPr>
              <w:t xml:space="preserve">Contribution plastique et environnement</w:t>
            </w:r>
          </w:p>
        </w:tc>
        <w:tc>
          <w:tcPr>
            <w:tcW w:type="dxa" w:w="5990"/>
            <w:tcMar>
              <w:top w:type="dxa" w:w="60"/>
              <w:left w:type="dxa" w:w="90"/>
              <w:bottom w:type="dxa" w:w="60"/>
              <w:right w:type="dxa" w:w="90"/>
            </w:tcMar>
          </w:tcPr>
          <w:p>
            <w:pPr>
              <w:spacing w:after="20" w:line="240"/>
            </w:pPr>
            <w:r>
              <w:rPr>
                <w:b w:val="false"/>
                <w:bCs w:val="false"/>
                <w:sz w:val="18"/>
                <w:szCs w:val="18"/>
              </w:rPr>
              <w:t xml:space="preserve">Assujettis, déclarations, reversements (sous réserve d'édit)</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19</w:t>
            </w:r>
          </w:p>
        </w:tc>
        <w:tc>
          <w:tcPr>
            <w:tcW w:type="dxa" w:w="2808"/>
            <w:tcMar>
              <w:top w:type="dxa" w:w="60"/>
              <w:left w:type="dxa" w:w="90"/>
              <w:bottom w:type="dxa" w:w="60"/>
              <w:right w:type="dxa" w:w="90"/>
            </w:tcMar>
          </w:tcPr>
          <w:p>
            <w:pPr>
              <w:spacing w:after="20" w:line="240"/>
            </w:pPr>
            <w:r>
              <w:rPr>
                <w:b w:val="false"/>
                <w:bCs w:val="false"/>
                <w:sz w:val="18"/>
                <w:szCs w:val="18"/>
              </w:rPr>
              <w:t xml:space="preserve">Assainissement, voirie et drainage</w:t>
            </w:r>
          </w:p>
        </w:tc>
        <w:tc>
          <w:tcPr>
            <w:tcW w:type="dxa" w:w="5990"/>
            <w:tcMar>
              <w:top w:type="dxa" w:w="60"/>
              <w:left w:type="dxa" w:w="90"/>
              <w:bottom w:type="dxa" w:w="60"/>
              <w:right w:type="dxa" w:w="90"/>
            </w:tcMar>
          </w:tcPr>
          <w:p>
            <w:pPr>
              <w:spacing w:after="20" w:line="240"/>
            </w:pPr>
            <w:r>
              <w:rPr>
                <w:b w:val="false"/>
                <w:bCs w:val="false"/>
                <w:sz w:val="18"/>
                <w:szCs w:val="18"/>
              </w:rPr>
              <w:t xml:space="preserve">Redevances rattachées aux objets existants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20</w:t>
            </w:r>
          </w:p>
        </w:tc>
        <w:tc>
          <w:tcPr>
            <w:tcW w:type="dxa" w:w="2808"/>
            <w:tcMar>
              <w:top w:type="dxa" w:w="60"/>
              <w:left w:type="dxa" w:w="90"/>
              <w:bottom w:type="dxa" w:w="60"/>
              <w:right w:type="dxa" w:w="90"/>
            </w:tcMar>
          </w:tcPr>
          <w:p>
            <w:pPr>
              <w:spacing w:after="20" w:line="240"/>
            </w:pPr>
            <w:r>
              <w:rPr>
                <w:b w:val="false"/>
                <w:bCs w:val="false"/>
                <w:sz w:val="18"/>
                <w:szCs w:val="18"/>
              </w:rPr>
              <w:t xml:space="preserve">Marchés et domaine public</w:t>
            </w:r>
          </w:p>
        </w:tc>
        <w:tc>
          <w:tcPr>
            <w:tcW w:type="dxa" w:w="5990"/>
            <w:tcMar>
              <w:top w:type="dxa" w:w="60"/>
              <w:left w:type="dxa" w:w="90"/>
              <w:bottom w:type="dxa" w:w="60"/>
              <w:right w:type="dxa" w:w="90"/>
            </w:tcMar>
          </w:tcPr>
          <w:p>
            <w:pPr>
              <w:spacing w:after="20" w:line="240"/>
            </w:pPr>
            <w:r>
              <w:rPr>
                <w:b w:val="false"/>
                <w:bCs w:val="false"/>
                <w:sz w:val="18"/>
                <w:szCs w:val="18"/>
              </w:rPr>
              <w:t xml:space="preserve">Emprises, étals, places, occupations temporaires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21</w:t>
            </w:r>
          </w:p>
        </w:tc>
        <w:tc>
          <w:tcPr>
            <w:tcW w:type="dxa" w:w="2808"/>
            <w:tcMar>
              <w:top w:type="dxa" w:w="60"/>
              <w:left w:type="dxa" w:w="90"/>
              <w:bottom w:type="dxa" w:w="60"/>
              <w:right w:type="dxa" w:w="90"/>
            </w:tcMar>
          </w:tcPr>
          <w:p>
            <w:pPr>
              <w:spacing w:after="20" w:line="240"/>
            </w:pPr>
            <w:r>
              <w:rPr>
                <w:b w:val="false"/>
                <w:bCs w:val="false"/>
                <w:sz w:val="18"/>
                <w:szCs w:val="18"/>
              </w:rPr>
              <w:t xml:space="preserve">Spectacles et événements</w:t>
            </w:r>
          </w:p>
        </w:tc>
        <w:tc>
          <w:tcPr>
            <w:tcW w:type="dxa" w:w="5990"/>
            <w:tcMar>
              <w:top w:type="dxa" w:w="60"/>
              <w:left w:type="dxa" w:w="90"/>
              <w:bottom w:type="dxa" w:w="60"/>
              <w:right w:type="dxa" w:w="90"/>
            </w:tcMar>
          </w:tcPr>
          <w:p>
            <w:pPr>
              <w:spacing w:after="20" w:line="240"/>
            </w:pPr>
            <w:r>
              <w:rPr>
                <w:b w:val="false"/>
                <w:bCs w:val="false"/>
                <w:sz w:val="18"/>
                <w:szCs w:val="18"/>
              </w:rPr>
              <w:t xml:space="preserve">Autorisations, billetterie déclarée, liquidation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22</w:t>
            </w:r>
          </w:p>
        </w:tc>
        <w:tc>
          <w:tcPr>
            <w:tcW w:type="dxa" w:w="2808"/>
            <w:tcMar>
              <w:top w:type="dxa" w:w="60"/>
              <w:left w:type="dxa" w:w="90"/>
              <w:bottom w:type="dxa" w:w="60"/>
              <w:right w:type="dxa" w:w="90"/>
            </w:tcMar>
          </w:tcPr>
          <w:p>
            <w:pPr>
              <w:spacing w:after="20" w:line="240"/>
            </w:pPr>
            <w:r>
              <w:rPr>
                <w:b w:val="false"/>
                <w:bCs w:val="false"/>
                <w:sz w:val="18"/>
                <w:szCs w:val="18"/>
              </w:rPr>
              <w:t xml:space="preserve">Carrières et recettes minières</w:t>
            </w:r>
          </w:p>
        </w:tc>
        <w:tc>
          <w:tcPr>
            <w:tcW w:type="dxa" w:w="5990"/>
            <w:tcMar>
              <w:top w:type="dxa" w:w="60"/>
              <w:left w:type="dxa" w:w="90"/>
              <w:bottom w:type="dxa" w:w="60"/>
              <w:right w:type="dxa" w:w="90"/>
            </w:tcMar>
          </w:tcPr>
          <w:p>
            <w:pPr>
              <w:spacing w:after="20" w:line="240"/>
            </w:pPr>
            <w:r>
              <w:rPr>
                <w:b w:val="false"/>
                <w:bCs w:val="false"/>
                <w:sz w:val="18"/>
                <w:szCs w:val="18"/>
              </w:rPr>
              <w:t xml:space="preserve">Sites, superficies, flux, déclarations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23</w:t>
            </w:r>
          </w:p>
        </w:tc>
        <w:tc>
          <w:tcPr>
            <w:tcW w:type="dxa" w:w="2808"/>
            <w:tcMar>
              <w:top w:type="dxa" w:w="60"/>
              <w:left w:type="dxa" w:w="90"/>
              <w:bottom w:type="dxa" w:w="60"/>
              <w:right w:type="dxa" w:w="90"/>
            </w:tcMar>
          </w:tcPr>
          <w:p>
            <w:pPr>
              <w:spacing w:after="20" w:line="240"/>
            </w:pPr>
            <w:r>
              <w:rPr>
                <w:b w:val="false"/>
                <w:bCs w:val="false"/>
                <w:sz w:val="18"/>
                <w:szCs w:val="18"/>
              </w:rPr>
              <w:t xml:space="preserve">Recettes forestières</w:t>
            </w:r>
          </w:p>
        </w:tc>
        <w:tc>
          <w:tcPr>
            <w:tcW w:type="dxa" w:w="5990"/>
            <w:tcMar>
              <w:top w:type="dxa" w:w="60"/>
              <w:left w:type="dxa" w:w="90"/>
              <w:bottom w:type="dxa" w:w="60"/>
              <w:right w:type="dxa" w:w="90"/>
            </w:tcMar>
          </w:tcPr>
          <w:p>
            <w:pPr>
              <w:spacing w:after="20" w:line="240"/>
            </w:pPr>
            <w:r>
              <w:rPr>
                <w:b w:val="false"/>
                <w:bCs w:val="false"/>
                <w:sz w:val="18"/>
                <w:szCs w:val="18"/>
              </w:rPr>
              <w:t xml:space="preserve">Concessions, produits non ligneux</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24</w:t>
            </w:r>
          </w:p>
        </w:tc>
        <w:tc>
          <w:tcPr>
            <w:tcW w:type="dxa" w:w="2808"/>
            <w:tcMar>
              <w:top w:type="dxa" w:w="60"/>
              <w:left w:type="dxa" w:w="90"/>
              <w:bottom w:type="dxa" w:w="60"/>
              <w:right w:type="dxa" w:w="90"/>
            </w:tcMar>
          </w:tcPr>
          <w:p>
            <w:pPr>
              <w:spacing w:after="20" w:line="240"/>
            </w:pPr>
            <w:r>
              <w:rPr>
                <w:b w:val="false"/>
                <w:bCs w:val="false"/>
                <w:sz w:val="18"/>
                <w:szCs w:val="18"/>
              </w:rPr>
              <w:t xml:space="preserve">Ports, embarcations et accostage</w:t>
            </w:r>
          </w:p>
        </w:tc>
        <w:tc>
          <w:tcPr>
            <w:tcW w:type="dxa" w:w="5990"/>
            <w:tcMar>
              <w:top w:type="dxa" w:w="60"/>
              <w:left w:type="dxa" w:w="90"/>
              <w:bottom w:type="dxa" w:w="60"/>
              <w:right w:type="dxa" w:w="90"/>
            </w:tcMar>
          </w:tcPr>
          <w:p>
            <w:pPr>
              <w:spacing w:after="20" w:line="240"/>
            </w:pPr>
            <w:r>
              <w:rPr>
                <w:b w:val="false"/>
                <w:bCs w:val="false"/>
                <w:sz w:val="18"/>
                <w:szCs w:val="18"/>
              </w:rPr>
              <w:t xml:space="preserve">Embarcations, quais, mouvements, redevances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25</w:t>
            </w:r>
          </w:p>
        </w:tc>
        <w:tc>
          <w:tcPr>
            <w:tcW w:type="dxa" w:w="2808"/>
            <w:tcMar>
              <w:top w:type="dxa" w:w="60"/>
              <w:left w:type="dxa" w:w="90"/>
              <w:bottom w:type="dxa" w:w="60"/>
              <w:right w:type="dxa" w:w="90"/>
            </w:tcMar>
          </w:tcPr>
          <w:p>
            <w:pPr>
              <w:spacing w:after="20" w:line="240"/>
            </w:pPr>
            <w:r>
              <w:rPr>
                <w:b w:val="false"/>
                <w:bCs w:val="false"/>
                <w:sz w:val="18"/>
                <w:szCs w:val="18"/>
              </w:rPr>
              <w:t xml:space="preserve">Péage provincial</w:t>
            </w:r>
          </w:p>
        </w:tc>
        <w:tc>
          <w:tcPr>
            <w:tcW w:type="dxa" w:w="5990"/>
            <w:tcMar>
              <w:top w:type="dxa" w:w="60"/>
              <w:left w:type="dxa" w:w="90"/>
              <w:bottom w:type="dxa" w:w="60"/>
              <w:right w:type="dxa" w:w="90"/>
            </w:tcMar>
          </w:tcPr>
          <w:p>
            <w:pPr>
              <w:spacing w:after="20" w:line="240"/>
            </w:pPr>
            <w:r>
              <w:rPr>
                <w:b w:val="false"/>
                <w:bCs w:val="false"/>
                <w:sz w:val="18"/>
                <w:szCs w:val="18"/>
              </w:rPr>
              <w:t xml:space="preserve">Axes, passages, reçus électroniques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26</w:t>
            </w:r>
          </w:p>
        </w:tc>
        <w:tc>
          <w:tcPr>
            <w:tcW w:type="dxa" w:w="2808"/>
            <w:tcMar>
              <w:top w:type="dxa" w:w="60"/>
              <w:left w:type="dxa" w:w="90"/>
              <w:bottom w:type="dxa" w:w="60"/>
              <w:right w:type="dxa" w:w="90"/>
            </w:tcMar>
          </w:tcPr>
          <w:p>
            <w:pPr>
              <w:spacing w:after="20" w:line="240"/>
            </w:pPr>
            <w:r>
              <w:rPr>
                <w:b w:val="false"/>
                <w:bCs w:val="false"/>
                <w:sz w:val="18"/>
                <w:szCs w:val="18"/>
              </w:rPr>
              <w:t xml:space="preserve">Moteur de règles juridiques et tarifaires</w:t>
            </w:r>
          </w:p>
        </w:tc>
        <w:tc>
          <w:tcPr>
            <w:tcW w:type="dxa" w:w="5990"/>
            <w:tcMar>
              <w:top w:type="dxa" w:w="60"/>
              <w:left w:type="dxa" w:w="90"/>
              <w:bottom w:type="dxa" w:w="60"/>
              <w:right w:type="dxa" w:w="90"/>
            </w:tcMar>
          </w:tcPr>
          <w:p>
            <w:pPr>
              <w:spacing w:after="20" w:line="240"/>
            </w:pPr>
            <w:r>
              <w:rPr>
                <w:b w:val="false"/>
                <w:bCs w:val="false"/>
                <w:sz w:val="18"/>
                <w:szCs w:val="18"/>
              </w:rPr>
              <w:t xml:space="preserve">Fiches, versions, publication, simulation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27</w:t>
            </w:r>
          </w:p>
        </w:tc>
        <w:tc>
          <w:tcPr>
            <w:tcW w:type="dxa" w:w="2808"/>
            <w:tcMar>
              <w:top w:type="dxa" w:w="60"/>
              <w:left w:type="dxa" w:w="90"/>
              <w:bottom w:type="dxa" w:w="60"/>
              <w:right w:type="dxa" w:w="90"/>
            </w:tcMar>
          </w:tcPr>
          <w:p>
            <w:pPr>
              <w:spacing w:after="20" w:line="240"/>
            </w:pPr>
            <w:r>
              <w:rPr>
                <w:b w:val="false"/>
                <w:bCs w:val="false"/>
                <w:sz w:val="18"/>
                <w:szCs w:val="18"/>
              </w:rPr>
              <w:t xml:space="preserve">Déclaration et liquidation</w:t>
            </w:r>
          </w:p>
        </w:tc>
        <w:tc>
          <w:tcPr>
            <w:tcW w:type="dxa" w:w="5990"/>
            <w:tcMar>
              <w:top w:type="dxa" w:w="60"/>
              <w:left w:type="dxa" w:w="90"/>
              <w:bottom w:type="dxa" w:w="60"/>
              <w:right w:type="dxa" w:w="90"/>
            </w:tcMar>
          </w:tcPr>
          <w:p>
            <w:pPr>
              <w:spacing w:after="20" w:line="240"/>
            </w:pPr>
            <w:r>
              <w:rPr>
                <w:b w:val="false"/>
                <w:bCs w:val="false"/>
                <w:sz w:val="18"/>
                <w:szCs w:val="18"/>
              </w:rPr>
              <w:t xml:space="preserve">Déclarations, calculs, avis, échéanciers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28</w:t>
            </w:r>
          </w:p>
        </w:tc>
        <w:tc>
          <w:tcPr>
            <w:tcW w:type="dxa" w:w="2808"/>
            <w:tcMar>
              <w:top w:type="dxa" w:w="60"/>
              <w:left w:type="dxa" w:w="90"/>
              <w:bottom w:type="dxa" w:w="60"/>
              <w:right w:type="dxa" w:w="90"/>
            </w:tcMar>
          </w:tcPr>
          <w:p>
            <w:pPr>
              <w:spacing w:after="20" w:line="240"/>
            </w:pPr>
            <w:r>
              <w:rPr>
                <w:b w:val="false"/>
                <w:bCs w:val="false"/>
                <w:sz w:val="18"/>
                <w:szCs w:val="18"/>
              </w:rPr>
              <w:t xml:space="preserve">Orchestration des paiements</w:t>
            </w:r>
          </w:p>
        </w:tc>
        <w:tc>
          <w:tcPr>
            <w:tcW w:type="dxa" w:w="5990"/>
            <w:tcMar>
              <w:top w:type="dxa" w:w="60"/>
              <w:left w:type="dxa" w:w="90"/>
              <w:bottom w:type="dxa" w:w="60"/>
              <w:right w:type="dxa" w:w="90"/>
            </w:tcMar>
          </w:tcPr>
          <w:p>
            <w:pPr>
              <w:spacing w:after="20" w:line="240"/>
            </w:pPr>
            <w:r>
              <w:rPr>
                <w:b w:val="false"/>
                <w:bCs w:val="false"/>
                <w:sz w:val="18"/>
                <w:szCs w:val="18"/>
              </w:rPr>
              <w:t xml:space="preserve">Canaux, références, idempotence, états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29</w:t>
            </w:r>
          </w:p>
        </w:tc>
        <w:tc>
          <w:tcPr>
            <w:tcW w:type="dxa" w:w="2808"/>
            <w:tcMar>
              <w:top w:type="dxa" w:w="60"/>
              <w:left w:type="dxa" w:w="90"/>
              <w:bottom w:type="dxa" w:w="60"/>
              <w:right w:type="dxa" w:w="90"/>
            </w:tcMar>
          </w:tcPr>
          <w:p>
            <w:pPr>
              <w:spacing w:after="20" w:line="240"/>
            </w:pPr>
            <w:r>
              <w:rPr>
                <w:b w:val="false"/>
                <w:bCs w:val="false"/>
                <w:sz w:val="18"/>
                <w:szCs w:val="18"/>
              </w:rPr>
              <w:t xml:space="preserve">Règlement en trésorerie</w:t>
            </w:r>
          </w:p>
        </w:tc>
        <w:tc>
          <w:tcPr>
            <w:tcW w:type="dxa" w:w="5990"/>
            <w:tcMar>
              <w:top w:type="dxa" w:w="60"/>
              <w:left w:type="dxa" w:w="90"/>
              <w:bottom w:type="dxa" w:w="60"/>
              <w:right w:type="dxa" w:w="90"/>
            </w:tcMar>
          </w:tcPr>
          <w:p>
            <w:pPr>
              <w:spacing w:after="20" w:line="240"/>
            </w:pPr>
            <w:r>
              <w:rPr>
                <w:b w:val="false"/>
                <w:bCs w:val="false"/>
                <w:sz w:val="18"/>
                <w:szCs w:val="18"/>
              </w:rPr>
              <w:t xml:space="preserve">Comptes publics, relevés, imputations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30</w:t>
            </w:r>
          </w:p>
        </w:tc>
        <w:tc>
          <w:tcPr>
            <w:tcW w:type="dxa" w:w="2808"/>
            <w:tcMar>
              <w:top w:type="dxa" w:w="60"/>
              <w:left w:type="dxa" w:w="90"/>
              <w:bottom w:type="dxa" w:w="60"/>
              <w:right w:type="dxa" w:w="90"/>
            </w:tcMar>
          </w:tcPr>
          <w:p>
            <w:pPr>
              <w:spacing w:after="20" w:line="240"/>
            </w:pPr>
            <w:r>
              <w:rPr>
                <w:b w:val="false"/>
                <w:bCs w:val="false"/>
                <w:sz w:val="18"/>
                <w:szCs w:val="18"/>
              </w:rPr>
              <w:t xml:space="preserve">Rapprochement</w:t>
            </w:r>
          </w:p>
        </w:tc>
        <w:tc>
          <w:tcPr>
            <w:tcW w:type="dxa" w:w="5990"/>
            <w:tcMar>
              <w:top w:type="dxa" w:w="60"/>
              <w:left w:type="dxa" w:w="90"/>
              <w:bottom w:type="dxa" w:w="60"/>
              <w:right w:type="dxa" w:w="90"/>
            </w:tcMar>
          </w:tcPr>
          <w:p>
            <w:pPr>
              <w:spacing w:after="20" w:line="240"/>
            </w:pPr>
            <w:r>
              <w:rPr>
                <w:b w:val="false"/>
                <w:bCs w:val="false"/>
                <w:sz w:val="18"/>
                <w:szCs w:val="18"/>
              </w:rPr>
              <w:t xml:space="preserve">Appariement obligation–paiement–règlement–comptabilité</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31</w:t>
            </w:r>
          </w:p>
        </w:tc>
        <w:tc>
          <w:tcPr>
            <w:tcW w:type="dxa" w:w="2808"/>
            <w:tcMar>
              <w:top w:type="dxa" w:w="60"/>
              <w:left w:type="dxa" w:w="90"/>
              <w:bottom w:type="dxa" w:w="60"/>
              <w:right w:type="dxa" w:w="90"/>
            </w:tcMar>
          </w:tcPr>
          <w:p>
            <w:pPr>
              <w:spacing w:after="20" w:line="240"/>
            </w:pPr>
            <w:r>
              <w:rPr>
                <w:b w:val="false"/>
                <w:bCs w:val="false"/>
                <w:sz w:val="18"/>
                <w:szCs w:val="18"/>
              </w:rPr>
              <w:t xml:space="preserve">Quittances électroniques</w:t>
            </w:r>
          </w:p>
        </w:tc>
        <w:tc>
          <w:tcPr>
            <w:tcW w:type="dxa" w:w="5990"/>
            <w:tcMar>
              <w:top w:type="dxa" w:w="60"/>
              <w:left w:type="dxa" w:w="90"/>
              <w:bottom w:type="dxa" w:w="60"/>
              <w:right w:type="dxa" w:w="90"/>
            </w:tcMar>
          </w:tcPr>
          <w:p>
            <w:pPr>
              <w:spacing w:after="20" w:line="240"/>
            </w:pPr>
            <w:r>
              <w:rPr>
                <w:b w:val="false"/>
                <w:bCs w:val="false"/>
                <w:sz w:val="18"/>
                <w:szCs w:val="18"/>
              </w:rPr>
              <w:t xml:space="preserve">Génération, signature, vérification QR, statuts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32</w:t>
            </w:r>
          </w:p>
        </w:tc>
        <w:tc>
          <w:tcPr>
            <w:tcW w:type="dxa" w:w="2808"/>
            <w:tcMar>
              <w:top w:type="dxa" w:w="60"/>
              <w:left w:type="dxa" w:w="90"/>
              <w:bottom w:type="dxa" w:w="60"/>
              <w:right w:type="dxa" w:w="90"/>
            </w:tcMar>
          </w:tcPr>
          <w:p>
            <w:pPr>
              <w:spacing w:after="20" w:line="240"/>
            </w:pPr>
            <w:r>
              <w:rPr>
                <w:b w:val="false"/>
                <w:bCs w:val="false"/>
                <w:sz w:val="18"/>
                <w:szCs w:val="18"/>
              </w:rPr>
              <w:t xml:space="preserve">Arriérés et créances</w:t>
            </w:r>
          </w:p>
        </w:tc>
        <w:tc>
          <w:tcPr>
            <w:tcW w:type="dxa" w:w="5990"/>
            <w:tcMar>
              <w:top w:type="dxa" w:w="60"/>
              <w:left w:type="dxa" w:w="90"/>
              <w:bottom w:type="dxa" w:w="60"/>
              <w:right w:type="dxa" w:w="90"/>
            </w:tcMar>
          </w:tcPr>
          <w:p>
            <w:pPr>
              <w:spacing w:after="20" w:line="240"/>
            </w:pPr>
            <w:r>
              <w:rPr>
                <w:b w:val="false"/>
                <w:bCs w:val="false"/>
                <w:sz w:val="18"/>
                <w:szCs w:val="18"/>
              </w:rPr>
              <w:t xml:space="preserve">Encours, âge de la dette, priorisation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33</w:t>
            </w:r>
          </w:p>
        </w:tc>
        <w:tc>
          <w:tcPr>
            <w:tcW w:type="dxa" w:w="2808"/>
            <w:tcMar>
              <w:top w:type="dxa" w:w="60"/>
              <w:left w:type="dxa" w:w="90"/>
              <w:bottom w:type="dxa" w:w="60"/>
              <w:right w:type="dxa" w:w="90"/>
            </w:tcMar>
          </w:tcPr>
          <w:p>
            <w:pPr>
              <w:spacing w:after="20" w:line="240"/>
            </w:pPr>
            <w:r>
              <w:rPr>
                <w:b w:val="false"/>
                <w:bCs w:val="false"/>
                <w:sz w:val="18"/>
                <w:szCs w:val="18"/>
              </w:rPr>
              <w:t xml:space="preserve">Campagnes de recouvrement</w:t>
            </w:r>
          </w:p>
        </w:tc>
        <w:tc>
          <w:tcPr>
            <w:tcW w:type="dxa" w:w="5990"/>
            <w:tcMar>
              <w:top w:type="dxa" w:w="60"/>
              <w:left w:type="dxa" w:w="90"/>
              <w:bottom w:type="dxa" w:w="60"/>
              <w:right w:type="dxa" w:w="90"/>
            </w:tcMar>
          </w:tcPr>
          <w:p>
            <w:pPr>
              <w:spacing w:after="20" w:line="240"/>
            </w:pPr>
            <w:r>
              <w:rPr>
                <w:b w:val="false"/>
                <w:bCs w:val="false"/>
                <w:sz w:val="18"/>
                <w:szCs w:val="18"/>
              </w:rPr>
              <w:t xml:space="preserve">Relances graduées, segments, canaux, résultats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34</w:t>
            </w:r>
          </w:p>
        </w:tc>
        <w:tc>
          <w:tcPr>
            <w:tcW w:type="dxa" w:w="2808"/>
            <w:tcMar>
              <w:top w:type="dxa" w:w="60"/>
              <w:left w:type="dxa" w:w="90"/>
              <w:bottom w:type="dxa" w:w="60"/>
              <w:right w:type="dxa" w:w="90"/>
            </w:tcMar>
          </w:tcPr>
          <w:p>
            <w:pPr>
              <w:spacing w:after="20" w:line="240"/>
            </w:pPr>
            <w:r>
              <w:rPr>
                <w:b w:val="false"/>
                <w:bCs w:val="false"/>
                <w:sz w:val="18"/>
                <w:szCs w:val="18"/>
              </w:rPr>
              <w:t xml:space="preserve">Recensement terrain</w:t>
            </w:r>
          </w:p>
        </w:tc>
        <w:tc>
          <w:tcPr>
            <w:tcW w:type="dxa" w:w="5990"/>
            <w:tcMar>
              <w:top w:type="dxa" w:w="60"/>
              <w:left w:type="dxa" w:w="90"/>
              <w:bottom w:type="dxa" w:w="60"/>
              <w:right w:type="dxa" w:w="90"/>
            </w:tcMar>
          </w:tcPr>
          <w:p>
            <w:pPr>
              <w:spacing w:after="20" w:line="240"/>
            </w:pPr>
            <w:r>
              <w:rPr>
                <w:b w:val="false"/>
                <w:bCs w:val="false"/>
                <w:sz w:val="18"/>
                <w:szCs w:val="18"/>
              </w:rPr>
              <w:t xml:space="preserve">Missions, zones, objets provisoires, preuves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35</w:t>
            </w:r>
          </w:p>
        </w:tc>
        <w:tc>
          <w:tcPr>
            <w:tcW w:type="dxa" w:w="2808"/>
            <w:tcMar>
              <w:top w:type="dxa" w:w="60"/>
              <w:left w:type="dxa" w:w="90"/>
              <w:bottom w:type="dxa" w:w="60"/>
              <w:right w:type="dxa" w:w="90"/>
            </w:tcMar>
          </w:tcPr>
          <w:p>
            <w:pPr>
              <w:spacing w:after="20" w:line="240"/>
            </w:pPr>
            <w:r>
              <w:rPr>
                <w:b w:val="false"/>
                <w:bCs w:val="false"/>
                <w:sz w:val="18"/>
                <w:szCs w:val="18"/>
              </w:rPr>
              <w:t xml:space="preserve">Inspection et constat</w:t>
            </w:r>
          </w:p>
        </w:tc>
        <w:tc>
          <w:tcPr>
            <w:tcW w:type="dxa" w:w="5990"/>
            <w:tcMar>
              <w:top w:type="dxa" w:w="60"/>
              <w:left w:type="dxa" w:w="90"/>
              <w:bottom w:type="dxa" w:w="60"/>
              <w:right w:type="dxa" w:w="90"/>
            </w:tcMar>
          </w:tcPr>
          <w:p>
            <w:pPr>
              <w:spacing w:after="20" w:line="240"/>
            </w:pPr>
            <w:r>
              <w:rPr>
                <w:b w:val="false"/>
                <w:bCs w:val="false"/>
                <w:sz w:val="18"/>
                <w:szCs w:val="18"/>
              </w:rPr>
              <w:t xml:space="preserve">Dossiers, procès-verbaux, notifications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36</w:t>
            </w:r>
          </w:p>
        </w:tc>
        <w:tc>
          <w:tcPr>
            <w:tcW w:type="dxa" w:w="2808"/>
            <w:tcMar>
              <w:top w:type="dxa" w:w="60"/>
              <w:left w:type="dxa" w:w="90"/>
              <w:bottom w:type="dxa" w:w="60"/>
              <w:right w:type="dxa" w:w="90"/>
            </w:tcMar>
          </w:tcPr>
          <w:p>
            <w:pPr>
              <w:spacing w:after="20" w:line="240"/>
            </w:pPr>
            <w:r>
              <w:rPr>
                <w:b w:val="false"/>
                <w:bCs w:val="false"/>
                <w:sz w:val="18"/>
                <w:szCs w:val="18"/>
              </w:rPr>
              <w:t xml:space="preserve">Gestion des dossiers d'exécution</w:t>
            </w:r>
          </w:p>
        </w:tc>
        <w:tc>
          <w:tcPr>
            <w:tcW w:type="dxa" w:w="5990"/>
            <w:tcMar>
              <w:top w:type="dxa" w:w="60"/>
              <w:left w:type="dxa" w:w="90"/>
              <w:bottom w:type="dxa" w:w="60"/>
              <w:right w:type="dxa" w:w="90"/>
            </w:tcMar>
          </w:tcPr>
          <w:p>
            <w:pPr>
              <w:spacing w:after="20" w:line="240"/>
            </w:pPr>
            <w:r>
              <w:rPr>
                <w:b w:val="false"/>
                <w:bCs w:val="false"/>
                <w:sz w:val="18"/>
                <w:szCs w:val="18"/>
              </w:rPr>
              <w:t xml:space="preserve">Mise en demeure, mesures légales, suivi</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37</w:t>
            </w:r>
          </w:p>
        </w:tc>
        <w:tc>
          <w:tcPr>
            <w:tcW w:type="dxa" w:w="2808"/>
            <w:tcMar>
              <w:top w:type="dxa" w:w="60"/>
              <w:left w:type="dxa" w:w="90"/>
              <w:bottom w:type="dxa" w:w="60"/>
              <w:right w:type="dxa" w:w="90"/>
            </w:tcMar>
          </w:tcPr>
          <w:p>
            <w:pPr>
              <w:spacing w:after="20" w:line="240"/>
            </w:pPr>
            <w:r>
              <w:rPr>
                <w:b w:val="false"/>
                <w:bCs w:val="false"/>
                <w:sz w:val="18"/>
                <w:szCs w:val="18"/>
              </w:rPr>
              <w:t xml:space="preserve">Réclamations et recours</w:t>
            </w:r>
          </w:p>
        </w:tc>
        <w:tc>
          <w:tcPr>
            <w:tcW w:type="dxa" w:w="5990"/>
            <w:tcMar>
              <w:top w:type="dxa" w:w="60"/>
              <w:left w:type="dxa" w:w="90"/>
              <w:bottom w:type="dxa" w:w="60"/>
              <w:right w:type="dxa" w:w="90"/>
            </w:tcMar>
          </w:tcPr>
          <w:p>
            <w:pPr>
              <w:spacing w:after="20" w:line="240"/>
            </w:pPr>
            <w:r>
              <w:rPr>
                <w:b w:val="false"/>
                <w:bCs w:val="false"/>
                <w:sz w:val="18"/>
                <w:szCs w:val="18"/>
              </w:rPr>
              <w:t xml:space="preserve">Contestations, délais, décisions, voies de recours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38</w:t>
            </w:r>
          </w:p>
        </w:tc>
        <w:tc>
          <w:tcPr>
            <w:tcW w:type="dxa" w:w="2808"/>
            <w:tcMar>
              <w:top w:type="dxa" w:w="60"/>
              <w:left w:type="dxa" w:w="90"/>
              <w:bottom w:type="dxa" w:w="60"/>
              <w:right w:type="dxa" w:w="90"/>
            </w:tcMar>
          </w:tcPr>
          <w:p>
            <w:pPr>
              <w:spacing w:after="20" w:line="240"/>
            </w:pPr>
            <w:r>
              <w:rPr>
                <w:b w:val="false"/>
                <w:bCs w:val="false"/>
                <w:sz w:val="18"/>
                <w:szCs w:val="18"/>
              </w:rPr>
              <w:t xml:space="preserve">Gestion documentaire</w:t>
            </w:r>
          </w:p>
        </w:tc>
        <w:tc>
          <w:tcPr>
            <w:tcW w:type="dxa" w:w="5990"/>
            <w:tcMar>
              <w:top w:type="dxa" w:w="60"/>
              <w:left w:type="dxa" w:w="90"/>
              <w:bottom w:type="dxa" w:w="60"/>
              <w:right w:type="dxa" w:w="90"/>
            </w:tcMar>
          </w:tcPr>
          <w:p>
            <w:pPr>
              <w:spacing w:after="20" w:line="240"/>
            </w:pPr>
            <w:r>
              <w:rPr>
                <w:b w:val="false"/>
                <w:bCs w:val="false"/>
                <w:sz w:val="18"/>
                <w:szCs w:val="18"/>
              </w:rPr>
              <w:t xml:space="preserve">Pièces, versions, intégrité, conservation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39</w:t>
            </w:r>
          </w:p>
        </w:tc>
        <w:tc>
          <w:tcPr>
            <w:tcW w:type="dxa" w:w="2808"/>
            <w:tcMar>
              <w:top w:type="dxa" w:w="60"/>
              <w:left w:type="dxa" w:w="90"/>
              <w:bottom w:type="dxa" w:w="60"/>
              <w:right w:type="dxa" w:w="90"/>
            </w:tcMar>
          </w:tcPr>
          <w:p>
            <w:pPr>
              <w:spacing w:after="20" w:line="240"/>
            </w:pPr>
            <w:r>
              <w:rPr>
                <w:b w:val="false"/>
                <w:bCs w:val="false"/>
                <w:sz w:val="18"/>
                <w:szCs w:val="18"/>
              </w:rPr>
              <w:t xml:space="preserve">Notifications et communication</w:t>
            </w:r>
          </w:p>
        </w:tc>
        <w:tc>
          <w:tcPr>
            <w:tcW w:type="dxa" w:w="5990"/>
            <w:tcMar>
              <w:top w:type="dxa" w:w="60"/>
              <w:left w:type="dxa" w:w="90"/>
              <w:bottom w:type="dxa" w:w="60"/>
              <w:right w:type="dxa" w:w="90"/>
            </w:tcMar>
          </w:tcPr>
          <w:p>
            <w:pPr>
              <w:spacing w:after="20" w:line="240"/>
            </w:pPr>
            <w:r>
              <w:rPr>
                <w:b w:val="false"/>
                <w:bCs w:val="false"/>
                <w:sz w:val="18"/>
                <w:szCs w:val="18"/>
              </w:rPr>
              <w:t xml:space="preserve">SMS, courriel, application, courrier, preuve d'envoi</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40</w:t>
            </w:r>
          </w:p>
        </w:tc>
        <w:tc>
          <w:tcPr>
            <w:tcW w:type="dxa" w:w="2808"/>
            <w:tcMar>
              <w:top w:type="dxa" w:w="60"/>
              <w:left w:type="dxa" w:w="90"/>
              <w:bottom w:type="dxa" w:w="60"/>
              <w:right w:type="dxa" w:w="90"/>
            </w:tcMar>
          </w:tcPr>
          <w:p>
            <w:pPr>
              <w:spacing w:after="20" w:line="240"/>
            </w:pPr>
            <w:r>
              <w:rPr>
                <w:b w:val="false"/>
                <w:bCs w:val="false"/>
                <w:sz w:val="18"/>
                <w:szCs w:val="18"/>
              </w:rPr>
              <w:t xml:space="preserve">Renseignement anti-fraude</w:t>
            </w:r>
          </w:p>
        </w:tc>
        <w:tc>
          <w:tcPr>
            <w:tcW w:type="dxa" w:w="5990"/>
            <w:tcMar>
              <w:top w:type="dxa" w:w="60"/>
              <w:left w:type="dxa" w:w="90"/>
              <w:bottom w:type="dxa" w:w="60"/>
              <w:right w:type="dxa" w:w="90"/>
            </w:tcMar>
          </w:tcPr>
          <w:p>
            <w:pPr>
              <w:spacing w:after="20" w:line="240"/>
            </w:pPr>
            <w:r>
              <w:rPr>
                <w:b w:val="false"/>
                <w:bCs w:val="false"/>
                <w:sz w:val="18"/>
                <w:szCs w:val="18"/>
              </w:rPr>
              <w:t xml:space="preserve">Signaux, alertes, enquêtes, preuves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41</w:t>
            </w:r>
          </w:p>
        </w:tc>
        <w:tc>
          <w:tcPr>
            <w:tcW w:type="dxa" w:w="2808"/>
            <w:tcMar>
              <w:top w:type="dxa" w:w="60"/>
              <w:left w:type="dxa" w:w="90"/>
              <w:bottom w:type="dxa" w:w="60"/>
              <w:right w:type="dxa" w:w="90"/>
            </w:tcMar>
          </w:tcPr>
          <w:p>
            <w:pPr>
              <w:spacing w:after="20" w:line="240"/>
            </w:pPr>
            <w:r>
              <w:rPr>
                <w:b w:val="false"/>
                <w:bCs w:val="false"/>
                <w:sz w:val="18"/>
                <w:szCs w:val="18"/>
              </w:rPr>
              <w:t xml:space="preserve">Centre de commandement exécutif</w:t>
            </w:r>
          </w:p>
        </w:tc>
        <w:tc>
          <w:tcPr>
            <w:tcW w:type="dxa" w:w="5990"/>
            <w:tcMar>
              <w:top w:type="dxa" w:w="60"/>
              <w:left w:type="dxa" w:w="90"/>
              <w:bottom w:type="dxa" w:w="60"/>
              <w:right w:type="dxa" w:w="90"/>
            </w:tcMar>
          </w:tcPr>
          <w:p>
            <w:pPr>
              <w:spacing w:after="20" w:line="240"/>
            </w:pPr>
            <w:r>
              <w:rPr>
                <w:b w:val="false"/>
                <w:bCs w:val="false"/>
                <w:sz w:val="18"/>
                <w:szCs w:val="18"/>
              </w:rPr>
              <w:t xml:space="preserve">Vue Gouverneur, alertes, décisions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42</w:t>
            </w:r>
          </w:p>
        </w:tc>
        <w:tc>
          <w:tcPr>
            <w:tcW w:type="dxa" w:w="2808"/>
            <w:tcMar>
              <w:top w:type="dxa" w:w="60"/>
              <w:left w:type="dxa" w:w="90"/>
              <w:bottom w:type="dxa" w:w="60"/>
              <w:right w:type="dxa" w:w="90"/>
            </w:tcMar>
          </w:tcPr>
          <w:p>
            <w:pPr>
              <w:spacing w:after="20" w:line="240"/>
            </w:pPr>
            <w:r>
              <w:rPr>
                <w:b w:val="false"/>
                <w:bCs w:val="false"/>
                <w:sz w:val="18"/>
                <w:szCs w:val="18"/>
              </w:rPr>
              <w:t xml:space="preserve">Tableau de bord régie fiscale</w:t>
            </w:r>
          </w:p>
        </w:tc>
        <w:tc>
          <w:tcPr>
            <w:tcW w:type="dxa" w:w="5990"/>
            <w:tcMar>
              <w:top w:type="dxa" w:w="60"/>
              <w:left w:type="dxa" w:w="90"/>
              <w:bottom w:type="dxa" w:w="60"/>
              <w:right w:type="dxa" w:w="90"/>
            </w:tcMar>
          </w:tcPr>
          <w:p>
            <w:pPr>
              <w:spacing w:after="20" w:line="240"/>
            </w:pPr>
            <w:r>
              <w:rPr>
                <w:b w:val="false"/>
                <w:bCs w:val="false"/>
                <w:sz w:val="18"/>
                <w:szCs w:val="18"/>
              </w:rPr>
              <w:t xml:space="preserve">Assiette, liquidation, recouvrement, contentieux</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43</w:t>
            </w:r>
          </w:p>
        </w:tc>
        <w:tc>
          <w:tcPr>
            <w:tcW w:type="dxa" w:w="2808"/>
            <w:tcMar>
              <w:top w:type="dxa" w:w="60"/>
              <w:left w:type="dxa" w:w="90"/>
              <w:bottom w:type="dxa" w:w="60"/>
              <w:right w:type="dxa" w:w="90"/>
            </w:tcMar>
          </w:tcPr>
          <w:p>
            <w:pPr>
              <w:spacing w:after="20" w:line="240"/>
            </w:pPr>
            <w:r>
              <w:rPr>
                <w:b w:val="false"/>
                <w:bCs w:val="false"/>
                <w:sz w:val="18"/>
                <w:szCs w:val="18"/>
              </w:rPr>
              <w:t xml:space="preserve">Tableau de bord régie des taxes</w:t>
            </w:r>
          </w:p>
        </w:tc>
        <w:tc>
          <w:tcPr>
            <w:tcW w:type="dxa" w:w="5990"/>
            <w:tcMar>
              <w:top w:type="dxa" w:w="60"/>
              <w:left w:type="dxa" w:w="90"/>
              <w:bottom w:type="dxa" w:w="60"/>
              <w:right w:type="dxa" w:w="90"/>
            </w:tcMar>
          </w:tcPr>
          <w:p>
            <w:pPr>
              <w:spacing w:after="20" w:line="240"/>
            </w:pPr>
            <w:r>
              <w:rPr>
                <w:b w:val="false"/>
                <w:bCs w:val="false"/>
                <w:sz w:val="18"/>
                <w:szCs w:val="18"/>
              </w:rPr>
              <w:t xml:space="preserve">Droits, taxes et redevances urbaines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44</w:t>
            </w:r>
          </w:p>
        </w:tc>
        <w:tc>
          <w:tcPr>
            <w:tcW w:type="dxa" w:w="2808"/>
            <w:tcMar>
              <w:top w:type="dxa" w:w="60"/>
              <w:left w:type="dxa" w:w="90"/>
              <w:bottom w:type="dxa" w:w="60"/>
              <w:right w:type="dxa" w:w="90"/>
            </w:tcMar>
          </w:tcPr>
          <w:p>
            <w:pPr>
              <w:spacing w:after="20" w:line="240"/>
            </w:pPr>
            <w:r>
              <w:rPr>
                <w:b w:val="false"/>
                <w:bCs w:val="false"/>
                <w:sz w:val="18"/>
                <w:szCs w:val="18"/>
              </w:rPr>
              <w:t xml:space="preserve">Tableaux de bord ministériels</w:t>
            </w:r>
          </w:p>
        </w:tc>
        <w:tc>
          <w:tcPr>
            <w:tcW w:type="dxa" w:w="5990"/>
            <w:tcMar>
              <w:top w:type="dxa" w:w="60"/>
              <w:left w:type="dxa" w:w="90"/>
              <w:bottom w:type="dxa" w:w="60"/>
              <w:right w:type="dxa" w:w="90"/>
            </w:tcMar>
          </w:tcPr>
          <w:p>
            <w:pPr>
              <w:spacing w:after="20" w:line="240"/>
            </w:pPr>
            <w:r>
              <w:rPr>
                <w:b w:val="false"/>
                <w:bCs w:val="false"/>
                <w:sz w:val="18"/>
                <w:szCs w:val="18"/>
              </w:rPr>
              <w:t xml:space="preserve">Périmètre légal de chaque ministère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45</w:t>
            </w:r>
          </w:p>
        </w:tc>
        <w:tc>
          <w:tcPr>
            <w:tcW w:type="dxa" w:w="2808"/>
            <w:tcMar>
              <w:top w:type="dxa" w:w="60"/>
              <w:left w:type="dxa" w:w="90"/>
              <w:bottom w:type="dxa" w:w="60"/>
              <w:right w:type="dxa" w:w="90"/>
            </w:tcMar>
          </w:tcPr>
          <w:p>
            <w:pPr>
              <w:spacing w:after="20" w:line="240"/>
            </w:pPr>
            <w:r>
              <w:rPr>
                <w:b w:val="false"/>
                <w:bCs w:val="false"/>
                <w:sz w:val="18"/>
                <w:szCs w:val="18"/>
              </w:rPr>
              <w:t xml:space="preserve">Salle de contrôle finances et trésorerie</w:t>
            </w:r>
          </w:p>
        </w:tc>
        <w:tc>
          <w:tcPr>
            <w:tcW w:type="dxa" w:w="5990"/>
            <w:tcMar>
              <w:top w:type="dxa" w:w="60"/>
              <w:left w:type="dxa" w:w="90"/>
              <w:bottom w:type="dxa" w:w="60"/>
              <w:right w:type="dxa" w:w="90"/>
            </w:tcMar>
          </w:tcPr>
          <w:p>
            <w:pPr>
              <w:spacing w:after="20" w:line="240"/>
            </w:pPr>
            <w:r>
              <w:rPr>
                <w:b w:val="false"/>
                <w:bCs w:val="false"/>
                <w:sz w:val="18"/>
                <w:szCs w:val="18"/>
              </w:rPr>
              <w:t xml:space="preserve">Encaissements, écarts, exceptions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46</w:t>
            </w:r>
          </w:p>
        </w:tc>
        <w:tc>
          <w:tcPr>
            <w:tcW w:type="dxa" w:w="2808"/>
            <w:tcMar>
              <w:top w:type="dxa" w:w="60"/>
              <w:left w:type="dxa" w:w="90"/>
              <w:bottom w:type="dxa" w:w="60"/>
              <w:right w:type="dxa" w:w="90"/>
            </w:tcMar>
          </w:tcPr>
          <w:p>
            <w:pPr>
              <w:spacing w:after="20" w:line="240"/>
            </w:pPr>
            <w:r>
              <w:rPr>
                <w:b w:val="false"/>
                <w:bCs w:val="false"/>
                <w:sz w:val="18"/>
                <w:szCs w:val="18"/>
              </w:rPr>
              <w:t xml:space="preserve">Audit et investigation</w:t>
            </w:r>
          </w:p>
        </w:tc>
        <w:tc>
          <w:tcPr>
            <w:tcW w:type="dxa" w:w="5990"/>
            <w:tcMar>
              <w:top w:type="dxa" w:w="60"/>
              <w:left w:type="dxa" w:w="90"/>
              <w:bottom w:type="dxa" w:w="60"/>
              <w:right w:type="dxa" w:w="90"/>
            </w:tcMar>
          </w:tcPr>
          <w:p>
            <w:pPr>
              <w:spacing w:after="20" w:line="240"/>
            </w:pPr>
            <w:r>
              <w:rPr>
                <w:b w:val="false"/>
                <w:bCs w:val="false"/>
                <w:sz w:val="18"/>
                <w:szCs w:val="18"/>
              </w:rPr>
              <w:t xml:space="preserve">Accès en lecture, pistes, extractions probantes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47</w:t>
            </w:r>
          </w:p>
        </w:tc>
        <w:tc>
          <w:tcPr>
            <w:tcW w:type="dxa" w:w="2808"/>
            <w:tcMar>
              <w:top w:type="dxa" w:w="60"/>
              <w:left w:type="dxa" w:w="90"/>
              <w:bottom w:type="dxa" w:w="60"/>
              <w:right w:type="dxa" w:w="90"/>
            </w:tcMar>
          </w:tcPr>
          <w:p>
            <w:pPr>
              <w:spacing w:after="20" w:line="240"/>
            </w:pPr>
            <w:r>
              <w:rPr>
                <w:b w:val="false"/>
                <w:bCs w:val="false"/>
                <w:sz w:val="18"/>
                <w:szCs w:val="18"/>
              </w:rPr>
              <w:t xml:space="preserve">Prévision des recettes</w:t>
            </w:r>
          </w:p>
        </w:tc>
        <w:tc>
          <w:tcPr>
            <w:tcW w:type="dxa" w:w="5990"/>
            <w:tcMar>
              <w:top w:type="dxa" w:w="60"/>
              <w:left w:type="dxa" w:w="90"/>
              <w:bottom w:type="dxa" w:w="60"/>
              <w:right w:type="dxa" w:w="90"/>
            </w:tcMar>
          </w:tcPr>
          <w:p>
            <w:pPr>
              <w:spacing w:after="20" w:line="240"/>
            </w:pPr>
            <w:r>
              <w:rPr>
                <w:b w:val="false"/>
                <w:bCs w:val="false"/>
                <w:sz w:val="18"/>
                <w:szCs w:val="18"/>
              </w:rPr>
              <w:t xml:space="preserve">Scénarios, hypothèses, sensibilité</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48</w:t>
            </w:r>
          </w:p>
        </w:tc>
        <w:tc>
          <w:tcPr>
            <w:tcW w:type="dxa" w:w="2808"/>
            <w:tcMar>
              <w:top w:type="dxa" w:w="60"/>
              <w:left w:type="dxa" w:w="90"/>
              <w:bottom w:type="dxa" w:w="60"/>
              <w:right w:type="dxa" w:w="90"/>
            </w:tcMar>
          </w:tcPr>
          <w:p>
            <w:pPr>
              <w:spacing w:after="20" w:line="240"/>
            </w:pPr>
            <w:r>
              <w:rPr>
                <w:b w:val="false"/>
                <w:bCs w:val="false"/>
                <w:sz w:val="18"/>
                <w:szCs w:val="18"/>
              </w:rPr>
              <w:t xml:space="preserve">Recommandation d'investissement public</w:t>
            </w:r>
          </w:p>
        </w:tc>
        <w:tc>
          <w:tcPr>
            <w:tcW w:type="dxa" w:w="5990"/>
            <w:tcMar>
              <w:top w:type="dxa" w:w="60"/>
              <w:left w:type="dxa" w:w="90"/>
              <w:bottom w:type="dxa" w:w="60"/>
              <w:right w:type="dxa" w:w="90"/>
            </w:tcMar>
          </w:tcPr>
          <w:p>
            <w:pPr>
              <w:spacing w:after="20" w:line="240"/>
            </w:pPr>
            <w:r>
              <w:rPr>
                <w:b w:val="false"/>
                <w:bCs w:val="false"/>
                <w:sz w:val="18"/>
                <w:szCs w:val="18"/>
              </w:rPr>
              <w:t xml:space="preserve">Capacité disponible, projets, scénarios d'affectation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49</w:t>
            </w:r>
          </w:p>
        </w:tc>
        <w:tc>
          <w:tcPr>
            <w:tcW w:type="dxa" w:w="2808"/>
            <w:tcMar>
              <w:top w:type="dxa" w:w="60"/>
              <w:left w:type="dxa" w:w="90"/>
              <w:bottom w:type="dxa" w:w="60"/>
              <w:right w:type="dxa" w:w="90"/>
            </w:tcMar>
          </w:tcPr>
          <w:p>
            <w:pPr>
              <w:spacing w:after="20" w:line="240"/>
            </w:pPr>
            <w:r>
              <w:rPr>
                <w:b w:val="false"/>
                <w:bCs w:val="false"/>
                <w:sz w:val="18"/>
                <w:szCs w:val="18"/>
              </w:rPr>
              <w:t xml:space="preserve">Gestion des agents IA</w:t>
            </w:r>
          </w:p>
        </w:tc>
        <w:tc>
          <w:tcPr>
            <w:tcW w:type="dxa" w:w="5990"/>
            <w:tcMar>
              <w:top w:type="dxa" w:w="60"/>
              <w:left w:type="dxa" w:w="90"/>
              <w:bottom w:type="dxa" w:w="60"/>
              <w:right w:type="dxa" w:w="90"/>
            </w:tcMar>
          </w:tcPr>
          <w:p>
            <w:pPr>
              <w:spacing w:after="20" w:line="240"/>
            </w:pPr>
            <w:r>
              <w:rPr>
                <w:b w:val="false"/>
                <w:bCs w:val="false"/>
                <w:sz w:val="18"/>
                <w:szCs w:val="18"/>
              </w:rPr>
              <w:t xml:space="preserve">Modèles, versions, validations, journaux</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50</w:t>
            </w:r>
          </w:p>
        </w:tc>
        <w:tc>
          <w:tcPr>
            <w:tcW w:type="dxa" w:w="2808"/>
            <w:tcMar>
              <w:top w:type="dxa" w:w="60"/>
              <w:left w:type="dxa" w:w="90"/>
              <w:bottom w:type="dxa" w:w="60"/>
              <w:right w:type="dxa" w:w="90"/>
            </w:tcMar>
          </w:tcPr>
          <w:p>
            <w:pPr>
              <w:spacing w:after="20" w:line="240"/>
            </w:pPr>
            <w:r>
              <w:rPr>
                <w:b w:val="false"/>
                <w:bCs w:val="false"/>
                <w:sz w:val="18"/>
                <w:szCs w:val="18"/>
              </w:rPr>
              <w:t xml:space="preserve">Apprentissage et connaissance</w:t>
            </w:r>
          </w:p>
        </w:tc>
        <w:tc>
          <w:tcPr>
            <w:tcW w:type="dxa" w:w="5990"/>
            <w:tcMar>
              <w:top w:type="dxa" w:w="60"/>
              <w:left w:type="dxa" w:w="90"/>
              <w:bottom w:type="dxa" w:w="60"/>
              <w:right w:type="dxa" w:w="90"/>
            </w:tcMar>
          </w:tcPr>
          <w:p>
            <w:pPr>
              <w:spacing w:after="20" w:line="240"/>
            </w:pPr>
            <w:r>
              <w:rPr>
                <w:b w:val="false"/>
                <w:bCs w:val="false"/>
                <w:sz w:val="18"/>
                <w:szCs w:val="18"/>
              </w:rPr>
              <w:t xml:space="preserve">Formation, procédures, certification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51</w:t>
            </w:r>
          </w:p>
        </w:tc>
        <w:tc>
          <w:tcPr>
            <w:tcW w:type="dxa" w:w="2808"/>
            <w:tcMar>
              <w:top w:type="dxa" w:w="60"/>
              <w:left w:type="dxa" w:w="90"/>
              <w:bottom w:type="dxa" w:w="60"/>
              <w:right w:type="dxa" w:w="90"/>
            </w:tcMar>
          </w:tcPr>
          <w:p>
            <w:pPr>
              <w:spacing w:after="20" w:line="240"/>
            </w:pPr>
            <w:r>
              <w:rPr>
                <w:b w:val="false"/>
                <w:bCs w:val="false"/>
                <w:sz w:val="18"/>
                <w:szCs w:val="18"/>
              </w:rPr>
              <w:t xml:space="preserve">Accès et délégations</w:t>
            </w:r>
          </w:p>
        </w:tc>
        <w:tc>
          <w:tcPr>
            <w:tcW w:type="dxa" w:w="5990"/>
            <w:tcMar>
              <w:top w:type="dxa" w:w="60"/>
              <w:left w:type="dxa" w:w="90"/>
              <w:bottom w:type="dxa" w:w="60"/>
              <w:right w:type="dxa" w:w="90"/>
            </w:tcMar>
          </w:tcPr>
          <w:p>
            <w:pPr>
              <w:spacing w:after="20" w:line="240"/>
            </w:pPr>
            <w:r>
              <w:rPr>
                <w:b w:val="false"/>
                <w:bCs w:val="false"/>
                <w:sz w:val="18"/>
                <w:szCs w:val="18"/>
              </w:rPr>
              <w:t xml:space="preserve">Rôles, attributs, habilitations temporaires, revues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52</w:t>
            </w:r>
          </w:p>
        </w:tc>
        <w:tc>
          <w:tcPr>
            <w:tcW w:type="dxa" w:w="2808"/>
            <w:tcMar>
              <w:top w:type="dxa" w:w="60"/>
              <w:left w:type="dxa" w:w="90"/>
              <w:bottom w:type="dxa" w:w="60"/>
              <w:right w:type="dxa" w:w="90"/>
            </w:tcMar>
          </w:tcPr>
          <w:p>
            <w:pPr>
              <w:spacing w:after="20" w:line="240"/>
            </w:pPr>
            <w:r>
              <w:rPr>
                <w:b w:val="false"/>
                <w:bCs w:val="false"/>
                <w:sz w:val="18"/>
                <w:szCs w:val="18"/>
              </w:rPr>
              <w:t xml:space="preserve">Intégration et API</w:t>
            </w:r>
          </w:p>
        </w:tc>
        <w:tc>
          <w:tcPr>
            <w:tcW w:type="dxa" w:w="5990"/>
            <w:tcMar>
              <w:top w:type="dxa" w:w="60"/>
              <w:left w:type="dxa" w:w="90"/>
              <w:bottom w:type="dxa" w:w="60"/>
              <w:right w:type="dxa" w:w="90"/>
            </w:tcMar>
          </w:tcPr>
          <w:p>
            <w:pPr>
              <w:spacing w:after="20" w:line="240"/>
            </w:pPr>
            <w:r>
              <w:rPr>
                <w:b w:val="false"/>
                <w:bCs w:val="false"/>
                <w:sz w:val="18"/>
                <w:szCs w:val="18"/>
              </w:rPr>
              <w:t xml:space="preserve">Partenaires, quotas, clés, journaux d'appels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53</w:t>
            </w:r>
          </w:p>
        </w:tc>
        <w:tc>
          <w:tcPr>
            <w:tcW w:type="dxa" w:w="2808"/>
            <w:tcMar>
              <w:top w:type="dxa" w:w="60"/>
              <w:left w:type="dxa" w:w="90"/>
              <w:bottom w:type="dxa" w:w="60"/>
              <w:right w:type="dxa" w:w="90"/>
            </w:tcMar>
          </w:tcPr>
          <w:p>
            <w:pPr>
              <w:spacing w:after="20" w:line="240"/>
            </w:pPr>
            <w:r>
              <w:rPr>
                <w:b w:val="false"/>
                <w:bCs w:val="false"/>
                <w:sz w:val="18"/>
                <w:szCs w:val="18"/>
              </w:rPr>
              <w:t xml:space="preserve">Administration de la plateforme</w:t>
            </w:r>
          </w:p>
        </w:tc>
        <w:tc>
          <w:tcPr>
            <w:tcW w:type="dxa" w:w="5990"/>
            <w:tcMar>
              <w:top w:type="dxa" w:w="60"/>
              <w:left w:type="dxa" w:w="90"/>
              <w:bottom w:type="dxa" w:w="60"/>
              <w:right w:type="dxa" w:w="90"/>
            </w:tcMar>
          </w:tcPr>
          <w:p>
            <w:pPr>
              <w:spacing w:after="20" w:line="240"/>
            </w:pPr>
            <w:r>
              <w:rPr>
                <w:b w:val="false"/>
                <w:bCs w:val="false"/>
                <w:sz w:val="18"/>
                <w:szCs w:val="18"/>
              </w:rPr>
              <w:t xml:space="preserve">Environnements, versions, configuration technique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54</w:t>
            </w:r>
          </w:p>
        </w:tc>
        <w:tc>
          <w:tcPr>
            <w:tcW w:type="dxa" w:w="2808"/>
            <w:tcMar>
              <w:top w:type="dxa" w:w="60"/>
              <w:left w:type="dxa" w:w="90"/>
              <w:bottom w:type="dxa" w:w="60"/>
              <w:right w:type="dxa" w:w="90"/>
            </w:tcMar>
          </w:tcPr>
          <w:p>
            <w:pPr>
              <w:spacing w:after="20" w:line="240"/>
            </w:pPr>
            <w:r>
              <w:rPr>
                <w:b w:val="false"/>
                <w:bCs w:val="false"/>
                <w:sz w:val="18"/>
                <w:szCs w:val="18"/>
              </w:rPr>
              <w:t xml:space="preserve">Transparence publique</w:t>
            </w:r>
          </w:p>
        </w:tc>
        <w:tc>
          <w:tcPr>
            <w:tcW w:type="dxa" w:w="5990"/>
            <w:tcMar>
              <w:top w:type="dxa" w:w="60"/>
              <w:left w:type="dxa" w:w="90"/>
              <w:bottom w:type="dxa" w:w="60"/>
              <w:right w:type="dxa" w:w="90"/>
            </w:tcMar>
          </w:tcPr>
          <w:p>
            <w:pPr>
              <w:spacing w:after="20" w:line="240"/>
            </w:pPr>
            <w:r>
              <w:rPr>
                <w:b w:val="false"/>
                <w:bCs w:val="false"/>
                <w:sz w:val="18"/>
                <w:szCs w:val="18"/>
              </w:rPr>
              <w:t xml:space="preserve">Recettes agrégées et réalisations, sans données personnelles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55</w:t>
            </w:r>
          </w:p>
        </w:tc>
        <w:tc>
          <w:tcPr>
            <w:tcW w:type="dxa" w:w="2808"/>
            <w:tcMar>
              <w:top w:type="dxa" w:w="60"/>
              <w:left w:type="dxa" w:w="90"/>
              <w:bottom w:type="dxa" w:w="60"/>
              <w:right w:type="dxa" w:w="90"/>
            </w:tcMar>
          </w:tcPr>
          <w:p>
            <w:pPr>
              <w:spacing w:after="20" w:line="240"/>
            </w:pPr>
            <w:r>
              <w:rPr>
                <w:b w:val="false"/>
                <w:bCs w:val="false"/>
                <w:sz w:val="18"/>
                <w:szCs w:val="18"/>
              </w:rPr>
              <w:t xml:space="preserve">Supervision et santé du système</w:t>
            </w:r>
          </w:p>
        </w:tc>
        <w:tc>
          <w:tcPr>
            <w:tcW w:type="dxa" w:w="5990"/>
            <w:tcMar>
              <w:top w:type="dxa" w:w="60"/>
              <w:left w:type="dxa" w:w="90"/>
              <w:bottom w:type="dxa" w:w="60"/>
              <w:right w:type="dxa" w:w="90"/>
            </w:tcMar>
          </w:tcPr>
          <w:p>
            <w:pPr>
              <w:spacing w:after="20" w:line="240"/>
            </w:pPr>
            <w:r>
              <w:rPr>
                <w:b w:val="false"/>
                <w:bCs w:val="false"/>
                <w:sz w:val="18"/>
                <w:szCs w:val="18"/>
              </w:rPr>
              <w:t xml:space="preserve">Disponibilité, performance, incidents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56</w:t>
            </w:r>
          </w:p>
        </w:tc>
        <w:tc>
          <w:tcPr>
            <w:tcW w:type="dxa" w:w="2808"/>
            <w:tcMar>
              <w:top w:type="dxa" w:w="60"/>
              <w:left w:type="dxa" w:w="90"/>
              <w:bottom w:type="dxa" w:w="60"/>
              <w:right w:type="dxa" w:w="90"/>
            </w:tcMar>
          </w:tcPr>
          <w:p>
            <w:pPr>
              <w:spacing w:after="20" w:line="240"/>
            </w:pPr>
            <w:r>
              <w:rPr>
                <w:b w:val="false"/>
                <w:bCs w:val="false"/>
                <w:sz w:val="18"/>
                <w:szCs w:val="18"/>
              </w:rPr>
              <w:t xml:space="preserve">Grands redevables</w:t>
            </w:r>
          </w:p>
        </w:tc>
        <w:tc>
          <w:tcPr>
            <w:tcW w:type="dxa" w:w="5990"/>
            <w:tcMar>
              <w:top w:type="dxa" w:w="60"/>
              <w:left w:type="dxa" w:w="90"/>
              <w:bottom w:type="dxa" w:w="60"/>
              <w:right w:type="dxa" w:w="90"/>
            </w:tcMar>
          </w:tcPr>
          <w:p>
            <w:pPr>
              <w:spacing w:after="20" w:line="240"/>
            </w:pPr>
            <w:r>
              <w:rPr>
                <w:b w:val="false"/>
                <w:bCs w:val="false"/>
                <w:sz w:val="18"/>
                <w:szCs w:val="18"/>
              </w:rPr>
              <w:t xml:space="preserve">Suivi dédié des redevables à fort enjeu</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57</w:t>
            </w:r>
          </w:p>
        </w:tc>
        <w:tc>
          <w:tcPr>
            <w:tcW w:type="dxa" w:w="2808"/>
            <w:tcMar>
              <w:top w:type="dxa" w:w="60"/>
              <w:left w:type="dxa" w:w="90"/>
              <w:bottom w:type="dxa" w:w="60"/>
              <w:right w:type="dxa" w:w="90"/>
            </w:tcMar>
          </w:tcPr>
          <w:p>
            <w:pPr>
              <w:spacing w:after="20" w:line="240"/>
            </w:pPr>
            <w:r>
              <w:rPr>
                <w:b w:val="false"/>
                <w:bCs w:val="false"/>
                <w:sz w:val="18"/>
                <w:szCs w:val="18"/>
              </w:rPr>
              <w:t xml:space="preserve">Registre des exonérations</w:t>
            </w:r>
          </w:p>
        </w:tc>
        <w:tc>
          <w:tcPr>
            <w:tcW w:type="dxa" w:w="5990"/>
            <w:tcMar>
              <w:top w:type="dxa" w:w="60"/>
              <w:left w:type="dxa" w:w="90"/>
              <w:bottom w:type="dxa" w:w="60"/>
              <w:right w:type="dxa" w:w="90"/>
            </w:tcMar>
          </w:tcPr>
          <w:p>
            <w:pPr>
              <w:spacing w:after="20" w:line="240"/>
            </w:pPr>
            <w:r>
              <w:rPr>
                <w:b w:val="false"/>
                <w:bCs w:val="false"/>
                <w:sz w:val="18"/>
                <w:szCs w:val="18"/>
              </w:rPr>
              <w:t xml:space="preserve">Fondement, preuve, durée, révision</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58</w:t>
            </w:r>
          </w:p>
        </w:tc>
        <w:tc>
          <w:tcPr>
            <w:tcW w:type="dxa" w:w="2808"/>
            <w:tcMar>
              <w:top w:type="dxa" w:w="60"/>
              <w:left w:type="dxa" w:w="90"/>
              <w:bottom w:type="dxa" w:w="60"/>
              <w:right w:type="dxa" w:w="90"/>
            </w:tcMar>
          </w:tcPr>
          <w:p>
            <w:pPr>
              <w:spacing w:after="20" w:line="240"/>
            </w:pPr>
            <w:r>
              <w:rPr>
                <w:b w:val="false"/>
                <w:bCs w:val="false"/>
                <w:sz w:val="18"/>
                <w:szCs w:val="18"/>
              </w:rPr>
              <w:t xml:space="preserve">Gestion des équipements terrain</w:t>
            </w:r>
          </w:p>
        </w:tc>
        <w:tc>
          <w:tcPr>
            <w:tcW w:type="dxa" w:w="5990"/>
            <w:tcMar>
              <w:top w:type="dxa" w:w="60"/>
              <w:left w:type="dxa" w:w="90"/>
              <w:bottom w:type="dxa" w:w="60"/>
              <w:right w:type="dxa" w:w="90"/>
            </w:tcMar>
          </w:tcPr>
          <w:p>
            <w:pPr>
              <w:spacing w:after="20" w:line="240"/>
            </w:pPr>
            <w:r>
              <w:rPr>
                <w:b w:val="false"/>
                <w:bCs w:val="false"/>
                <w:sz w:val="18"/>
                <w:szCs w:val="18"/>
              </w:rPr>
              <w:t xml:space="preserve">Terminaux, révocation, chiffrement, expiration des données</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59</w:t>
            </w:r>
          </w:p>
        </w:tc>
        <w:tc>
          <w:tcPr>
            <w:tcW w:type="dxa" w:w="2808"/>
            <w:tcMar>
              <w:top w:type="dxa" w:w="60"/>
              <w:left w:type="dxa" w:w="90"/>
              <w:bottom w:type="dxa" w:w="60"/>
              <w:right w:type="dxa" w:w="90"/>
            </w:tcMar>
          </w:tcPr>
          <w:p>
            <w:pPr>
              <w:spacing w:after="20" w:line="240"/>
            </w:pPr>
            <w:r>
              <w:rPr>
                <w:b w:val="false"/>
                <w:bCs w:val="false"/>
                <w:sz w:val="18"/>
                <w:szCs w:val="18"/>
              </w:rPr>
              <w:t xml:space="preserve">Contrôle technique et vignette sécurisée</w:t>
            </w:r>
          </w:p>
        </w:tc>
        <w:tc>
          <w:tcPr>
            <w:tcW w:type="dxa" w:w="5990"/>
            <w:tcMar>
              <w:top w:type="dxa" w:w="60"/>
              <w:left w:type="dxa" w:w="90"/>
              <w:bottom w:type="dxa" w:w="60"/>
              <w:right w:type="dxa" w:w="90"/>
            </w:tcMar>
          </w:tcPr>
          <w:p>
            <w:pPr>
              <w:spacing w:after="20" w:line="240"/>
            </w:pPr>
            <w:r>
              <w:rPr>
                <w:b w:val="false"/>
                <w:bCs w:val="false"/>
                <w:sz w:val="18"/>
                <w:szCs w:val="18"/>
              </w:rPr>
              <w:t xml:space="preserve">Procès-verbaux, échéances, numéros de vignettes, interface RFCK</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60</w:t>
            </w:r>
          </w:p>
        </w:tc>
        <w:tc>
          <w:tcPr>
            <w:tcW w:type="dxa" w:w="2808"/>
            <w:tcMar>
              <w:top w:type="dxa" w:w="60"/>
              <w:left w:type="dxa" w:w="90"/>
              <w:bottom w:type="dxa" w:w="60"/>
              <w:right w:type="dxa" w:w="90"/>
            </w:tcMar>
          </w:tcPr>
          <w:p>
            <w:pPr>
              <w:spacing w:after="20" w:line="240"/>
            </w:pPr>
            <w:r>
              <w:rPr>
                <w:b w:val="false"/>
                <w:bCs w:val="false"/>
                <w:sz w:val="18"/>
                <w:szCs w:val="18"/>
              </w:rPr>
              <w:t xml:space="preserve">Fourrières, enlèvement et gardiennage</w:t>
            </w:r>
          </w:p>
        </w:tc>
        <w:tc>
          <w:tcPr>
            <w:tcW w:type="dxa" w:w="5990"/>
            <w:tcMar>
              <w:top w:type="dxa" w:w="60"/>
              <w:left w:type="dxa" w:w="90"/>
              <w:bottom w:type="dxa" w:w="60"/>
              <w:right w:type="dxa" w:w="90"/>
            </w:tcMar>
          </w:tcPr>
          <w:p>
            <w:pPr>
              <w:spacing w:after="20" w:line="240"/>
            </w:pPr>
            <w:r>
              <w:rPr>
                <w:b w:val="false"/>
                <w:bCs w:val="false"/>
                <w:sz w:val="18"/>
                <w:szCs w:val="18"/>
              </w:rPr>
              <w:t xml:space="preserve">Sites, entrées et sorties, compteur de jours, mainlevée, inventaire photographique</w:t>
            </w:r>
          </w:p>
        </w:tc>
      </w:tr>
      <w:tr>
        <w:trPr>
          <w:tblHeader w:val="false"/>
        </w:trPr>
        <w:tc>
          <w:tcPr>
            <w:tcW w:type="dxa" w:w="562"/>
            <w:tcMar>
              <w:top w:type="dxa" w:w="60"/>
              <w:left w:type="dxa" w:w="90"/>
              <w:bottom w:type="dxa" w:w="60"/>
              <w:right w:type="dxa" w:w="90"/>
            </w:tcMar>
          </w:tcPr>
          <w:p>
            <w:pPr>
              <w:spacing w:after="20" w:line="240"/>
            </w:pPr>
            <w:r>
              <w:rPr>
                <w:b w:val="false"/>
                <w:bCs w:val="false"/>
                <w:sz w:val="18"/>
                <w:szCs w:val="18"/>
              </w:rPr>
              <w:t xml:space="preserve">61</w:t>
            </w:r>
          </w:p>
        </w:tc>
        <w:tc>
          <w:tcPr>
            <w:tcW w:type="dxa" w:w="2808"/>
            <w:tcMar>
              <w:top w:type="dxa" w:w="60"/>
              <w:left w:type="dxa" w:w="90"/>
              <w:bottom w:type="dxa" w:w="60"/>
              <w:right w:type="dxa" w:w="90"/>
            </w:tcMar>
          </w:tcPr>
          <w:p>
            <w:pPr>
              <w:spacing w:after="20" w:line="240"/>
            </w:pPr>
            <w:r>
              <w:rPr>
                <w:b w:val="false"/>
                <w:bCs w:val="false"/>
                <w:sz w:val="18"/>
                <w:szCs w:val="18"/>
              </w:rPr>
              <w:t xml:space="preserve">Centres agréés et tiers de confiance</w:t>
            </w:r>
          </w:p>
        </w:tc>
        <w:tc>
          <w:tcPr>
            <w:tcW w:type="dxa" w:w="5990"/>
            <w:tcMar>
              <w:top w:type="dxa" w:w="60"/>
              <w:left w:type="dxa" w:w="90"/>
              <w:bottom w:type="dxa" w:w="60"/>
              <w:right w:type="dxa" w:w="90"/>
            </w:tcMar>
          </w:tcPr>
          <w:p>
            <w:pPr>
              <w:spacing w:after="20" w:line="240"/>
            </w:pPr>
            <w:r>
              <w:rPr>
                <w:b w:val="false"/>
                <w:bCs w:val="false"/>
                <w:sz w:val="18"/>
                <w:szCs w:val="18"/>
              </w:rPr>
              <w:t xml:space="preserve">Habilitations, quotas, analytique de conformité, suspension</w:t>
            </w:r>
          </w:p>
        </w:tc>
      </w:tr>
    </w:tbl>
    <w:p>
      <w:pPr>
        <w:pStyle w:val="Heading1"/>
        <w:spacing w:after="160" w:before="360"/>
      </w:pPr>
      <w:r>
        <w:t xml:space="preserve">12. Rôles et matrice d'habilitations</w:t>
      </w:r>
    </w:p>
    <w:p>
      <w:pPr>
        <w:spacing w:after="120" w:line="276"/>
        <w:jc w:val="both"/>
      </w:pPr>
      <w:r>
        <w:rPr>
          <w:b w:val="false"/>
          <w:bCs w:val="false"/>
          <w:i w:val="false"/>
          <w:iCs w:val="false"/>
          <w:sz w:val="21"/>
          <w:szCs w:val="21"/>
        </w:rPr>
        <w:t xml:space="preserve">Le modèle combine des rôles (fonction) et des attributs (territoire, période, dossier, appareil, sensibilité). Toute action financière sensible exige une double validation par deux personnes distinctes, une authentification renforcée et une justification enregistrée.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591"/>
        <w:gridCol w:w="2527"/>
        <w:gridCol w:w="2621"/>
        <w:gridCol w:w="2621"/>
      </w:tblGrid>
      <w:tr>
        <w:trPr>
          <w:tblHeader/>
        </w:trPr>
        <w:tc>
          <w:tcPr>
            <w:tcW w:type="dxa" w:w="1591"/>
            <w:shd w:fill="E6F4F1" w:color="auto" w:val="clear"/>
            <w:tcMar>
              <w:top w:type="dxa" w:w="60"/>
              <w:left w:type="dxa" w:w="90"/>
              <w:bottom w:type="dxa" w:w="60"/>
              <w:right w:type="dxa" w:w="90"/>
            </w:tcMar>
          </w:tcPr>
          <w:p>
            <w:pPr>
              <w:spacing w:after="20" w:line="240"/>
            </w:pPr>
            <w:r>
              <w:rPr>
                <w:b/>
                <w:bCs/>
                <w:sz w:val="18"/>
                <w:szCs w:val="18"/>
              </w:rPr>
              <w:t xml:space="preserve">Rôle</w:t>
            </w:r>
          </w:p>
        </w:tc>
        <w:tc>
          <w:tcPr>
            <w:tcW w:type="dxa" w:w="2527"/>
            <w:shd w:fill="E6F4F1" w:color="auto" w:val="clear"/>
            <w:tcMar>
              <w:top w:type="dxa" w:w="60"/>
              <w:left w:type="dxa" w:w="90"/>
              <w:bottom w:type="dxa" w:w="60"/>
              <w:right w:type="dxa" w:w="90"/>
            </w:tcMar>
          </w:tcPr>
          <w:p>
            <w:pPr>
              <w:spacing w:after="20" w:line="240"/>
            </w:pPr>
            <w:r>
              <w:rPr>
                <w:b/>
                <w:bCs/>
                <w:sz w:val="18"/>
                <w:szCs w:val="18"/>
              </w:rPr>
              <w:t xml:space="preserve">Voit</w:t>
            </w:r>
          </w:p>
        </w:tc>
        <w:tc>
          <w:tcPr>
            <w:tcW w:type="dxa" w:w="2621"/>
            <w:shd w:fill="E6F4F1" w:color="auto" w:val="clear"/>
            <w:tcMar>
              <w:top w:type="dxa" w:w="60"/>
              <w:left w:type="dxa" w:w="90"/>
              <w:bottom w:type="dxa" w:w="60"/>
              <w:right w:type="dxa" w:w="90"/>
            </w:tcMar>
          </w:tcPr>
          <w:p>
            <w:pPr>
              <w:spacing w:after="20" w:line="240"/>
            </w:pPr>
            <w:r>
              <w:rPr>
                <w:b/>
                <w:bCs/>
                <w:sz w:val="18"/>
                <w:szCs w:val="18"/>
              </w:rPr>
              <w:t xml:space="preserve">Peut faire</w:t>
            </w:r>
          </w:p>
        </w:tc>
        <w:tc>
          <w:tcPr>
            <w:tcW w:type="dxa" w:w="2621"/>
            <w:shd w:fill="E6F4F1" w:color="auto" w:val="clear"/>
            <w:tcMar>
              <w:top w:type="dxa" w:w="60"/>
              <w:left w:type="dxa" w:w="90"/>
              <w:bottom w:type="dxa" w:w="60"/>
              <w:right w:type="dxa" w:w="90"/>
            </w:tcMar>
          </w:tcPr>
          <w:p>
            <w:pPr>
              <w:spacing w:after="20" w:line="240"/>
            </w:pPr>
            <w:r>
              <w:rPr>
                <w:b/>
                <w:bCs/>
                <w:sz w:val="18"/>
                <w:szCs w:val="18"/>
              </w:rPr>
              <w:t xml:space="preserve">Ne peut jamais</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Gouverneur</w:t>
            </w:r>
          </w:p>
        </w:tc>
        <w:tc>
          <w:tcPr>
            <w:tcW w:type="dxa" w:w="2527"/>
            <w:tcMar>
              <w:top w:type="dxa" w:w="60"/>
              <w:left w:type="dxa" w:w="90"/>
              <w:bottom w:type="dxa" w:w="60"/>
              <w:right w:type="dxa" w:w="90"/>
            </w:tcMar>
          </w:tcPr>
          <w:p>
            <w:pPr>
              <w:spacing w:after="20" w:line="240"/>
            </w:pPr>
            <w:r>
              <w:rPr>
                <w:b w:val="false"/>
                <w:bCs w:val="false"/>
                <w:sz w:val="18"/>
                <w:szCs w:val="18"/>
              </w:rPr>
              <w:t xml:space="preserve">Vision consolidée : recettes, performance, risques, couverture, prévisions, capacité d'affectation</w:t>
            </w:r>
          </w:p>
        </w:tc>
        <w:tc>
          <w:tcPr>
            <w:tcW w:type="dxa" w:w="2621"/>
            <w:tcMar>
              <w:top w:type="dxa" w:w="60"/>
              <w:left w:type="dxa" w:w="90"/>
              <w:bottom w:type="dxa" w:w="60"/>
              <w:right w:type="dxa" w:w="90"/>
            </w:tcMar>
          </w:tcPr>
          <w:p>
            <w:pPr>
              <w:spacing w:after="20" w:line="240"/>
            </w:pPr>
            <w:r>
              <w:rPr>
                <w:b w:val="false"/>
                <w:bCs w:val="false"/>
                <w:sz w:val="18"/>
                <w:szCs w:val="18"/>
              </w:rPr>
              <w:t xml:space="preserve">Demander des enquêtes, arbitrer des priorités selon ses pouvoirs, valider des orientations</w:t>
            </w:r>
          </w:p>
        </w:tc>
        <w:tc>
          <w:tcPr>
            <w:tcW w:type="dxa" w:w="2621"/>
            <w:tcMar>
              <w:top w:type="dxa" w:w="60"/>
              <w:left w:type="dxa" w:w="90"/>
              <w:bottom w:type="dxa" w:w="60"/>
              <w:right w:type="dxa" w:w="90"/>
            </w:tcMar>
          </w:tcPr>
          <w:p>
            <w:pPr>
              <w:spacing w:after="20" w:line="240"/>
            </w:pPr>
            <w:r>
              <w:rPr>
                <w:b w:val="false"/>
                <w:bCs w:val="false"/>
                <w:sz w:val="18"/>
                <w:szCs w:val="18"/>
              </w:rPr>
              <w:t xml:space="preserve">Supprimer une transaction, réécrire une quittance, changer un compte bénéficiaire, modifier le journal d'audit</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Directeur de cabinet du Gouverneur</w:t>
            </w:r>
          </w:p>
        </w:tc>
        <w:tc>
          <w:tcPr>
            <w:tcW w:type="dxa" w:w="2527"/>
            <w:tcMar>
              <w:top w:type="dxa" w:w="60"/>
              <w:left w:type="dxa" w:w="90"/>
              <w:bottom w:type="dxa" w:w="60"/>
              <w:right w:type="dxa" w:w="90"/>
            </w:tcMar>
          </w:tcPr>
          <w:p>
            <w:pPr>
              <w:spacing w:after="20" w:line="240"/>
            </w:pPr>
            <w:r>
              <w:rPr>
                <w:b w:val="false"/>
                <w:bCs w:val="false"/>
                <w:sz w:val="18"/>
                <w:szCs w:val="18"/>
              </w:rPr>
              <w:t xml:space="preserve">Vue de coordination déléguée, par finalité</w:t>
            </w:r>
          </w:p>
        </w:tc>
        <w:tc>
          <w:tcPr>
            <w:tcW w:type="dxa" w:w="2621"/>
            <w:tcMar>
              <w:top w:type="dxa" w:w="60"/>
              <w:left w:type="dxa" w:w="90"/>
              <w:bottom w:type="dxa" w:w="60"/>
              <w:right w:type="dxa" w:w="90"/>
            </w:tcMar>
          </w:tcPr>
          <w:p>
            <w:pPr>
              <w:spacing w:after="20" w:line="240"/>
            </w:pPr>
            <w:r>
              <w:rPr>
                <w:b w:val="false"/>
                <w:bCs w:val="false"/>
                <w:sz w:val="18"/>
                <w:szCs w:val="18"/>
              </w:rPr>
              <w:t xml:space="preserve">Suivre l'exécution, coordonner les services</w:t>
            </w:r>
          </w:p>
        </w:tc>
        <w:tc>
          <w:tcPr>
            <w:tcW w:type="dxa" w:w="2621"/>
            <w:tcMar>
              <w:top w:type="dxa" w:w="60"/>
              <w:left w:type="dxa" w:w="90"/>
              <w:bottom w:type="dxa" w:w="60"/>
              <w:right w:type="dxa" w:w="90"/>
            </w:tcMar>
          </w:tcPr>
          <w:p>
            <w:pPr>
              <w:spacing w:after="20" w:line="240"/>
            </w:pPr>
            <w:r>
              <w:rPr>
                <w:b w:val="false"/>
                <w:bCs w:val="false"/>
                <w:sz w:val="18"/>
                <w:szCs w:val="18"/>
              </w:rPr>
              <w:t xml:space="preserve">Accéder aux dossiers individuels sans finalité enregistrée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Secrétaire du Gouvernement provincial</w:t>
            </w:r>
          </w:p>
        </w:tc>
        <w:tc>
          <w:tcPr>
            <w:tcW w:type="dxa" w:w="2527"/>
            <w:tcMar>
              <w:top w:type="dxa" w:w="60"/>
              <w:left w:type="dxa" w:w="90"/>
              <w:bottom w:type="dxa" w:w="60"/>
              <w:right w:type="dxa" w:w="90"/>
            </w:tcMar>
          </w:tcPr>
          <w:p>
            <w:pPr>
              <w:spacing w:after="20" w:line="240"/>
            </w:pPr>
            <w:r>
              <w:rPr>
                <w:b w:val="false"/>
                <w:bCs w:val="false"/>
                <w:sz w:val="18"/>
                <w:szCs w:val="18"/>
              </w:rPr>
              <w:t xml:space="preserve">Décisions, dossiers institutionnels, suivi de mise en œuvre</w:t>
            </w:r>
          </w:p>
        </w:tc>
        <w:tc>
          <w:tcPr>
            <w:tcW w:type="dxa" w:w="2621"/>
            <w:tcMar>
              <w:top w:type="dxa" w:w="60"/>
              <w:left w:type="dxa" w:w="90"/>
              <w:bottom w:type="dxa" w:w="60"/>
              <w:right w:type="dxa" w:w="90"/>
            </w:tcMar>
          </w:tcPr>
          <w:p>
            <w:pPr>
              <w:spacing w:after="20" w:line="240"/>
            </w:pPr>
            <w:r>
              <w:rPr>
                <w:b w:val="false"/>
                <w:bCs w:val="false"/>
                <w:sz w:val="18"/>
                <w:szCs w:val="18"/>
              </w:rPr>
              <w:t xml:space="preserve">Coordonner, documenter, notifier</w:t>
            </w:r>
          </w:p>
        </w:tc>
        <w:tc>
          <w:tcPr>
            <w:tcW w:type="dxa" w:w="2621"/>
            <w:tcMar>
              <w:top w:type="dxa" w:w="60"/>
              <w:left w:type="dxa" w:w="90"/>
              <w:bottom w:type="dxa" w:w="60"/>
              <w:right w:type="dxa" w:w="90"/>
            </w:tcMar>
          </w:tcPr>
          <w:p>
            <w:pPr>
              <w:spacing w:after="20" w:line="240"/>
            </w:pPr>
            <w:r>
              <w:rPr>
                <w:b w:val="false"/>
                <w:bCs w:val="false"/>
                <w:sz w:val="18"/>
                <w:szCs w:val="18"/>
              </w:rPr>
              <w:t xml:space="preserve">Agir sur les obligations ou les paiements</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Ministre provincial</w:t>
            </w:r>
          </w:p>
        </w:tc>
        <w:tc>
          <w:tcPr>
            <w:tcW w:type="dxa" w:w="2527"/>
            <w:tcMar>
              <w:top w:type="dxa" w:w="60"/>
              <w:left w:type="dxa" w:w="90"/>
              <w:bottom w:type="dxa" w:w="60"/>
              <w:right w:type="dxa" w:w="90"/>
            </w:tcMar>
          </w:tcPr>
          <w:p>
            <w:pPr>
              <w:spacing w:after="20" w:line="240"/>
            </w:pPr>
            <w:r>
              <w:rPr>
                <w:b w:val="false"/>
                <w:bCs w:val="false"/>
                <w:sz w:val="18"/>
                <w:szCs w:val="18"/>
              </w:rPr>
              <w:t xml:space="preserve">Périmètre légal de son ministère uniquement</w:t>
            </w:r>
          </w:p>
        </w:tc>
        <w:tc>
          <w:tcPr>
            <w:tcW w:type="dxa" w:w="2621"/>
            <w:tcMar>
              <w:top w:type="dxa" w:w="60"/>
              <w:left w:type="dxa" w:w="90"/>
              <w:bottom w:type="dxa" w:w="60"/>
              <w:right w:type="dxa" w:w="90"/>
            </w:tcMar>
          </w:tcPr>
          <w:p>
            <w:pPr>
              <w:spacing w:after="20" w:line="240"/>
            </w:pPr>
            <w:r>
              <w:rPr>
                <w:b w:val="false"/>
                <w:bCs w:val="false"/>
                <w:sz w:val="18"/>
                <w:szCs w:val="18"/>
              </w:rPr>
              <w:t xml:space="preserve">Piloter ses services, valider ses actes</w:t>
            </w:r>
          </w:p>
        </w:tc>
        <w:tc>
          <w:tcPr>
            <w:tcW w:type="dxa" w:w="2621"/>
            <w:tcMar>
              <w:top w:type="dxa" w:w="60"/>
              <w:left w:type="dxa" w:w="90"/>
              <w:bottom w:type="dxa" w:w="60"/>
              <w:right w:type="dxa" w:w="90"/>
            </w:tcMar>
          </w:tcPr>
          <w:p>
            <w:pPr>
              <w:spacing w:after="20" w:line="240"/>
            </w:pPr>
            <w:r>
              <w:rPr>
                <w:b w:val="false"/>
                <w:bCs w:val="false"/>
                <w:sz w:val="18"/>
                <w:szCs w:val="18"/>
              </w:rPr>
              <w:t xml:space="preserve">Consulter des données fiscales étrangères à sa compétence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Direction de la régie fiscale</w:t>
            </w:r>
          </w:p>
        </w:tc>
        <w:tc>
          <w:tcPr>
            <w:tcW w:type="dxa" w:w="2527"/>
            <w:tcMar>
              <w:top w:type="dxa" w:w="60"/>
              <w:left w:type="dxa" w:w="90"/>
              <w:bottom w:type="dxa" w:w="60"/>
              <w:right w:type="dxa" w:w="90"/>
            </w:tcMar>
          </w:tcPr>
          <w:p>
            <w:pPr>
              <w:spacing w:after="20" w:line="240"/>
            </w:pPr>
            <w:r>
              <w:rPr>
                <w:b w:val="false"/>
                <w:bCs w:val="false"/>
                <w:sz w:val="18"/>
                <w:szCs w:val="18"/>
              </w:rPr>
              <w:t xml:space="preserve">Assiette, liquidation, contentieux, recouvrement</w:t>
            </w:r>
          </w:p>
        </w:tc>
        <w:tc>
          <w:tcPr>
            <w:tcW w:type="dxa" w:w="2621"/>
            <w:tcMar>
              <w:top w:type="dxa" w:w="60"/>
              <w:left w:type="dxa" w:w="90"/>
              <w:bottom w:type="dxa" w:w="60"/>
              <w:right w:type="dxa" w:w="90"/>
            </w:tcMar>
          </w:tcPr>
          <w:p>
            <w:pPr>
              <w:spacing w:after="20" w:line="240"/>
            </w:pPr>
            <w:r>
              <w:rPr>
                <w:b w:val="false"/>
                <w:bCs w:val="false"/>
                <w:sz w:val="18"/>
                <w:szCs w:val="18"/>
              </w:rPr>
              <w:t xml:space="preserve">Diriger les opérations, valider les campagnes</w:t>
            </w:r>
          </w:p>
        </w:tc>
        <w:tc>
          <w:tcPr>
            <w:tcW w:type="dxa" w:w="2621"/>
            <w:tcMar>
              <w:top w:type="dxa" w:w="60"/>
              <w:left w:type="dxa" w:w="90"/>
              <w:bottom w:type="dxa" w:w="60"/>
              <w:right w:type="dxa" w:w="90"/>
            </w:tcMar>
          </w:tcPr>
          <w:p>
            <w:pPr>
              <w:spacing w:after="20" w:line="240"/>
            </w:pPr>
            <w:r>
              <w:rPr>
                <w:b w:val="false"/>
                <w:bCs w:val="false"/>
                <w:sz w:val="18"/>
                <w:szCs w:val="18"/>
              </w:rPr>
              <w:t xml:space="preserve">Modifier seule une règle ou un compte bénéficiaire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Direction de la régie des taxes</w:t>
            </w:r>
          </w:p>
        </w:tc>
        <w:tc>
          <w:tcPr>
            <w:tcW w:type="dxa" w:w="2527"/>
            <w:tcMar>
              <w:top w:type="dxa" w:w="60"/>
              <w:left w:type="dxa" w:w="90"/>
              <w:bottom w:type="dxa" w:w="60"/>
              <w:right w:type="dxa" w:w="90"/>
            </w:tcMar>
          </w:tcPr>
          <w:p>
            <w:pPr>
              <w:spacing w:after="20" w:line="240"/>
            </w:pPr>
            <w:r>
              <w:rPr>
                <w:b w:val="false"/>
                <w:bCs w:val="false"/>
                <w:sz w:val="18"/>
                <w:szCs w:val="18"/>
              </w:rPr>
              <w:t xml:space="preserve">Droits, taxes et redevances urbaines</w:t>
            </w:r>
          </w:p>
        </w:tc>
        <w:tc>
          <w:tcPr>
            <w:tcW w:type="dxa" w:w="2621"/>
            <w:tcMar>
              <w:top w:type="dxa" w:w="60"/>
              <w:left w:type="dxa" w:w="90"/>
              <w:bottom w:type="dxa" w:w="60"/>
              <w:right w:type="dxa" w:w="90"/>
            </w:tcMar>
          </w:tcPr>
          <w:p>
            <w:pPr>
              <w:spacing w:after="20" w:line="240"/>
            </w:pPr>
            <w:r>
              <w:rPr>
                <w:b w:val="false"/>
                <w:bCs w:val="false"/>
                <w:sz w:val="18"/>
                <w:szCs w:val="18"/>
              </w:rPr>
              <w:t xml:space="preserve">Ordonnancer et suivre la perception</w:t>
            </w:r>
          </w:p>
        </w:tc>
        <w:tc>
          <w:tcPr>
            <w:tcW w:type="dxa" w:w="2621"/>
            <w:tcMar>
              <w:top w:type="dxa" w:w="60"/>
              <w:left w:type="dxa" w:w="90"/>
              <w:bottom w:type="dxa" w:w="60"/>
              <w:right w:type="dxa" w:w="90"/>
            </w:tcMar>
          </w:tcPr>
          <w:p>
            <w:pPr>
              <w:spacing w:after="20" w:line="240"/>
            </w:pPr>
            <w:r>
              <w:rPr>
                <w:b w:val="false"/>
                <w:bCs w:val="false"/>
                <w:sz w:val="18"/>
                <w:szCs w:val="18"/>
              </w:rPr>
              <w:t xml:space="preserve">Créer une recette non prévue au référentiel</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Super-administrateur de la plateforme</w:t>
            </w:r>
          </w:p>
        </w:tc>
        <w:tc>
          <w:tcPr>
            <w:tcW w:type="dxa" w:w="2527"/>
            <w:tcMar>
              <w:top w:type="dxa" w:w="60"/>
              <w:left w:type="dxa" w:w="90"/>
              <w:bottom w:type="dxa" w:w="60"/>
              <w:right w:type="dxa" w:w="90"/>
            </w:tcMar>
          </w:tcPr>
          <w:p>
            <w:pPr>
              <w:spacing w:after="20" w:line="240"/>
            </w:pPr>
            <w:r>
              <w:rPr>
                <w:b w:val="false"/>
                <w:bCs w:val="false"/>
                <w:sz w:val="18"/>
                <w:szCs w:val="18"/>
              </w:rPr>
              <w:t xml:space="preserve">Configuration technique, disponibilité, sécurité, intégrations</w:t>
            </w:r>
          </w:p>
        </w:tc>
        <w:tc>
          <w:tcPr>
            <w:tcW w:type="dxa" w:w="2621"/>
            <w:tcMar>
              <w:top w:type="dxa" w:w="60"/>
              <w:left w:type="dxa" w:w="90"/>
              <w:bottom w:type="dxa" w:w="60"/>
              <w:right w:type="dxa" w:w="90"/>
            </w:tcMar>
          </w:tcPr>
          <w:p>
            <w:pPr>
              <w:spacing w:after="20" w:line="240"/>
            </w:pPr>
            <w:r>
              <w:rPr>
                <w:b w:val="false"/>
                <w:bCs w:val="false"/>
                <w:sz w:val="18"/>
                <w:szCs w:val="18"/>
              </w:rPr>
              <w:t xml:space="preserve">Gérer environnements, versions, comptes techniques</w:t>
            </w:r>
          </w:p>
        </w:tc>
        <w:tc>
          <w:tcPr>
            <w:tcW w:type="dxa" w:w="2621"/>
            <w:tcMar>
              <w:top w:type="dxa" w:w="60"/>
              <w:left w:type="dxa" w:w="90"/>
              <w:bottom w:type="dxa" w:w="60"/>
              <w:right w:type="dxa" w:w="90"/>
            </w:tcMar>
          </w:tcPr>
          <w:p>
            <w:pPr>
              <w:spacing w:after="20" w:line="240"/>
            </w:pPr>
            <w:r>
              <w:rPr>
                <w:b w:val="false"/>
                <w:bCs w:val="false"/>
                <w:sz w:val="18"/>
                <w:szCs w:val="18"/>
              </w:rPr>
              <w:t xml:space="preserve">Modifier une dette, un paiement, un bénéficiaire, une quittance ou un journal d'audit</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Administrateur ministériel ou départemental</w:t>
            </w:r>
          </w:p>
        </w:tc>
        <w:tc>
          <w:tcPr>
            <w:tcW w:type="dxa" w:w="2527"/>
            <w:tcMar>
              <w:top w:type="dxa" w:w="60"/>
              <w:left w:type="dxa" w:w="90"/>
              <w:bottom w:type="dxa" w:w="60"/>
              <w:right w:type="dxa" w:w="90"/>
            </w:tcMar>
          </w:tcPr>
          <w:p>
            <w:pPr>
              <w:spacing w:after="20" w:line="240"/>
            </w:pPr>
            <w:r>
              <w:rPr>
                <w:b w:val="false"/>
                <w:bCs w:val="false"/>
                <w:sz w:val="18"/>
                <w:szCs w:val="18"/>
              </w:rPr>
              <w:t xml:space="preserve">Personnel, affectations, flux approuvés de son périmètre</w:t>
            </w:r>
          </w:p>
        </w:tc>
        <w:tc>
          <w:tcPr>
            <w:tcW w:type="dxa" w:w="2621"/>
            <w:tcMar>
              <w:top w:type="dxa" w:w="60"/>
              <w:left w:type="dxa" w:w="90"/>
              <w:bottom w:type="dxa" w:w="60"/>
              <w:right w:type="dxa" w:w="90"/>
            </w:tcMar>
          </w:tcPr>
          <w:p>
            <w:pPr>
              <w:spacing w:after="20" w:line="240"/>
            </w:pPr>
            <w:r>
              <w:rPr>
                <w:b w:val="false"/>
                <w:bCs w:val="false"/>
                <w:sz w:val="18"/>
                <w:szCs w:val="18"/>
              </w:rPr>
              <w:t xml:space="preserve">Affecter, habiliter temporairement</w:t>
            </w:r>
          </w:p>
        </w:tc>
        <w:tc>
          <w:tcPr>
            <w:tcW w:type="dxa" w:w="2621"/>
            <w:tcMar>
              <w:top w:type="dxa" w:w="60"/>
              <w:left w:type="dxa" w:w="90"/>
              <w:bottom w:type="dxa" w:w="60"/>
              <w:right w:type="dxa" w:w="90"/>
            </w:tcMar>
          </w:tcPr>
          <w:p>
            <w:pPr>
              <w:spacing w:after="20" w:line="240"/>
            </w:pPr>
            <w:r>
              <w:rPr>
                <w:b w:val="false"/>
                <w:bCs w:val="false"/>
                <w:sz w:val="18"/>
                <w:szCs w:val="18"/>
              </w:rPr>
              <w:t xml:space="preserve">Élargir son propre périmètre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Finances et trésorerie</w:t>
            </w:r>
          </w:p>
        </w:tc>
        <w:tc>
          <w:tcPr>
            <w:tcW w:type="dxa" w:w="2527"/>
            <w:tcMar>
              <w:top w:type="dxa" w:w="60"/>
              <w:left w:type="dxa" w:w="90"/>
              <w:bottom w:type="dxa" w:w="60"/>
              <w:right w:type="dxa" w:w="90"/>
            </w:tcMar>
          </w:tcPr>
          <w:p>
            <w:pPr>
              <w:spacing w:after="20" w:line="240"/>
            </w:pPr>
            <w:r>
              <w:rPr>
                <w:b w:val="false"/>
                <w:bCs w:val="false"/>
                <w:sz w:val="18"/>
                <w:szCs w:val="18"/>
              </w:rPr>
              <w:t xml:space="preserve">Règlements, rapprochements, exceptions comptables</w:t>
            </w:r>
          </w:p>
        </w:tc>
        <w:tc>
          <w:tcPr>
            <w:tcW w:type="dxa" w:w="2621"/>
            <w:tcMar>
              <w:top w:type="dxa" w:w="60"/>
              <w:left w:type="dxa" w:w="90"/>
              <w:bottom w:type="dxa" w:w="60"/>
              <w:right w:type="dxa" w:w="90"/>
            </w:tcMar>
          </w:tcPr>
          <w:p>
            <w:pPr>
              <w:spacing w:after="20" w:line="240"/>
            </w:pPr>
            <w:r>
              <w:rPr>
                <w:b w:val="false"/>
                <w:bCs w:val="false"/>
                <w:sz w:val="18"/>
                <w:szCs w:val="18"/>
              </w:rPr>
              <w:t xml:space="preserve">Imputer, justifier, clôturer des écarts</w:t>
            </w:r>
          </w:p>
        </w:tc>
        <w:tc>
          <w:tcPr>
            <w:tcW w:type="dxa" w:w="2621"/>
            <w:tcMar>
              <w:top w:type="dxa" w:w="60"/>
              <w:left w:type="dxa" w:w="90"/>
              <w:bottom w:type="dxa" w:w="60"/>
              <w:right w:type="dxa" w:w="90"/>
            </w:tcMar>
          </w:tcPr>
          <w:p>
            <w:pPr>
              <w:spacing w:after="20" w:line="240"/>
            </w:pPr>
            <w:r>
              <w:rPr>
                <w:b w:val="false"/>
                <w:bCs w:val="false"/>
                <w:sz w:val="18"/>
                <w:szCs w:val="18"/>
              </w:rPr>
              <w:t xml:space="preserve">Créer l'obligation sous-jacente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Juriste et tarificateur</w:t>
            </w:r>
          </w:p>
        </w:tc>
        <w:tc>
          <w:tcPr>
            <w:tcW w:type="dxa" w:w="2527"/>
            <w:tcMar>
              <w:top w:type="dxa" w:w="60"/>
              <w:left w:type="dxa" w:w="90"/>
              <w:bottom w:type="dxa" w:w="60"/>
              <w:right w:type="dxa" w:w="90"/>
            </w:tcMar>
          </w:tcPr>
          <w:p>
            <w:pPr>
              <w:spacing w:after="20" w:line="240"/>
            </w:pPr>
            <w:r>
              <w:rPr>
                <w:b w:val="false"/>
                <w:bCs w:val="false"/>
                <w:sz w:val="18"/>
                <w:szCs w:val="18"/>
              </w:rPr>
              <w:t xml:space="preserve">Fiches de recettes et versions</w:t>
            </w:r>
          </w:p>
        </w:tc>
        <w:tc>
          <w:tcPr>
            <w:tcW w:type="dxa" w:w="2621"/>
            <w:tcMar>
              <w:top w:type="dxa" w:w="60"/>
              <w:left w:type="dxa" w:w="90"/>
              <w:bottom w:type="dxa" w:w="60"/>
              <w:right w:type="dxa" w:w="90"/>
            </w:tcMar>
          </w:tcPr>
          <w:p>
            <w:pPr>
              <w:spacing w:after="20" w:line="240"/>
            </w:pPr>
            <w:r>
              <w:rPr>
                <w:b w:val="false"/>
                <w:bCs w:val="false"/>
                <w:sz w:val="18"/>
                <w:szCs w:val="18"/>
              </w:rPr>
              <w:t xml:space="preserve">Rédiger et proposer une règle</w:t>
            </w:r>
          </w:p>
        </w:tc>
        <w:tc>
          <w:tcPr>
            <w:tcW w:type="dxa" w:w="2621"/>
            <w:tcMar>
              <w:top w:type="dxa" w:w="60"/>
              <w:left w:type="dxa" w:w="90"/>
              <w:bottom w:type="dxa" w:w="60"/>
              <w:right w:type="dxa" w:w="90"/>
            </w:tcMar>
          </w:tcPr>
          <w:p>
            <w:pPr>
              <w:spacing w:after="20" w:line="240"/>
            </w:pPr>
            <w:r>
              <w:rPr>
                <w:b w:val="false"/>
                <w:bCs w:val="false"/>
                <w:sz w:val="18"/>
                <w:szCs w:val="18"/>
              </w:rPr>
              <w:t xml:space="preserve">Créer, valider et publier seul la même règle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Auditeur</w:t>
            </w:r>
          </w:p>
        </w:tc>
        <w:tc>
          <w:tcPr>
            <w:tcW w:type="dxa" w:w="2527"/>
            <w:tcMar>
              <w:top w:type="dxa" w:w="60"/>
              <w:left w:type="dxa" w:w="90"/>
              <w:bottom w:type="dxa" w:w="60"/>
              <w:right w:type="dxa" w:w="90"/>
            </w:tcMar>
          </w:tcPr>
          <w:p>
            <w:pPr>
              <w:spacing w:after="20" w:line="240"/>
            </w:pPr>
            <w:r>
              <w:rPr>
                <w:b w:val="false"/>
                <w:bCs w:val="false"/>
                <w:sz w:val="18"/>
                <w:szCs w:val="18"/>
              </w:rPr>
              <w:t xml:space="preserve">Accès complet en lecture aux preuves</w:t>
            </w:r>
          </w:p>
        </w:tc>
        <w:tc>
          <w:tcPr>
            <w:tcW w:type="dxa" w:w="2621"/>
            <w:tcMar>
              <w:top w:type="dxa" w:w="60"/>
              <w:left w:type="dxa" w:w="90"/>
              <w:bottom w:type="dxa" w:w="60"/>
              <w:right w:type="dxa" w:w="90"/>
            </w:tcMar>
          </w:tcPr>
          <w:p>
            <w:pPr>
              <w:spacing w:after="20" w:line="240"/>
            </w:pPr>
            <w:r>
              <w:rPr>
                <w:b w:val="false"/>
                <w:bCs w:val="false"/>
                <w:sz w:val="18"/>
                <w:szCs w:val="18"/>
              </w:rPr>
              <w:t xml:space="preserve">Extraire, tracer, signaler</w:t>
            </w:r>
          </w:p>
        </w:tc>
        <w:tc>
          <w:tcPr>
            <w:tcW w:type="dxa" w:w="2621"/>
            <w:tcMar>
              <w:top w:type="dxa" w:w="60"/>
              <w:left w:type="dxa" w:w="90"/>
              <w:bottom w:type="dxa" w:w="60"/>
              <w:right w:type="dxa" w:w="90"/>
            </w:tcMar>
          </w:tcPr>
          <w:p>
            <w:pPr>
              <w:spacing w:after="20" w:line="240"/>
            </w:pPr>
            <w:r>
              <w:rPr>
                <w:b w:val="false"/>
                <w:bCs w:val="false"/>
                <w:sz w:val="18"/>
                <w:szCs w:val="18"/>
              </w:rPr>
              <w:t xml:space="preserve">Modifier une donnée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Enquêteur anti-fraude</w:t>
            </w:r>
          </w:p>
        </w:tc>
        <w:tc>
          <w:tcPr>
            <w:tcW w:type="dxa" w:w="2527"/>
            <w:tcMar>
              <w:top w:type="dxa" w:w="60"/>
              <w:left w:type="dxa" w:w="90"/>
              <w:bottom w:type="dxa" w:w="60"/>
              <w:right w:type="dxa" w:w="90"/>
            </w:tcMar>
          </w:tcPr>
          <w:p>
            <w:pPr>
              <w:spacing w:after="20" w:line="240"/>
            </w:pPr>
            <w:r>
              <w:rPr>
                <w:b w:val="false"/>
                <w:bCs w:val="false"/>
                <w:sz w:val="18"/>
                <w:szCs w:val="18"/>
              </w:rPr>
              <w:t xml:space="preserve">Alertes, dossiers, liens</w:t>
            </w:r>
          </w:p>
        </w:tc>
        <w:tc>
          <w:tcPr>
            <w:tcW w:type="dxa" w:w="2621"/>
            <w:tcMar>
              <w:top w:type="dxa" w:w="60"/>
              <w:left w:type="dxa" w:w="90"/>
              <w:bottom w:type="dxa" w:w="60"/>
              <w:right w:type="dxa" w:w="90"/>
            </w:tcMar>
          </w:tcPr>
          <w:p>
            <w:pPr>
              <w:spacing w:after="20" w:line="240"/>
            </w:pPr>
            <w:r>
              <w:rPr>
                <w:b w:val="false"/>
                <w:bCs w:val="false"/>
                <w:sz w:val="18"/>
                <w:szCs w:val="18"/>
              </w:rPr>
              <w:t xml:space="preserve">Instruire, demander des pièces, saisir l'autorité</w:t>
            </w:r>
          </w:p>
        </w:tc>
        <w:tc>
          <w:tcPr>
            <w:tcW w:type="dxa" w:w="2621"/>
            <w:tcMar>
              <w:top w:type="dxa" w:w="60"/>
              <w:left w:type="dxa" w:w="90"/>
              <w:bottom w:type="dxa" w:w="60"/>
              <w:right w:type="dxa" w:w="90"/>
            </w:tcMar>
          </w:tcPr>
          <w:p>
            <w:pPr>
              <w:spacing w:after="20" w:line="240"/>
            </w:pPr>
            <w:r>
              <w:rPr>
                <w:b w:val="false"/>
                <w:bCs w:val="false"/>
                <w:sz w:val="18"/>
                <w:szCs w:val="18"/>
              </w:rPr>
              <w:t xml:space="preserve">Sanctionner sans décision compétente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Agent recenseur</w:t>
            </w:r>
          </w:p>
        </w:tc>
        <w:tc>
          <w:tcPr>
            <w:tcW w:type="dxa" w:w="2527"/>
            <w:tcMar>
              <w:top w:type="dxa" w:w="60"/>
              <w:left w:type="dxa" w:w="90"/>
              <w:bottom w:type="dxa" w:w="60"/>
              <w:right w:type="dxa" w:w="90"/>
            </w:tcMar>
          </w:tcPr>
          <w:p>
            <w:pPr>
              <w:spacing w:after="20" w:line="240"/>
            </w:pPr>
            <w:r>
              <w:rPr>
                <w:b w:val="false"/>
                <w:bCs w:val="false"/>
                <w:sz w:val="18"/>
                <w:szCs w:val="18"/>
              </w:rPr>
              <w:t xml:space="preserve">Zone et mission assignées</w:t>
            </w:r>
          </w:p>
        </w:tc>
        <w:tc>
          <w:tcPr>
            <w:tcW w:type="dxa" w:w="2621"/>
            <w:tcMar>
              <w:top w:type="dxa" w:w="60"/>
              <w:left w:type="dxa" w:w="90"/>
              <w:bottom w:type="dxa" w:w="60"/>
              <w:right w:type="dxa" w:w="90"/>
            </w:tcMar>
          </w:tcPr>
          <w:p>
            <w:pPr>
              <w:spacing w:after="20" w:line="240"/>
            </w:pPr>
            <w:r>
              <w:rPr>
                <w:b w:val="false"/>
                <w:bCs w:val="false"/>
                <w:sz w:val="18"/>
                <w:szCs w:val="18"/>
              </w:rPr>
              <w:t xml:space="preserve">Créer un objet provisoire, photographier, géolocaliser</w:t>
            </w:r>
          </w:p>
        </w:tc>
        <w:tc>
          <w:tcPr>
            <w:tcW w:type="dxa" w:w="2621"/>
            <w:tcMar>
              <w:top w:type="dxa" w:w="60"/>
              <w:left w:type="dxa" w:w="90"/>
              <w:bottom w:type="dxa" w:w="60"/>
              <w:right w:type="dxa" w:w="90"/>
            </w:tcMar>
          </w:tcPr>
          <w:p>
            <w:pPr>
              <w:spacing w:after="20" w:line="240"/>
            </w:pPr>
            <w:r>
              <w:rPr>
                <w:b w:val="false"/>
                <w:bCs w:val="false"/>
                <w:sz w:val="18"/>
                <w:szCs w:val="18"/>
              </w:rPr>
              <w:t xml:space="preserve">Encaisser, fixer une dette, déterminer la propriété</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Agent de constat et contrôleur</w:t>
            </w:r>
          </w:p>
        </w:tc>
        <w:tc>
          <w:tcPr>
            <w:tcW w:type="dxa" w:w="2527"/>
            <w:tcMar>
              <w:top w:type="dxa" w:w="60"/>
              <w:left w:type="dxa" w:w="90"/>
              <w:bottom w:type="dxa" w:w="60"/>
              <w:right w:type="dxa" w:w="90"/>
            </w:tcMar>
          </w:tcPr>
          <w:p>
            <w:pPr>
              <w:spacing w:after="20" w:line="240"/>
            </w:pPr>
            <w:r>
              <w:rPr>
                <w:b w:val="false"/>
                <w:bCs w:val="false"/>
                <w:sz w:val="18"/>
                <w:szCs w:val="18"/>
              </w:rPr>
              <w:t xml:space="preserve">Objets assignés, statut minimal nécessaire</w:t>
            </w:r>
          </w:p>
        </w:tc>
        <w:tc>
          <w:tcPr>
            <w:tcW w:type="dxa" w:w="2621"/>
            <w:tcMar>
              <w:top w:type="dxa" w:w="60"/>
              <w:left w:type="dxa" w:w="90"/>
              <w:bottom w:type="dxa" w:w="60"/>
              <w:right w:type="dxa" w:w="90"/>
            </w:tcMar>
          </w:tcPr>
          <w:p>
            <w:pPr>
              <w:spacing w:after="20" w:line="240"/>
            </w:pPr>
            <w:r>
              <w:rPr>
                <w:b w:val="false"/>
                <w:bCs w:val="false"/>
                <w:sz w:val="18"/>
                <w:szCs w:val="18"/>
              </w:rPr>
              <w:t xml:space="preserve">Constater, notifier, dresser procès-verbal selon ses pouvoirs</w:t>
            </w:r>
          </w:p>
        </w:tc>
        <w:tc>
          <w:tcPr>
            <w:tcW w:type="dxa" w:w="2621"/>
            <w:tcMar>
              <w:top w:type="dxa" w:w="60"/>
              <w:left w:type="dxa" w:w="90"/>
              <w:bottom w:type="dxa" w:w="60"/>
              <w:right w:type="dxa" w:w="90"/>
            </w:tcMar>
          </w:tcPr>
          <w:p>
            <w:pPr>
              <w:spacing w:after="20" w:line="240"/>
            </w:pPr>
            <w:r>
              <w:rPr>
                <w:b w:val="false"/>
                <w:bCs w:val="false"/>
                <w:sz w:val="18"/>
                <w:szCs w:val="18"/>
              </w:rPr>
              <w:t xml:space="preserve">Encaisser des espèces, annuler une dette</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Contribuable</w:t>
            </w:r>
          </w:p>
        </w:tc>
        <w:tc>
          <w:tcPr>
            <w:tcW w:type="dxa" w:w="2527"/>
            <w:tcMar>
              <w:top w:type="dxa" w:w="60"/>
              <w:left w:type="dxa" w:w="90"/>
              <w:bottom w:type="dxa" w:w="60"/>
              <w:right w:type="dxa" w:w="90"/>
            </w:tcMar>
          </w:tcPr>
          <w:p>
            <w:pPr>
              <w:spacing w:after="20" w:line="240"/>
            </w:pPr>
            <w:r>
              <w:rPr>
                <w:b w:val="false"/>
                <w:bCs w:val="false"/>
                <w:sz w:val="18"/>
                <w:szCs w:val="18"/>
              </w:rPr>
              <w:t xml:space="preserve">Ses objets, obligations, paiements, recours</w:t>
            </w:r>
          </w:p>
        </w:tc>
        <w:tc>
          <w:tcPr>
            <w:tcW w:type="dxa" w:w="2621"/>
            <w:tcMar>
              <w:top w:type="dxa" w:w="60"/>
              <w:left w:type="dxa" w:w="90"/>
              <w:bottom w:type="dxa" w:w="60"/>
              <w:right w:type="dxa" w:w="90"/>
            </w:tcMar>
          </w:tcPr>
          <w:p>
            <w:pPr>
              <w:spacing w:after="20" w:line="240"/>
            </w:pPr>
            <w:r>
              <w:rPr>
                <w:b w:val="false"/>
                <w:bCs w:val="false"/>
                <w:sz w:val="18"/>
                <w:szCs w:val="18"/>
              </w:rPr>
              <w:t xml:space="preserve">Déclarer, payer, contester, mandater</w:t>
            </w:r>
          </w:p>
        </w:tc>
        <w:tc>
          <w:tcPr>
            <w:tcW w:type="dxa" w:w="2621"/>
            <w:tcMar>
              <w:top w:type="dxa" w:w="60"/>
              <w:left w:type="dxa" w:w="90"/>
              <w:bottom w:type="dxa" w:w="60"/>
              <w:right w:type="dxa" w:w="90"/>
            </w:tcMar>
          </w:tcPr>
          <w:p>
            <w:pPr>
              <w:spacing w:after="20" w:line="240"/>
            </w:pPr>
            <w:r>
              <w:rPr>
                <w:b w:val="false"/>
                <w:bCs w:val="false"/>
                <w:sz w:val="18"/>
                <w:szCs w:val="18"/>
              </w:rPr>
              <w:t xml:space="preserve">Voir les données d'un tiers</w:t>
            </w:r>
          </w:p>
        </w:tc>
      </w:tr>
      <w:tr>
        <w:trPr>
          <w:tblHeader w:val="false"/>
        </w:trPr>
        <w:tc>
          <w:tcPr>
            <w:tcW w:type="dxa" w:w="1591"/>
            <w:tcMar>
              <w:top w:type="dxa" w:w="60"/>
              <w:left w:type="dxa" w:w="90"/>
              <w:bottom w:type="dxa" w:w="60"/>
              <w:right w:type="dxa" w:w="90"/>
            </w:tcMar>
          </w:tcPr>
          <w:p>
            <w:pPr>
              <w:spacing w:after="20" w:line="240"/>
            </w:pPr>
            <w:r>
              <w:rPr>
                <w:b w:val="false"/>
                <w:bCs w:val="false"/>
                <w:sz w:val="18"/>
                <w:szCs w:val="18"/>
              </w:rPr>
              <w:t xml:space="preserve">Partenaire externe</w:t>
            </w:r>
          </w:p>
        </w:tc>
        <w:tc>
          <w:tcPr>
            <w:tcW w:type="dxa" w:w="2527"/>
            <w:tcMar>
              <w:top w:type="dxa" w:w="60"/>
              <w:left w:type="dxa" w:w="90"/>
              <w:bottom w:type="dxa" w:w="60"/>
              <w:right w:type="dxa" w:w="90"/>
            </w:tcMar>
          </w:tcPr>
          <w:p>
            <w:pPr>
              <w:spacing w:after="20" w:line="240"/>
            </w:pPr>
            <w:r>
              <w:rPr>
                <w:b w:val="false"/>
                <w:bCs w:val="false"/>
                <w:sz w:val="18"/>
                <w:szCs w:val="18"/>
              </w:rPr>
              <w:t xml:space="preserve">Strictement les points d'API contractés</w:t>
            </w:r>
          </w:p>
        </w:tc>
        <w:tc>
          <w:tcPr>
            <w:tcW w:type="dxa" w:w="2621"/>
            <w:tcMar>
              <w:top w:type="dxa" w:w="60"/>
              <w:left w:type="dxa" w:w="90"/>
              <w:bottom w:type="dxa" w:w="60"/>
              <w:right w:type="dxa" w:w="90"/>
            </w:tcMar>
          </w:tcPr>
          <w:p>
            <w:pPr>
              <w:spacing w:after="20" w:line="240"/>
            </w:pPr>
            <w:r>
              <w:rPr>
                <w:b w:val="false"/>
                <w:bCs w:val="false"/>
                <w:sz w:val="18"/>
                <w:szCs w:val="18"/>
              </w:rPr>
              <w:t xml:space="preserve">Confirmer un paiement, transmettre un jeu de données convenu</w:t>
            </w:r>
          </w:p>
        </w:tc>
        <w:tc>
          <w:tcPr>
            <w:tcW w:type="dxa" w:w="2621"/>
            <w:tcMar>
              <w:top w:type="dxa" w:w="60"/>
              <w:left w:type="dxa" w:w="90"/>
              <w:bottom w:type="dxa" w:w="60"/>
              <w:right w:type="dxa" w:w="90"/>
            </w:tcMar>
          </w:tcPr>
          <w:p>
            <w:pPr>
              <w:spacing w:after="20" w:line="240"/>
            </w:pPr>
            <w:r>
              <w:rPr>
                <w:b w:val="false"/>
                <w:bCs w:val="false"/>
                <w:sz w:val="18"/>
                <w:szCs w:val="18"/>
              </w:rPr>
              <w:t xml:space="preserve">Interroger le registre au-delà de son objet</w:t>
            </w:r>
          </w:p>
        </w:tc>
      </w:tr>
    </w:tbl>
    <w:p>
      <w:pPr>
        <w:pStyle w:val="Heading2"/>
        <w:spacing w:after="120" w:before="260"/>
      </w:pPr>
      <w:r>
        <w:t xml:space="preserve">12.1 Contrôles transverses</w:t>
      </w:r>
    </w:p>
    <w:p>
      <w:pPr>
        <w:pStyle w:val="ListItem"/>
        <w:numPr>
          <w:ilvl w:val="0"/>
          <w:numId w:val="1"/>
        </w:numPr>
        <w:spacing w:after="60" w:line="264"/>
      </w:pPr>
      <w:r>
        <w:t xml:space="preserve">Moindre privilège et séparation des fonctions appliquées par conception, non par consigne.</w:t>
      </w:r>
    </w:p>
    <w:p>
      <w:pPr>
        <w:pStyle w:val="ListItem"/>
        <w:numPr>
          <w:ilvl w:val="0"/>
          <w:numId w:val="1"/>
        </w:numPr>
        <w:spacing w:after="60" w:line="264"/>
      </w:pPr>
      <w:r>
        <w:t xml:space="preserve">Double validation et quatre yeux pour : publication d'une règle, changement de compte bénéficiaire, annulation, remboursement, exonération, fusion d'identités, extraction massive.</w:t>
      </w:r>
    </w:p>
    <w:p>
      <w:pPr>
        <w:pStyle w:val="ListItem"/>
        <w:numPr>
          <w:ilvl w:val="0"/>
          <w:numId w:val="1"/>
        </w:numPr>
        <w:spacing w:after="60" w:line="264"/>
      </w:pPr>
      <w:r>
        <w:t xml:space="preserve">Accès privilégié juste-à-temps : élévation temporaire, motivée, tracée et expirant automatiquement.</w:t>
      </w:r>
    </w:p>
    <w:p>
      <w:pPr>
        <w:pStyle w:val="ListItem"/>
        <w:numPr>
          <w:ilvl w:val="0"/>
          <w:numId w:val="1"/>
        </w:numPr>
        <w:spacing w:after="60" w:line="264"/>
      </w:pPr>
      <w:r>
        <w:t xml:space="preserve">Authentification multifacteur pour tout utilisateur interne ; authentification résistante au hameçonnage pour les rôles sensibles.</w:t>
      </w:r>
    </w:p>
    <w:p>
      <w:pPr>
        <w:pStyle w:val="ListItem"/>
        <w:numPr>
          <w:ilvl w:val="0"/>
          <w:numId w:val="1"/>
        </w:numPr>
        <w:spacing w:after="60" w:line="264"/>
      </w:pPr>
      <w:r>
        <w:t xml:space="preserve">Liaison appareil–utilisateur pour les agents terrain, avec révocation à distance.</w:t>
      </w:r>
    </w:p>
    <w:p>
      <w:pPr>
        <w:pStyle w:val="ListItem"/>
        <w:numPr>
          <w:ilvl w:val="0"/>
          <w:numId w:val="1"/>
        </w:numPr>
        <w:spacing w:after="60" w:line="264"/>
      </w:pPr>
      <w:r>
        <w:t xml:space="preserve">Revue trimestrielle des habilitations et détection automatique des conflits d'intérêts.</w:t>
      </w:r>
    </w:p>
    <w:p>
      <w:pPr>
        <w:pStyle w:val="ListItem"/>
        <w:numPr>
          <w:ilvl w:val="0"/>
          <w:numId w:val="1"/>
        </w:numPr>
        <w:spacing w:after="60" w:line="264"/>
      </w:pPr>
      <w:r>
        <w:t xml:space="preserve">Journalisation intégrale, y compris des simples consultations de dossiers individuels.</w:t>
      </w:r>
    </w:p>
    <w:p>
      <w:pPr>
        <w:pBdr>
          <w:left w:val="single" w:color="1BA996" w:sz="18" w:space="8"/>
        </w:pBdr>
        <w:spacing w:after="160" w:before="120" w:line="264"/>
        <w:ind w:left="180"/>
      </w:pPr>
      <w:r>
        <w:rPr>
          <w:b/>
          <w:bCs/>
          <w:color w:val="10262C"/>
          <w:sz w:val="20"/>
          <w:szCs w:val="20"/>
        </w:rPr>
        <w:t xml:space="preserve">Principe non négociable. </w:t>
      </w:r>
      <w:r>
        <w:rPr>
          <w:sz w:val="20"/>
          <w:szCs w:val="20"/>
        </w:rPr>
        <w:t xml:space="preserve">Aucune personne, quel que soit son rang, ne peut à elle seule modifier une information financière critique sans que l'action soit détectable, attribuable et prouvable.</w:t>
      </w:r>
    </w:p>
    <w:p>
      <w:pPr>
        <w:pStyle w:val="Heading1"/>
        <w:spacing w:after="160" w:before="360"/>
      </w:pPr>
      <w:r>
        <w:t xml:space="preserve">13. Parcours du contribuable</w:t>
      </w:r>
    </w:p>
    <w:p>
      <w:pPr>
        <w:pStyle w:val="Heading2"/>
        <w:spacing w:after="120" w:before="260"/>
      </w:pPr>
      <w:r>
        <w:t xml:space="preserve">13.1 Enrôlement et rattachement d'un bien</w:t>
      </w:r>
    </w:p>
    <w:p>
      <w:pPr>
        <w:spacing w:after="60" w:line="264"/>
        <w:ind w:left="360" w:hanging="260"/>
      </w:pPr>
      <w:r>
        <w:rPr>
          <w:b/>
          <w:bCs/>
          <w:sz w:val="21"/>
          <w:szCs w:val="21"/>
        </w:rPr>
        <w:t xml:space="preserve">1. </w:t>
      </w:r>
      <w:r>
        <w:rPr>
          <w:sz w:val="21"/>
          <w:szCs w:val="21"/>
        </w:rPr>
        <w:t xml:space="preserve">L'utilisateur crée son compte avec son numéro de téléphone et une pièce d'identité ; il indique son rôle.</w:t>
      </w:r>
    </w:p>
    <w:p>
      <w:pPr>
        <w:spacing w:after="60" w:line="264"/>
        <w:ind w:left="360" w:hanging="260"/>
      </w:pPr>
      <w:r>
        <w:rPr>
          <w:b/>
          <w:bCs/>
          <w:sz w:val="21"/>
          <w:szCs w:val="21"/>
        </w:rPr>
        <w:t xml:space="preserve">2. </w:t>
      </w:r>
      <w:r>
        <w:rPr>
          <w:sz w:val="21"/>
          <w:szCs w:val="21"/>
        </w:rPr>
        <w:t xml:space="preserve">Il déclare un objet : parcelle, unité louée, commerce, véhicule, panneau, embarcation.</w:t>
      </w:r>
    </w:p>
    <w:p>
      <w:pPr>
        <w:spacing w:after="60" w:line="264"/>
        <w:ind w:left="360" w:hanging="260"/>
      </w:pPr>
      <w:r>
        <w:rPr>
          <w:b/>
          <w:bCs/>
          <w:sz w:val="21"/>
          <w:szCs w:val="21"/>
        </w:rPr>
        <w:t xml:space="preserve">3. </w:t>
      </w:r>
      <w:r>
        <w:rPr>
          <w:sz w:val="21"/>
          <w:szCs w:val="21"/>
        </w:rPr>
        <w:t xml:space="preserve">Le système géolocalise l'objet, attribue un identifiant géographique provisoire et demande les pièces utiles.</w:t>
      </w:r>
    </w:p>
    <w:p>
      <w:pPr>
        <w:spacing w:after="60" w:line="264"/>
        <w:ind w:left="360" w:hanging="260"/>
      </w:pPr>
      <w:r>
        <w:rPr>
          <w:b/>
          <w:bCs/>
          <w:sz w:val="21"/>
          <w:szCs w:val="21"/>
        </w:rPr>
        <w:t xml:space="preserve">4. </w:t>
      </w:r>
      <w:r>
        <w:rPr>
          <w:sz w:val="21"/>
          <w:szCs w:val="21"/>
        </w:rPr>
        <w:t xml:space="preserve">Le moteur de règles affiche uniquement les obligations effectivement applicables à cet objet, à cette localisation et à cette période.</w:t>
      </w:r>
    </w:p>
    <w:p>
      <w:pPr>
        <w:spacing w:after="60" w:line="264"/>
        <w:ind w:left="360" w:hanging="260"/>
      </w:pPr>
      <w:r>
        <w:rPr>
          <w:b/>
          <w:bCs/>
          <w:sz w:val="21"/>
          <w:szCs w:val="21"/>
        </w:rPr>
        <w:t xml:space="preserve">5. </w:t>
      </w:r>
      <w:r>
        <w:rPr>
          <w:sz w:val="21"/>
          <w:szCs w:val="21"/>
        </w:rPr>
        <w:t xml:space="preserve">Après vérification, l'objet passe en statut vérifié et l'obligation devient exigible à l'échéance légale.</w:t>
      </w:r>
    </w:p>
    <w:p>
      <w:pPr>
        <w:pStyle w:val="Heading2"/>
        <w:spacing w:after="120" w:before="260"/>
      </w:pPr>
      <w:r>
        <w:t xml:space="preserve">13.2 Déclaration et paiement annuels</w:t>
      </w:r>
    </w:p>
    <w:p>
      <w:pPr>
        <w:spacing w:after="120" w:line="276"/>
        <w:jc w:val="both"/>
      </w:pPr>
      <w:r>
        <w:rPr>
          <w:b w:val="false"/>
          <w:bCs w:val="false"/>
          <w:i w:val="false"/>
          <w:iCs w:val="false"/>
          <w:sz w:val="21"/>
          <w:szCs w:val="21"/>
        </w:rPr>
        <w:t xml:space="preserve">Pour un objet déjà recensé, la déclaration arrive pré-remplie : le contribuable confirme ou conteste, choisit son canal de paiement, reçoit une référence unique, paie depuis son téléphone et obtient une quittance signée avec code QR. En cas d'échéancier autorisé, le calendrier s'affiche avec rappels automatiques.</w:t>
      </w:r>
    </w:p>
    <w:p>
      <w:pPr>
        <w:pStyle w:val="Heading2"/>
        <w:spacing w:after="120" w:before="260"/>
      </w:pPr>
      <w:r>
        <w:t xml:space="preserve">13.3 Parcours locataire</w:t>
      </w:r>
    </w:p>
    <w:p>
      <w:pPr>
        <w:spacing w:after="120" w:line="276"/>
        <w:jc w:val="both"/>
      </w:pPr>
      <w:r>
        <w:rPr>
          <w:b w:val="false"/>
          <w:bCs w:val="false"/>
          <w:i w:val="false"/>
          <w:iCs w:val="false"/>
          <w:sz w:val="21"/>
          <w:szCs w:val="21"/>
        </w:rPr>
        <w:t xml:space="preserve">Le locataire enregistre son bail en quelques minutes ; le système calcule la retenue légale applicable et lui délivre une attestation de bail enregistré, utile en cas de litige locatif. Le bailleur voit apparaître le bail dans son espace et régularise sa situation annuelle. Ce parcours crée un intérêt propre à déclarer, au lieu de reposer uniquement sur la contrainte.</w:t>
      </w:r>
    </w:p>
    <w:p>
      <w:pPr>
        <w:pStyle w:val="Heading2"/>
        <w:spacing w:after="120" w:before="260"/>
      </w:pPr>
      <w:r>
        <w:t xml:space="preserve">13.4 Contestation</w:t>
      </w:r>
    </w:p>
    <w:p>
      <w:pPr>
        <w:spacing w:after="120" w:line="276"/>
        <w:jc w:val="both"/>
      </w:pPr>
      <w:r>
        <w:rPr>
          <w:b w:val="false"/>
          <w:bCs w:val="false"/>
          <w:i w:val="false"/>
          <w:iCs w:val="false"/>
          <w:sz w:val="21"/>
          <w:szCs w:val="21"/>
        </w:rPr>
        <w:t xml:space="preserve">Depuis chaque objet, le bouton « Contester une donnée » ouvre une réclamation typée : bien non détenu, activité fermée, véhicule vendu, information erronée, double imposition. La réclamation suspend ou non l'exigibilité selon la règle légale applicable, est horodatée, affectée au service compétent et suivie jusqu'à la décision motivée.</w:t>
      </w:r>
    </w:p>
    <w:p>
      <w:pPr>
        <w:pStyle w:val="Heading2"/>
        <w:spacing w:after="120" w:before="260"/>
      </w:pPr>
      <w:r>
        <w:t xml:space="preserve">13.5 Parcours diaspora</w:t>
      </w:r>
    </w:p>
    <w:p>
      <w:pPr>
        <w:spacing w:after="120" w:line="276"/>
        <w:jc w:val="both"/>
      </w:pPr>
      <w:r>
        <w:rPr>
          <w:b w:val="false"/>
          <w:bCs w:val="false"/>
          <w:i w:val="false"/>
          <w:iCs w:val="false"/>
          <w:sz w:val="21"/>
          <w:szCs w:val="21"/>
        </w:rPr>
        <w:t xml:space="preserve">Le propriétaire résidant à l'étranger s'authentifie, paie par carte dans une devise autorisée, désigne un mandataire local dont les droits sont limités à des actions précises et révocables, et télécharge ses quittances. Chaque acte du mandataire est notifié au mandant.</w:t>
      </w:r>
    </w:p>
    <w:p>
      <w:pPr>
        <w:pStyle w:val="Heading1"/>
        <w:spacing w:after="160" w:before="360"/>
      </w:pPr>
      <w:r>
        <w:t xml:space="preserve">14. Parcours des utilisateurs gouvernementaux</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872"/>
        <w:gridCol w:w="4493"/>
        <w:gridCol w:w="2995"/>
      </w:tblGrid>
      <w:tr>
        <w:trPr>
          <w:tblHeader/>
        </w:trPr>
        <w:tc>
          <w:tcPr>
            <w:tcW w:type="dxa" w:w="1872"/>
            <w:shd w:fill="E6F4F1" w:color="auto" w:val="clear"/>
            <w:tcMar>
              <w:top w:type="dxa" w:w="60"/>
              <w:left w:type="dxa" w:w="90"/>
              <w:bottom w:type="dxa" w:w="60"/>
              <w:right w:type="dxa" w:w="90"/>
            </w:tcMar>
          </w:tcPr>
          <w:p>
            <w:pPr>
              <w:spacing w:after="20" w:line="240"/>
            </w:pPr>
            <w:r>
              <w:rPr>
                <w:b/>
                <w:bCs/>
                <w:sz w:val="18"/>
                <w:szCs w:val="18"/>
              </w:rPr>
              <w:t xml:space="preserve">Utilisateur</w:t>
            </w:r>
          </w:p>
        </w:tc>
        <w:tc>
          <w:tcPr>
            <w:tcW w:type="dxa" w:w="4493"/>
            <w:shd w:fill="E6F4F1" w:color="auto" w:val="clear"/>
            <w:tcMar>
              <w:top w:type="dxa" w:w="60"/>
              <w:left w:type="dxa" w:w="90"/>
              <w:bottom w:type="dxa" w:w="60"/>
              <w:right w:type="dxa" w:w="90"/>
            </w:tcMar>
          </w:tcPr>
          <w:p>
            <w:pPr>
              <w:spacing w:after="20" w:line="240"/>
            </w:pPr>
            <w:r>
              <w:rPr>
                <w:b/>
                <w:bCs/>
                <w:sz w:val="18"/>
                <w:szCs w:val="18"/>
              </w:rPr>
              <w:t xml:space="preserve">Parcours type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Résultat attendu</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Gouverneur</w:t>
            </w:r>
          </w:p>
        </w:tc>
        <w:tc>
          <w:tcPr>
            <w:tcW w:type="dxa" w:w="4493"/>
            <w:tcMar>
              <w:top w:type="dxa" w:w="60"/>
              <w:left w:type="dxa" w:w="90"/>
              <w:bottom w:type="dxa" w:w="60"/>
              <w:right w:type="dxa" w:w="90"/>
            </w:tcMar>
          </w:tcPr>
          <w:p>
            <w:pPr>
              <w:spacing w:after="20" w:line="240"/>
            </w:pPr>
            <w:r>
              <w:rPr>
                <w:b w:val="false"/>
                <w:bCs w:val="false"/>
                <w:sz w:val="18"/>
                <w:szCs w:val="18"/>
              </w:rPr>
              <w:t xml:space="preserve">Ouverture du centre de commandement, lecture des écarts du jour, ouverture d'une commune en difficulté, demande d'explication au responsable</w:t>
            </w:r>
          </w:p>
        </w:tc>
        <w:tc>
          <w:tcPr>
            <w:tcW w:type="dxa" w:w="2995"/>
            <w:tcMar>
              <w:top w:type="dxa" w:w="60"/>
              <w:left w:type="dxa" w:w="90"/>
              <w:bottom w:type="dxa" w:w="60"/>
              <w:right w:type="dxa" w:w="90"/>
            </w:tcMar>
          </w:tcPr>
          <w:p>
            <w:pPr>
              <w:spacing w:after="20" w:line="240"/>
            </w:pPr>
            <w:r>
              <w:rPr>
                <w:b w:val="false"/>
                <w:bCs w:val="false"/>
                <w:sz w:val="18"/>
                <w:szCs w:val="18"/>
              </w:rPr>
              <w:t xml:space="preserve">Décision documentée et tracée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Ministre provincial des Finances</w:t>
            </w:r>
          </w:p>
        </w:tc>
        <w:tc>
          <w:tcPr>
            <w:tcW w:type="dxa" w:w="4493"/>
            <w:tcMar>
              <w:top w:type="dxa" w:w="60"/>
              <w:left w:type="dxa" w:w="90"/>
              <w:bottom w:type="dxa" w:w="60"/>
              <w:right w:type="dxa" w:w="90"/>
            </w:tcMar>
          </w:tcPr>
          <w:p>
            <w:pPr>
              <w:spacing w:after="20" w:line="240"/>
            </w:pPr>
            <w:r>
              <w:rPr>
                <w:b w:val="false"/>
                <w:bCs w:val="false"/>
                <w:sz w:val="18"/>
                <w:szCs w:val="18"/>
              </w:rPr>
              <w:t xml:space="preserve">Revue des assignations, validation des campagnes, suivi des exceptions de trésorerie</w:t>
            </w:r>
          </w:p>
        </w:tc>
        <w:tc>
          <w:tcPr>
            <w:tcW w:type="dxa" w:w="2995"/>
            <w:tcMar>
              <w:top w:type="dxa" w:w="60"/>
              <w:left w:type="dxa" w:w="90"/>
              <w:bottom w:type="dxa" w:w="60"/>
              <w:right w:type="dxa" w:w="90"/>
            </w:tcMar>
          </w:tcPr>
          <w:p>
            <w:pPr>
              <w:spacing w:after="20" w:line="240"/>
            </w:pPr>
            <w:r>
              <w:rPr>
                <w:b w:val="false"/>
                <w:bCs w:val="false"/>
                <w:sz w:val="18"/>
                <w:szCs w:val="18"/>
              </w:rPr>
              <w:t xml:space="preserve">Pilotage budgétaire fondé sur le rapproché, non sur le déclaré</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Directeur de régie</w:t>
            </w:r>
          </w:p>
        </w:tc>
        <w:tc>
          <w:tcPr>
            <w:tcW w:type="dxa" w:w="4493"/>
            <w:tcMar>
              <w:top w:type="dxa" w:w="60"/>
              <w:left w:type="dxa" w:w="90"/>
              <w:bottom w:type="dxa" w:w="60"/>
              <w:right w:type="dxa" w:w="90"/>
            </w:tcMar>
          </w:tcPr>
          <w:p>
            <w:pPr>
              <w:spacing w:after="20" w:line="240"/>
            </w:pPr>
            <w:r>
              <w:rPr>
                <w:b w:val="false"/>
                <w:bCs w:val="false"/>
                <w:sz w:val="18"/>
                <w:szCs w:val="18"/>
              </w:rPr>
              <w:t xml:space="preserve">Affectation des zones, suivi des agents, validation des notifications, gestion du contentieux</w:t>
            </w:r>
          </w:p>
        </w:tc>
        <w:tc>
          <w:tcPr>
            <w:tcW w:type="dxa" w:w="2995"/>
            <w:tcMar>
              <w:top w:type="dxa" w:w="60"/>
              <w:left w:type="dxa" w:w="90"/>
              <w:bottom w:type="dxa" w:w="60"/>
              <w:right w:type="dxa" w:w="90"/>
            </w:tcMar>
          </w:tcPr>
          <w:p>
            <w:pPr>
              <w:spacing w:after="20" w:line="240"/>
            </w:pPr>
            <w:r>
              <w:rPr>
                <w:b w:val="false"/>
                <w:bCs w:val="false"/>
                <w:sz w:val="18"/>
                <w:szCs w:val="18"/>
              </w:rPr>
              <w:t xml:space="preserve">Charge de travail priorisée par potentiel et risque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Chef de centre communal</w:t>
            </w:r>
          </w:p>
        </w:tc>
        <w:tc>
          <w:tcPr>
            <w:tcW w:type="dxa" w:w="4493"/>
            <w:tcMar>
              <w:top w:type="dxa" w:w="60"/>
              <w:left w:type="dxa" w:w="90"/>
              <w:bottom w:type="dxa" w:w="60"/>
              <w:right w:type="dxa" w:w="90"/>
            </w:tcMar>
          </w:tcPr>
          <w:p>
            <w:pPr>
              <w:spacing w:after="20" w:line="240"/>
            </w:pPr>
            <w:r>
              <w:rPr>
                <w:b w:val="false"/>
                <w:bCs w:val="false"/>
                <w:sz w:val="18"/>
                <w:szCs w:val="18"/>
              </w:rPr>
              <w:t xml:space="preserve">Revue des objets non enregistrés de sa zone, planification des missions, suivi des régularisations</w:t>
            </w:r>
          </w:p>
        </w:tc>
        <w:tc>
          <w:tcPr>
            <w:tcW w:type="dxa" w:w="2995"/>
            <w:tcMar>
              <w:top w:type="dxa" w:w="60"/>
              <w:left w:type="dxa" w:w="90"/>
              <w:bottom w:type="dxa" w:w="60"/>
              <w:right w:type="dxa" w:w="90"/>
            </w:tcMar>
          </w:tcPr>
          <w:p>
            <w:pPr>
              <w:spacing w:after="20" w:line="240"/>
            </w:pPr>
            <w:r>
              <w:rPr>
                <w:b w:val="false"/>
                <w:bCs w:val="false"/>
                <w:sz w:val="18"/>
                <w:szCs w:val="18"/>
              </w:rPr>
              <w:t xml:space="preserve">Couverture progressive et mesurable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Juriste provincial</w:t>
            </w:r>
          </w:p>
        </w:tc>
        <w:tc>
          <w:tcPr>
            <w:tcW w:type="dxa" w:w="4493"/>
            <w:tcMar>
              <w:top w:type="dxa" w:w="60"/>
              <w:left w:type="dxa" w:w="90"/>
              <w:bottom w:type="dxa" w:w="60"/>
              <w:right w:type="dxa" w:w="90"/>
            </w:tcMar>
          </w:tcPr>
          <w:p>
            <w:pPr>
              <w:spacing w:after="20" w:line="240"/>
            </w:pPr>
            <w:r>
              <w:rPr>
                <w:b w:val="false"/>
                <w:bCs w:val="false"/>
                <w:sz w:val="18"/>
                <w:szCs w:val="18"/>
              </w:rPr>
              <w:t xml:space="preserve">Rédaction et proposition d'une fiche de recette, mise à jour après nouvel édit</w:t>
            </w:r>
          </w:p>
        </w:tc>
        <w:tc>
          <w:tcPr>
            <w:tcW w:type="dxa" w:w="2995"/>
            <w:tcMar>
              <w:top w:type="dxa" w:w="60"/>
              <w:left w:type="dxa" w:w="90"/>
              <w:bottom w:type="dxa" w:w="60"/>
              <w:right w:type="dxa" w:w="90"/>
            </w:tcMar>
          </w:tcPr>
          <w:p>
            <w:pPr>
              <w:spacing w:after="20" w:line="240"/>
            </w:pPr>
            <w:r>
              <w:rPr>
                <w:b w:val="false"/>
                <w:bCs w:val="false"/>
                <w:sz w:val="18"/>
                <w:szCs w:val="18"/>
              </w:rPr>
              <w:t xml:space="preserve">Référentiel toujours conforme au droit en vigueur</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Comptable public</w:t>
            </w:r>
          </w:p>
        </w:tc>
        <w:tc>
          <w:tcPr>
            <w:tcW w:type="dxa" w:w="4493"/>
            <w:tcMar>
              <w:top w:type="dxa" w:w="60"/>
              <w:left w:type="dxa" w:w="90"/>
              <w:bottom w:type="dxa" w:w="60"/>
              <w:right w:type="dxa" w:w="90"/>
            </w:tcMar>
          </w:tcPr>
          <w:p>
            <w:pPr>
              <w:spacing w:after="20" w:line="240"/>
            </w:pPr>
            <w:r>
              <w:rPr>
                <w:b w:val="false"/>
                <w:bCs w:val="false"/>
                <w:sz w:val="18"/>
                <w:szCs w:val="18"/>
              </w:rPr>
              <w:t xml:space="preserve">Lecture des relevés, imputation, traitement des écarts</w:t>
            </w:r>
          </w:p>
        </w:tc>
        <w:tc>
          <w:tcPr>
            <w:tcW w:type="dxa" w:w="2995"/>
            <w:tcMar>
              <w:top w:type="dxa" w:w="60"/>
              <w:left w:type="dxa" w:w="90"/>
              <w:bottom w:type="dxa" w:w="60"/>
              <w:right w:type="dxa" w:w="90"/>
            </w:tcMar>
          </w:tcPr>
          <w:p>
            <w:pPr>
              <w:spacing w:after="20" w:line="240"/>
            </w:pPr>
            <w:r>
              <w:rPr>
                <w:b w:val="false"/>
                <w:bCs w:val="false"/>
                <w:sz w:val="18"/>
                <w:szCs w:val="18"/>
              </w:rPr>
              <w:t xml:space="preserve">Rapprochement quotidien sans saisie manuelle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Auditeur</w:t>
            </w:r>
          </w:p>
        </w:tc>
        <w:tc>
          <w:tcPr>
            <w:tcW w:type="dxa" w:w="4493"/>
            <w:tcMar>
              <w:top w:type="dxa" w:w="60"/>
              <w:left w:type="dxa" w:w="90"/>
              <w:bottom w:type="dxa" w:w="60"/>
              <w:right w:type="dxa" w:w="90"/>
            </w:tcMar>
          </w:tcPr>
          <w:p>
            <w:pPr>
              <w:spacing w:after="20" w:line="240"/>
            </w:pPr>
            <w:r>
              <w:rPr>
                <w:b w:val="false"/>
                <w:bCs w:val="false"/>
                <w:sz w:val="18"/>
                <w:szCs w:val="18"/>
              </w:rPr>
              <w:t xml:space="preserve">Sélection d'un échantillon, reconstitution d'une chaîne complète, extraction probante</w:t>
            </w:r>
          </w:p>
        </w:tc>
        <w:tc>
          <w:tcPr>
            <w:tcW w:type="dxa" w:w="2995"/>
            <w:tcMar>
              <w:top w:type="dxa" w:w="60"/>
              <w:left w:type="dxa" w:w="90"/>
              <w:bottom w:type="dxa" w:w="60"/>
              <w:right w:type="dxa" w:w="90"/>
            </w:tcMar>
          </w:tcPr>
          <w:p>
            <w:pPr>
              <w:spacing w:after="20" w:line="240"/>
            </w:pPr>
            <w:r>
              <w:rPr>
                <w:b w:val="false"/>
                <w:bCs w:val="false"/>
                <w:sz w:val="18"/>
                <w:szCs w:val="18"/>
              </w:rPr>
              <w:t xml:space="preserve">Preuve opposable</w:t>
            </w:r>
          </w:p>
        </w:tc>
      </w:tr>
    </w:tbl>
    <w:p>
      <w:pPr>
        <w:pStyle w:val="Heading1"/>
        <w:spacing w:after="160" w:before="360"/>
      </w:pPr>
      <w:r>
        <w:t xml:space="preserve">15. Parcours de l'agent de terrain</w:t>
      </w:r>
    </w:p>
    <w:p>
      <w:pPr>
        <w:pStyle w:val="Heading2"/>
        <w:spacing w:after="120" w:before="260"/>
      </w:pPr>
      <w:r>
        <w:t xml:space="preserve">15.1 Avant la mission</w:t>
      </w:r>
    </w:p>
    <w:p>
      <w:pPr>
        <w:spacing w:after="120" w:line="276"/>
        <w:jc w:val="both"/>
      </w:pPr>
      <w:r>
        <w:rPr>
          <w:b w:val="false"/>
          <w:bCs w:val="false"/>
          <w:i w:val="false"/>
          <w:iCs w:val="false"/>
          <w:sz w:val="21"/>
          <w:szCs w:val="21"/>
        </w:rPr>
        <w:t xml:space="preserve">L'agent reçoit une mission bornée dans le temps et dans l'espace : liste d'objets, itinéraire optimisé, documents nécessaires, consignes de sécurité. Les données sont téléchargées sur un terminal enregistré et chiffré, avec une date d'expiration automatique.</w:t>
      </w:r>
    </w:p>
    <w:p>
      <w:pPr>
        <w:pStyle w:val="Heading2"/>
        <w:spacing w:after="120" w:before="260"/>
      </w:pPr>
      <w:r>
        <w:t xml:space="preserve">15.2 Sur le terrain</w:t>
      </w:r>
    </w:p>
    <w:p>
      <w:pPr>
        <w:pStyle w:val="ListItem"/>
        <w:numPr>
          <w:ilvl w:val="0"/>
          <w:numId w:val="1"/>
        </w:numPr>
        <w:spacing w:after="60" w:line="264"/>
      </w:pPr>
      <w:r>
        <w:t xml:space="preserve">Localiser l'objet assigné, vérifier son existence et son état.</w:t>
      </w:r>
    </w:p>
    <w:p>
      <w:pPr>
        <w:pStyle w:val="ListItem"/>
        <w:numPr>
          <w:ilvl w:val="0"/>
          <w:numId w:val="1"/>
        </w:numPr>
        <w:spacing w:after="60" w:line="264"/>
      </w:pPr>
      <w:r>
        <w:t xml:space="preserve">Scanner le code QR de l'objet lorsqu'il existe, ou créer un objet provisoire lorsqu'il n'existe pas.</w:t>
      </w:r>
    </w:p>
    <w:p>
      <w:pPr>
        <w:pStyle w:val="ListItem"/>
        <w:numPr>
          <w:ilvl w:val="0"/>
          <w:numId w:val="1"/>
        </w:numPr>
        <w:spacing w:after="60" w:line="264"/>
      </w:pPr>
      <w:r>
        <w:t xml:space="preserve">Enregistrer les coordonnées, photographier selon un protocole contrôlé, saisir les caractéristiques.</w:t>
      </w:r>
    </w:p>
    <w:p>
      <w:pPr>
        <w:pStyle w:val="ListItem"/>
        <w:numPr>
          <w:ilvl w:val="0"/>
          <w:numId w:val="1"/>
        </w:numPr>
        <w:spacing w:after="60" w:line="264"/>
      </w:pPr>
      <w:r>
        <w:t xml:space="preserve">Constater l'occupation déclarée sans conclure à la propriété.</w:t>
      </w:r>
    </w:p>
    <w:p>
      <w:pPr>
        <w:pStyle w:val="ListItem"/>
        <w:numPr>
          <w:ilvl w:val="0"/>
          <w:numId w:val="1"/>
        </w:numPr>
        <w:spacing w:after="60" w:line="264"/>
      </w:pPr>
      <w:r>
        <w:t xml:space="preserve">Émettre une notification numérique lorsque la loi l'y autorise, recueillir une signature ou enregistrer un refus.</w:t>
      </w:r>
    </w:p>
    <w:p>
      <w:pPr>
        <w:pStyle w:val="ListItem"/>
        <w:numPr>
          <w:ilvl w:val="0"/>
          <w:numId w:val="1"/>
        </w:numPr>
        <w:spacing w:after="60" w:line="264"/>
      </w:pPr>
      <w:r>
        <w:t xml:space="preserve">Ne recevoir aucun paiement : le contribuable paie lui-même depuis son téléphone ou en banque.</w:t>
      </w:r>
    </w:p>
    <w:p>
      <w:pPr>
        <w:pStyle w:val="Heading2"/>
        <w:spacing w:after="120" w:before="260"/>
      </w:pPr>
      <w:r>
        <w:t xml:space="preserve">15.3 Après la mission</w:t>
      </w:r>
    </w:p>
    <w:p>
      <w:pPr>
        <w:spacing w:after="120" w:line="276"/>
        <w:jc w:val="both"/>
      </w:pPr>
      <w:r>
        <w:rPr>
          <w:b w:val="false"/>
          <w:bCs w:val="false"/>
          <w:i w:val="false"/>
          <w:iCs w:val="false"/>
          <w:sz w:val="21"/>
          <w:szCs w:val="21"/>
        </w:rPr>
        <w:t xml:space="preserve">La synchronisation transmet les constats. Les conflits sont résolus par des règles explicites : deux agents sur le même objet, modification par le contribuable pendant que l'agent était hors ligne, GPS imprécis, objets fusionnés, terminal perdu. En cas de perte, les données locales sont révoquées à distance et expirent seules.</w:t>
      </w:r>
    </w:p>
    <w:p>
      <w:pPr>
        <w:pBdr>
          <w:left w:val="single" w:color="1BA996" w:sz="18" w:space="8"/>
        </w:pBdr>
        <w:spacing w:after="160" w:before="120" w:line="264"/>
        <w:ind w:left="180"/>
      </w:pPr>
      <w:r>
        <w:rPr>
          <w:b/>
          <w:bCs/>
          <w:color w:val="10262C"/>
          <w:sz w:val="20"/>
          <w:szCs w:val="20"/>
        </w:rPr>
        <w:t xml:space="preserve">Rémunération de la performance. </w:t>
      </w:r>
      <w:r>
        <w:rPr>
          <w:sz w:val="20"/>
          <w:szCs w:val="20"/>
        </w:rPr>
        <w:t xml:space="preserve">La prime éventuelle se calcule sur les régularisations confirmées par une quittance payée, jamais sur des espèces rapportées. L'incitation à négocier sur place disparaît avec la possibilité d'encaisser.</w:t>
      </w:r>
    </w:p>
    <w:p>
      <w:pPr>
        <w:pStyle w:val="Heading1"/>
        <w:spacing w:after="160" w:before="360"/>
      </w:pPr>
      <w:r>
        <w:t xml:space="preserve">16. Modèle foncier et intelligence locative</w:t>
      </w:r>
    </w:p>
    <w:p>
      <w:pPr>
        <w:spacing w:after="120" w:line="276"/>
        <w:jc w:val="both"/>
      </w:pPr>
      <w:r>
        <w:rPr>
          <w:b w:val="false"/>
          <w:bCs w:val="false"/>
          <w:i w:val="false"/>
          <w:iCs w:val="false"/>
          <w:sz w:val="21"/>
          <w:szCs w:val="21"/>
        </w:rPr>
        <w:t xml:space="preserve">C'est le module à rendement le plus élevé et le plus sensible. Il s'appuie sur la carte, l'enrôlement vérifié, le recensement terrain, l'auto-déclaration, les données administratives autorisées et un moteur de détection d'anomalies.</w:t>
      </w:r>
    </w:p>
    <w:p>
      <w:pPr>
        <w:pStyle w:val="Heading2"/>
        <w:spacing w:after="120" w:before="260"/>
      </w:pPr>
      <w:r>
        <w:t xml:space="preserve">16.1 Structure de données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4867"/>
        <w:gridCol w:w="2995"/>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Niveau</w:t>
            </w:r>
          </w:p>
        </w:tc>
        <w:tc>
          <w:tcPr>
            <w:tcW w:type="dxa" w:w="4867"/>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Usage fiscal</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Parcelle</w:t>
            </w:r>
          </w:p>
        </w:tc>
        <w:tc>
          <w:tcPr>
            <w:tcW w:type="dxa" w:w="4867"/>
            <w:tcMar>
              <w:top w:type="dxa" w:w="60"/>
              <w:left w:type="dxa" w:w="90"/>
              <w:bottom w:type="dxa" w:w="60"/>
              <w:right w:type="dxa" w:w="90"/>
            </w:tcMar>
          </w:tcPr>
          <w:p>
            <w:pPr>
              <w:spacing w:after="20" w:line="240"/>
            </w:pPr>
            <w:r>
              <w:rPr>
                <w:b w:val="false"/>
                <w:bCs w:val="false"/>
                <w:sz w:val="18"/>
                <w:szCs w:val="18"/>
              </w:rPr>
              <w:t xml:space="preserve">Référence, superficie, rang de localité, statut bâti ou non bâti</w:t>
            </w:r>
          </w:p>
        </w:tc>
        <w:tc>
          <w:tcPr>
            <w:tcW w:type="dxa" w:w="2995"/>
            <w:tcMar>
              <w:top w:type="dxa" w:w="60"/>
              <w:left w:type="dxa" w:w="90"/>
              <w:bottom w:type="dxa" w:w="60"/>
              <w:right w:type="dxa" w:w="90"/>
            </w:tcMar>
          </w:tcPr>
          <w:p>
            <w:pPr>
              <w:spacing w:after="20" w:line="240"/>
            </w:pPr>
            <w:r>
              <w:rPr>
                <w:b w:val="false"/>
                <w:bCs w:val="false"/>
                <w:sz w:val="18"/>
                <w:szCs w:val="18"/>
              </w:rPr>
              <w:t xml:space="preserve">Impôt foncier</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Bâtiment</w:t>
            </w:r>
          </w:p>
        </w:tc>
        <w:tc>
          <w:tcPr>
            <w:tcW w:type="dxa" w:w="4867"/>
            <w:tcMar>
              <w:top w:type="dxa" w:w="60"/>
              <w:left w:type="dxa" w:w="90"/>
              <w:bottom w:type="dxa" w:w="60"/>
              <w:right w:type="dxa" w:w="90"/>
            </w:tcMar>
          </w:tcPr>
          <w:p>
            <w:pPr>
              <w:spacing w:after="20" w:line="240"/>
            </w:pPr>
            <w:r>
              <w:rPr>
                <w:b w:val="false"/>
                <w:bCs w:val="false"/>
                <w:sz w:val="18"/>
                <w:szCs w:val="18"/>
              </w:rPr>
              <w:t xml:space="preserve">Nombre d'étages, usage, année, surface</w:t>
            </w:r>
          </w:p>
        </w:tc>
        <w:tc>
          <w:tcPr>
            <w:tcW w:type="dxa" w:w="2995"/>
            <w:tcMar>
              <w:top w:type="dxa" w:w="60"/>
              <w:left w:type="dxa" w:w="90"/>
              <w:bottom w:type="dxa" w:w="60"/>
              <w:right w:type="dxa" w:w="90"/>
            </w:tcMar>
          </w:tcPr>
          <w:p>
            <w:pPr>
              <w:spacing w:after="20" w:line="240"/>
            </w:pPr>
            <w:r>
              <w:rPr>
                <w:b w:val="false"/>
                <w:bCs w:val="false"/>
                <w:sz w:val="18"/>
                <w:szCs w:val="18"/>
              </w:rPr>
              <w:t xml:space="preserve">Impôt foncier, requalification</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Unité</w:t>
            </w:r>
          </w:p>
        </w:tc>
        <w:tc>
          <w:tcPr>
            <w:tcW w:type="dxa" w:w="4867"/>
            <w:tcMar>
              <w:top w:type="dxa" w:w="60"/>
              <w:left w:type="dxa" w:w="90"/>
              <w:bottom w:type="dxa" w:w="60"/>
              <w:right w:type="dxa" w:w="90"/>
            </w:tcMar>
          </w:tcPr>
          <w:p>
            <w:pPr>
              <w:spacing w:after="20" w:line="240"/>
            </w:pPr>
            <w:r>
              <w:rPr>
                <w:b w:val="false"/>
                <w:bCs w:val="false"/>
                <w:sz w:val="18"/>
                <w:szCs w:val="18"/>
              </w:rPr>
              <w:t xml:space="preserve">Appartement, chambre, local commercial, annexe</w:t>
            </w:r>
          </w:p>
        </w:tc>
        <w:tc>
          <w:tcPr>
            <w:tcW w:type="dxa" w:w="2995"/>
            <w:tcMar>
              <w:top w:type="dxa" w:w="60"/>
              <w:left w:type="dxa" w:w="90"/>
              <w:bottom w:type="dxa" w:w="60"/>
              <w:right w:type="dxa" w:w="90"/>
            </w:tcMar>
          </w:tcPr>
          <w:p>
            <w:pPr>
              <w:spacing w:after="20" w:line="240"/>
            </w:pPr>
            <w:r>
              <w:rPr>
                <w:b w:val="false"/>
                <w:bCs w:val="false"/>
                <w:sz w:val="18"/>
                <w:szCs w:val="18"/>
              </w:rPr>
              <w:t xml:space="preserve">Impôt sur les revenus locatifs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Bail</w:t>
            </w:r>
          </w:p>
        </w:tc>
        <w:tc>
          <w:tcPr>
            <w:tcW w:type="dxa" w:w="4867"/>
            <w:tcMar>
              <w:top w:type="dxa" w:w="60"/>
              <w:left w:type="dxa" w:w="90"/>
              <w:bottom w:type="dxa" w:w="60"/>
              <w:right w:type="dxa" w:w="90"/>
            </w:tcMar>
          </w:tcPr>
          <w:p>
            <w:pPr>
              <w:spacing w:after="20" w:line="240"/>
            </w:pPr>
            <w:r>
              <w:rPr>
                <w:b w:val="false"/>
                <w:bCs w:val="false"/>
                <w:sz w:val="18"/>
                <w:szCs w:val="18"/>
              </w:rPr>
              <w:t xml:space="preserve">Bailleur, locataire, loyer périodique, devise, début, fin, preuve</w:t>
            </w:r>
          </w:p>
        </w:tc>
        <w:tc>
          <w:tcPr>
            <w:tcW w:type="dxa" w:w="2995"/>
            <w:tcMar>
              <w:top w:type="dxa" w:w="60"/>
              <w:left w:type="dxa" w:w="90"/>
              <w:bottom w:type="dxa" w:w="60"/>
              <w:right w:type="dxa" w:w="90"/>
            </w:tcMar>
          </w:tcPr>
          <w:p>
            <w:pPr>
              <w:spacing w:after="20" w:line="240"/>
            </w:pPr>
            <w:r>
              <w:rPr>
                <w:b w:val="false"/>
                <w:bCs w:val="false"/>
                <w:sz w:val="18"/>
                <w:szCs w:val="18"/>
              </w:rPr>
              <w:t xml:space="preserve">Base de l'IRL et de la retenue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Occupation</w:t>
            </w:r>
          </w:p>
        </w:tc>
        <w:tc>
          <w:tcPr>
            <w:tcW w:type="dxa" w:w="4867"/>
            <w:tcMar>
              <w:top w:type="dxa" w:w="60"/>
              <w:left w:type="dxa" w:w="90"/>
              <w:bottom w:type="dxa" w:w="60"/>
              <w:right w:type="dxa" w:w="90"/>
            </w:tcMar>
          </w:tcPr>
          <w:p>
            <w:pPr>
              <w:spacing w:after="20" w:line="240"/>
            </w:pPr>
            <w:r>
              <w:rPr>
                <w:b w:val="false"/>
                <w:bCs w:val="false"/>
                <w:sz w:val="18"/>
                <w:szCs w:val="18"/>
              </w:rPr>
              <w:t xml:space="preserve">Occupant, statut, date de constat</w:t>
            </w:r>
          </w:p>
        </w:tc>
        <w:tc>
          <w:tcPr>
            <w:tcW w:type="dxa" w:w="2995"/>
            <w:tcMar>
              <w:top w:type="dxa" w:w="60"/>
              <w:left w:type="dxa" w:w="90"/>
              <w:bottom w:type="dxa" w:w="60"/>
              <w:right w:type="dxa" w:w="90"/>
            </w:tcMar>
          </w:tcPr>
          <w:p>
            <w:pPr>
              <w:spacing w:after="20" w:line="240"/>
            </w:pPr>
            <w:r>
              <w:rPr>
                <w:b w:val="false"/>
                <w:bCs w:val="false"/>
                <w:sz w:val="18"/>
                <w:szCs w:val="18"/>
              </w:rPr>
              <w:t xml:space="preserve">Contrôle et qualification</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Statut</w:t>
            </w:r>
          </w:p>
        </w:tc>
        <w:tc>
          <w:tcPr>
            <w:tcW w:type="dxa" w:w="4867"/>
            <w:tcMar>
              <w:top w:type="dxa" w:w="60"/>
              <w:left w:type="dxa" w:w="90"/>
              <w:bottom w:type="dxa" w:w="60"/>
              <w:right w:type="dxa" w:w="90"/>
            </w:tcMar>
          </w:tcPr>
          <w:p>
            <w:pPr>
              <w:spacing w:after="20" w:line="240"/>
            </w:pPr>
            <w:r>
              <w:rPr>
                <w:b w:val="false"/>
                <w:bCs w:val="false"/>
                <w:sz w:val="18"/>
                <w:szCs w:val="18"/>
              </w:rPr>
              <w:t xml:space="preserve">Déclaré, constaté, vérifié, contesté</w:t>
            </w:r>
          </w:p>
        </w:tc>
        <w:tc>
          <w:tcPr>
            <w:tcW w:type="dxa" w:w="2995"/>
            <w:tcMar>
              <w:top w:type="dxa" w:w="60"/>
              <w:left w:type="dxa" w:w="90"/>
              <w:bottom w:type="dxa" w:w="60"/>
              <w:right w:type="dxa" w:w="90"/>
            </w:tcMar>
          </w:tcPr>
          <w:p>
            <w:pPr>
              <w:spacing w:after="20" w:line="240"/>
            </w:pPr>
            <w:r>
              <w:rPr>
                <w:b w:val="false"/>
                <w:bCs w:val="false"/>
                <w:sz w:val="18"/>
                <w:szCs w:val="18"/>
              </w:rPr>
              <w:t xml:space="preserve">Traçabilité de la valeur probante</w:t>
            </w:r>
          </w:p>
        </w:tc>
      </w:tr>
    </w:tbl>
    <w:p>
      <w:pPr>
        <w:pStyle w:val="Heading2"/>
        <w:spacing w:after="120" w:before="260"/>
      </w:pPr>
      <w:r>
        <w:t xml:space="preserve">16.2 Taux et retenue</w:t>
      </w:r>
    </w:p>
    <w:p>
      <w:pPr>
        <w:spacing w:after="120" w:line="276"/>
        <w:jc w:val="both"/>
      </w:pPr>
      <w:r>
        <w:rPr>
          <w:b w:val="false"/>
          <w:bCs w:val="false"/>
          <w:i w:val="false"/>
          <w:iCs w:val="false"/>
          <w:sz w:val="21"/>
          <w:szCs w:val="21"/>
        </w:rPr>
        <w:t xml:space="preserve">Le référentiel distingue clairement le taux de l'impôt et la retenue opérée par le locataire, qui diffèrent et varient selon le rang de la localité. Les valeurs publiées en 2026 pour Kinshasa situent le taux de l'impôt à 22 % des revenus locatifs effectivement encaissés, la retenue sur le loyer étant de 20 % pour les localités de premier rang et de 15 % pour les deuxième, troisième et quatrième rangs. Ces valeurs sont paramétrées avec leur arrêté de référence et doivent être revalidées à chaque édit budgétaire.</w:t>
      </w:r>
    </w:p>
    <w:p>
      <w:pPr>
        <w:pBdr>
          <w:left w:val="single" w:color="1BA996" w:sz="18" w:space="8"/>
        </w:pBdr>
        <w:spacing w:after="160" w:before="120" w:line="264"/>
        <w:ind w:left="180"/>
      </w:pPr>
      <w:r>
        <w:rPr>
          <w:b/>
          <w:bCs/>
          <w:color w:val="10262C"/>
          <w:sz w:val="20"/>
          <w:szCs w:val="20"/>
        </w:rPr>
        <w:t xml:space="preserve">Ne pas confondre. </w:t>
      </w:r>
      <w:r>
        <w:rPr>
          <w:sz w:val="20"/>
          <w:szCs w:val="20"/>
        </w:rPr>
        <w:t xml:space="preserve">La commande initiale évoquait « 20 % du loyer perçu ». Ce chiffre correspond à la retenue de premier rang, non au taux de l'impôt. Le paramétrage doit porter les deux valeurs et leur champ d'application, faute de quoi la liquidation sera contestée.</w:t>
      </w:r>
    </w:p>
    <w:p>
      <w:pPr>
        <w:pStyle w:val="Heading2"/>
        <w:spacing w:after="120" w:before="260"/>
      </w:pPr>
      <w:r>
        <w:t xml:space="preserve">16.3 Élargissement d'assiette prévu par l'édit budgétaire 2026</w:t>
      </w:r>
    </w:p>
    <w:p>
      <w:pPr>
        <w:pStyle w:val="ListItem"/>
        <w:numPr>
          <w:ilvl w:val="0"/>
          <w:numId w:val="1"/>
        </w:numPr>
        <w:spacing w:after="60" w:line="264"/>
      </w:pPr>
      <w:r>
        <w:t xml:space="preserve">Baux emphytéotiques conclus entre entreprises et églises, associations sans but lucratif ou organisations non gouvernementales pour la construction d'immeubles destinés à la location.</w:t>
      </w:r>
    </w:p>
    <w:p>
      <w:pPr>
        <w:pStyle w:val="ListItem"/>
        <w:numPr>
          <w:ilvl w:val="0"/>
          <w:numId w:val="1"/>
        </w:numPr>
        <w:spacing w:after="60" w:line="264"/>
      </w:pPr>
      <w:r>
        <w:t xml:space="preserve">Loyers perçus par les sociétés immobilières.</w:t>
      </w:r>
    </w:p>
    <w:p>
      <w:pPr>
        <w:pStyle w:val="ListItem"/>
        <w:numPr>
          <w:ilvl w:val="0"/>
          <w:numId w:val="1"/>
        </w:numPr>
        <w:spacing w:after="60" w:line="264"/>
      </w:pPr>
      <w:r>
        <w:t xml:space="preserve">Indemnités de logement versées aux travailleurs occupant leur propre maison, celle de leur conjoint, ou bénéficiant d'un logement gratuit.</w:t>
      </w:r>
    </w:p>
    <w:p>
      <w:pPr>
        <w:pStyle w:val="ListItem"/>
        <w:numPr>
          <w:ilvl w:val="0"/>
          <w:numId w:val="1"/>
        </w:numPr>
        <w:spacing w:after="60" w:line="264"/>
      </w:pPr>
      <w:r>
        <w:t xml:space="preserve">Chacun de ces cas appelle un formulaire déclaratif propre, un contrôle de cohérence et une voie de recours identifiée, notamment au regard des résolutions du Conseil national du travail invoquées par les entreprises.</w:t>
      </w:r>
    </w:p>
    <w:p>
      <w:pPr>
        <w:pStyle w:val="Heading2"/>
        <w:spacing w:after="120" w:before="260"/>
      </w:pPr>
      <w:r>
        <w:t xml:space="preserve">16.4 Moteur de détection d'anomalies locatives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808"/>
        <w:gridCol w:w="3182"/>
        <w:gridCol w:w="3370"/>
      </w:tblGrid>
      <w:tr>
        <w:trPr>
          <w:tblHeader/>
        </w:trPr>
        <w:tc>
          <w:tcPr>
            <w:tcW w:type="dxa" w:w="2808"/>
            <w:shd w:fill="E6F4F1" w:color="auto" w:val="clear"/>
            <w:tcMar>
              <w:top w:type="dxa" w:w="60"/>
              <w:left w:type="dxa" w:w="90"/>
              <w:bottom w:type="dxa" w:w="60"/>
              <w:right w:type="dxa" w:w="90"/>
            </w:tcMar>
          </w:tcPr>
          <w:p>
            <w:pPr>
              <w:spacing w:after="20" w:line="240"/>
            </w:pPr>
            <w:r>
              <w:rPr>
                <w:b/>
                <w:bCs/>
                <w:sz w:val="18"/>
                <w:szCs w:val="18"/>
              </w:rPr>
              <w:t xml:space="preserve">Signal</w:t>
            </w:r>
          </w:p>
        </w:tc>
        <w:tc>
          <w:tcPr>
            <w:tcW w:type="dxa" w:w="3182"/>
            <w:shd w:fill="E6F4F1" w:color="auto" w:val="clear"/>
            <w:tcMar>
              <w:top w:type="dxa" w:w="60"/>
              <w:left w:type="dxa" w:w="90"/>
              <w:bottom w:type="dxa" w:w="60"/>
              <w:right w:type="dxa" w:w="90"/>
            </w:tcMar>
          </w:tcPr>
          <w:p>
            <w:pPr>
              <w:spacing w:after="20" w:line="240"/>
            </w:pPr>
            <w:r>
              <w:rPr>
                <w:b/>
                <w:bCs/>
                <w:sz w:val="18"/>
                <w:szCs w:val="18"/>
              </w:rPr>
              <w:t xml:space="preserve">Règle de rapprochement</w:t>
            </w:r>
          </w:p>
        </w:tc>
        <w:tc>
          <w:tcPr>
            <w:tcW w:type="dxa" w:w="3370"/>
            <w:shd w:fill="E6F4F1" w:color="auto" w:val="clear"/>
            <w:tcMar>
              <w:top w:type="dxa" w:w="60"/>
              <w:left w:type="dxa" w:w="90"/>
              <w:bottom w:type="dxa" w:w="60"/>
              <w:right w:type="dxa" w:w="90"/>
            </w:tcMar>
          </w:tcPr>
          <w:p>
            <w:pPr>
              <w:spacing w:after="20" w:line="240"/>
            </w:pPr>
            <w:r>
              <w:rPr>
                <w:b/>
                <w:bCs/>
                <w:sz w:val="18"/>
                <w:szCs w:val="18"/>
              </w:rPr>
              <w:t xml:space="preserve">Sortie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Plusieurs compteurs d'électricité ou d'eau sur une parcelle</w:t>
            </w:r>
          </w:p>
        </w:tc>
        <w:tc>
          <w:tcPr>
            <w:tcW w:type="dxa" w:w="3182"/>
            <w:tcMar>
              <w:top w:type="dxa" w:w="60"/>
              <w:left w:type="dxa" w:w="90"/>
              <w:bottom w:type="dxa" w:w="60"/>
              <w:right w:type="dxa" w:w="90"/>
            </w:tcMar>
          </w:tcPr>
          <w:p>
            <w:pPr>
              <w:spacing w:after="20" w:line="240"/>
            </w:pPr>
            <w:r>
              <w:rPr>
                <w:b w:val="false"/>
                <w:bCs w:val="false"/>
                <w:sz w:val="18"/>
                <w:szCs w:val="18"/>
              </w:rPr>
              <w:t xml:space="preserve">Aucune déclaration locative associée</w:t>
            </w:r>
          </w:p>
        </w:tc>
        <w:tc>
          <w:tcPr>
            <w:tcW w:type="dxa" w:w="3370"/>
            <w:tcMar>
              <w:top w:type="dxa" w:w="60"/>
              <w:left w:type="dxa" w:w="90"/>
              <w:bottom w:type="dxa" w:w="60"/>
              <w:right w:type="dxa" w:w="90"/>
            </w:tcMar>
          </w:tcPr>
          <w:p>
            <w:pPr>
              <w:spacing w:after="20" w:line="240"/>
            </w:pPr>
            <w:r>
              <w:rPr>
                <w:b w:val="false"/>
                <w:bCs w:val="false"/>
                <w:sz w:val="18"/>
                <w:szCs w:val="18"/>
              </w:rPr>
              <w:t xml:space="preserve">Probable bien loué : visite de vérification</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Indemnités de logement en paie d'entreprise</w:t>
            </w:r>
          </w:p>
        </w:tc>
        <w:tc>
          <w:tcPr>
            <w:tcW w:type="dxa" w:w="3182"/>
            <w:tcMar>
              <w:top w:type="dxa" w:w="60"/>
              <w:left w:type="dxa" w:w="90"/>
              <w:bottom w:type="dxa" w:w="60"/>
              <w:right w:type="dxa" w:w="90"/>
            </w:tcMar>
          </w:tcPr>
          <w:p>
            <w:pPr>
              <w:spacing w:after="20" w:line="240"/>
            </w:pPr>
            <w:r>
              <w:rPr>
                <w:b w:val="false"/>
                <w:bCs w:val="false"/>
                <w:sz w:val="18"/>
                <w:szCs w:val="18"/>
              </w:rPr>
              <w:t xml:space="preserve">Aucune retenue IRL correspondante</w:t>
            </w:r>
          </w:p>
        </w:tc>
        <w:tc>
          <w:tcPr>
            <w:tcW w:type="dxa" w:w="3370"/>
            <w:tcMar>
              <w:top w:type="dxa" w:w="60"/>
              <w:left w:type="dxa" w:w="90"/>
              <w:bottom w:type="dxa" w:w="60"/>
              <w:right w:type="dxa" w:w="90"/>
            </w:tcMar>
          </w:tcPr>
          <w:p>
            <w:pPr>
              <w:spacing w:after="20" w:line="240"/>
            </w:pPr>
            <w:r>
              <w:rPr>
                <w:b w:val="false"/>
                <w:bCs w:val="false"/>
                <w:sz w:val="18"/>
                <w:szCs w:val="18"/>
              </w:rPr>
              <w:t xml:space="preserve">Notification à l'employeur</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Annonce ou mandat d'agence immobilière</w:t>
            </w:r>
          </w:p>
        </w:tc>
        <w:tc>
          <w:tcPr>
            <w:tcW w:type="dxa" w:w="3182"/>
            <w:tcMar>
              <w:top w:type="dxa" w:w="60"/>
              <w:left w:type="dxa" w:w="90"/>
              <w:bottom w:type="dxa" w:w="60"/>
              <w:right w:type="dxa" w:w="90"/>
            </w:tcMar>
          </w:tcPr>
          <w:p>
            <w:pPr>
              <w:spacing w:after="20" w:line="240"/>
            </w:pPr>
            <w:r>
              <w:rPr>
                <w:b w:val="false"/>
                <w:bCs w:val="false"/>
                <w:sz w:val="18"/>
                <w:szCs w:val="18"/>
              </w:rPr>
              <w:t xml:space="preserve">Bien non rattaché à un compte</w:t>
            </w:r>
          </w:p>
        </w:tc>
        <w:tc>
          <w:tcPr>
            <w:tcW w:type="dxa" w:w="3370"/>
            <w:tcMar>
              <w:top w:type="dxa" w:w="60"/>
              <w:left w:type="dxa" w:w="90"/>
              <w:bottom w:type="dxa" w:w="60"/>
              <w:right w:type="dxa" w:w="90"/>
            </w:tcMar>
          </w:tcPr>
          <w:p>
            <w:pPr>
              <w:spacing w:after="20" w:line="240"/>
            </w:pPr>
            <w:r>
              <w:rPr>
                <w:b w:val="false"/>
                <w:bCs w:val="false"/>
                <w:sz w:val="18"/>
                <w:szCs w:val="18"/>
              </w:rPr>
              <w:t xml:space="preserve">Enquête documentaire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Bail d'entreprise déclaré à l'impôt professionnel</w:t>
            </w:r>
          </w:p>
        </w:tc>
        <w:tc>
          <w:tcPr>
            <w:tcW w:type="dxa" w:w="3182"/>
            <w:tcMar>
              <w:top w:type="dxa" w:w="60"/>
              <w:left w:type="dxa" w:w="90"/>
              <w:bottom w:type="dxa" w:w="60"/>
              <w:right w:type="dxa" w:w="90"/>
            </w:tcMar>
          </w:tcPr>
          <w:p>
            <w:pPr>
              <w:spacing w:after="20" w:line="240"/>
            </w:pPr>
            <w:r>
              <w:rPr>
                <w:b w:val="false"/>
                <w:bCs w:val="false"/>
                <w:sz w:val="18"/>
                <w:szCs w:val="18"/>
              </w:rPr>
              <w:t xml:space="preserve">Bailleur inconnu du registre provincial</w:t>
            </w:r>
          </w:p>
        </w:tc>
        <w:tc>
          <w:tcPr>
            <w:tcW w:type="dxa" w:w="3370"/>
            <w:tcMar>
              <w:top w:type="dxa" w:w="60"/>
              <w:left w:type="dxa" w:w="90"/>
              <w:bottom w:type="dxa" w:w="60"/>
              <w:right w:type="dxa" w:w="90"/>
            </w:tcMar>
          </w:tcPr>
          <w:p>
            <w:pPr>
              <w:spacing w:after="20" w:line="240"/>
            </w:pPr>
            <w:r>
              <w:rPr>
                <w:b w:val="false"/>
                <w:bCs w:val="false"/>
                <w:sz w:val="18"/>
                <w:szCs w:val="18"/>
              </w:rPr>
              <w:t xml:space="preserve">Rapprochement inter-administrations</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Parcelle déclarée non bâtie</w:t>
            </w:r>
          </w:p>
        </w:tc>
        <w:tc>
          <w:tcPr>
            <w:tcW w:type="dxa" w:w="3182"/>
            <w:tcMar>
              <w:top w:type="dxa" w:w="60"/>
              <w:left w:type="dxa" w:w="90"/>
              <w:bottom w:type="dxa" w:w="60"/>
              <w:right w:type="dxa" w:w="90"/>
            </w:tcMar>
          </w:tcPr>
          <w:p>
            <w:pPr>
              <w:spacing w:after="20" w:line="240"/>
            </w:pPr>
            <w:r>
              <w:rPr>
                <w:b w:val="false"/>
                <w:bCs w:val="false"/>
                <w:sz w:val="18"/>
                <w:szCs w:val="18"/>
              </w:rPr>
              <w:t xml:space="preserve">Image ou permis montrant une construction</w:t>
            </w:r>
          </w:p>
        </w:tc>
        <w:tc>
          <w:tcPr>
            <w:tcW w:type="dxa" w:w="3370"/>
            <w:tcMar>
              <w:top w:type="dxa" w:w="60"/>
              <w:left w:type="dxa" w:w="90"/>
              <w:bottom w:type="dxa" w:w="60"/>
              <w:right w:type="dxa" w:w="90"/>
            </w:tcMar>
          </w:tcPr>
          <w:p>
            <w:pPr>
              <w:spacing w:after="20" w:line="240"/>
            </w:pPr>
            <w:r>
              <w:rPr>
                <w:b w:val="false"/>
                <w:bCs w:val="false"/>
                <w:sz w:val="18"/>
                <w:szCs w:val="18"/>
              </w:rPr>
              <w:t xml:space="preserve">Requalification contrôlée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Immeuble neuf réceptionné</w:t>
            </w:r>
          </w:p>
        </w:tc>
        <w:tc>
          <w:tcPr>
            <w:tcW w:type="dxa" w:w="3182"/>
            <w:tcMar>
              <w:top w:type="dxa" w:w="60"/>
              <w:left w:type="dxa" w:w="90"/>
              <w:bottom w:type="dxa" w:w="60"/>
              <w:right w:type="dxa" w:w="90"/>
            </w:tcMar>
          </w:tcPr>
          <w:p>
            <w:pPr>
              <w:spacing w:after="20" w:line="240"/>
            </w:pPr>
            <w:r>
              <w:rPr>
                <w:b w:val="false"/>
                <w:bCs w:val="false"/>
                <w:sz w:val="18"/>
                <w:szCs w:val="18"/>
              </w:rPr>
              <w:t xml:space="preserve">Aucune unité locative déclarée après douze mois</w:t>
            </w:r>
          </w:p>
        </w:tc>
        <w:tc>
          <w:tcPr>
            <w:tcW w:type="dxa" w:w="3370"/>
            <w:tcMar>
              <w:top w:type="dxa" w:w="60"/>
              <w:left w:type="dxa" w:w="90"/>
              <w:bottom w:type="dxa" w:w="60"/>
              <w:right w:type="dxa" w:w="90"/>
            </w:tcMar>
          </w:tcPr>
          <w:p>
            <w:pPr>
              <w:spacing w:after="20" w:line="240"/>
            </w:pPr>
            <w:r>
              <w:rPr>
                <w:b w:val="false"/>
                <w:bCs w:val="false"/>
                <w:sz w:val="18"/>
                <w:szCs w:val="18"/>
              </w:rPr>
              <w:t xml:space="preserve">Visite de recensement</w:t>
            </w:r>
          </w:p>
        </w:tc>
      </w:tr>
    </w:tbl>
    <w:p>
      <w:pPr>
        <w:pStyle w:val="Heading2"/>
        <w:spacing w:after="120" w:before="260"/>
      </w:pPr>
      <w:r>
        <w:t xml:space="preserve">16.5 Carte et visibilité</w:t>
      </w:r>
    </w:p>
    <w:p>
      <w:pPr>
        <w:spacing w:after="120" w:line="276"/>
        <w:jc w:val="both"/>
      </w:pPr>
      <w:r>
        <w:rPr>
          <w:b w:val="false"/>
          <w:bCs w:val="false"/>
          <w:i w:val="false"/>
          <w:iCs w:val="false"/>
          <w:sz w:val="21"/>
          <w:szCs w:val="21"/>
        </w:rPr>
        <w:t xml:space="preserve">La carte interne affiche des états : vert pour une obligation régularisée, orange pour un paiement partiel ou une échéance proche, rouge pour un impayé constaté après vérification, gris pour un objet non enregistré ou insuffisamment documenté, bleu pour un objet en litige. Le public ne voit aucune donnée fiscale individuelle. L'agent ne voit que le minimum nécessaire à sa mission.</w:t>
      </w:r>
    </w:p>
    <w:p>
      <w:pPr>
        <w:pStyle w:val="Heading2"/>
        <w:spacing w:after="120" w:before="260"/>
      </w:pPr>
      <w:r>
        <w:t xml:space="preserve">16.6 Indicateurs de couverture locative</w:t>
      </w:r>
    </w:p>
    <w:p>
      <w:pPr>
        <w:spacing w:after="120" w:line="276"/>
        <w:jc w:val="both"/>
      </w:pPr>
      <w:r>
        <w:rPr>
          <w:b w:val="false"/>
          <w:bCs w:val="false"/>
          <w:i w:val="false"/>
          <w:iCs w:val="false"/>
          <w:sz w:val="21"/>
          <w:szCs w:val="21"/>
        </w:rPr>
        <w:t xml:space="preserve">Le module produit, par avenue, quartier et commune : nombre estimé de parcelles et d'unités ; nombre enregistré ; parts occupées par le propriétaire et louées ; nombre de bailleurs et de locataires identifiés ; valeur locative déclarée ; base légalement imposable ; obligations payées et impayées ; concentration géographique de l'activité locative ; taux de couverture du recensement.</w:t>
      </w:r>
    </w:p>
    <w:p>
      <w:pPr>
        <w:pStyle w:val="Heading1"/>
        <w:spacing w:after="160" w:before="360"/>
      </w:pPr>
      <w:r>
        <w:t xml:space="preserve">17. Cadastre fiscal géospatial</w:t>
      </w:r>
    </w:p>
    <w:p>
      <w:pPr>
        <w:spacing w:after="120" w:line="276"/>
        <w:jc w:val="both"/>
      </w:pPr>
      <w:r>
        <w:rPr>
          <w:b w:val="false"/>
          <w:bCs w:val="false"/>
          <w:i w:val="false"/>
          <w:iCs w:val="false"/>
          <w:sz w:val="21"/>
          <w:szCs w:val="21"/>
        </w:rPr>
        <w:t xml:space="preserve">Le cadastre fiscal n'est pas un cadastre de propriété : il localise des objets générateurs de recettes et les rattache à des identités fiscales, sans trancher les droits réels.</w:t>
      </w:r>
    </w:p>
    <w:p>
      <w:pPr>
        <w:pStyle w:val="Heading2"/>
        <w:spacing w:after="120" w:before="260"/>
      </w:pPr>
      <w:r>
        <w:t xml:space="preserve">17.1 Couches</w:t>
      </w:r>
    </w:p>
    <w:p>
      <w:pPr>
        <w:spacing w:after="120" w:line="276"/>
        <w:jc w:val="both"/>
      </w:pPr>
      <w:r>
        <w:rPr>
          <w:b w:val="false"/>
          <w:bCs w:val="false"/>
          <w:i w:val="false"/>
          <w:iCs w:val="false"/>
          <w:sz w:val="21"/>
          <w:szCs w:val="21"/>
        </w:rPr>
        <w:t xml:space="preserve">Communes ; quartiers ; avenues et rues ; parcelles ; bâtiments ; unités ; établissements ; marchés ; zones de stationnement ; panneaux ; antennes ; axes de transport ; ports et points d'embarquement ; embarcations ; concessions ; infrastructures publiques ; zones d'inspection ; cartes de chaleur des recettes ; couverture du recensement ; niveaux de conformité ; potentiel estimé.</w:t>
      </w:r>
    </w:p>
    <w:p>
      <w:pPr>
        <w:pStyle w:val="Heading2"/>
        <w:spacing w:after="120" w:before="260"/>
      </w:pPr>
      <w:r>
        <w:t xml:space="preserve">17.2 Identifiant géographique fiscal</w:t>
      </w:r>
    </w:p>
    <w:p>
      <w:pPr>
        <w:spacing w:after="120" w:line="276"/>
        <w:jc w:val="both"/>
      </w:pPr>
      <w:r>
        <w:rPr>
          <w:b w:val="false"/>
          <w:bCs w:val="false"/>
          <w:i w:val="false"/>
          <w:iCs w:val="false"/>
          <w:sz w:val="21"/>
          <w:szCs w:val="21"/>
        </w:rPr>
        <w:t xml:space="preserve">Format proposé : KIN-&lt;code commune&gt;-&lt;code quartier&gt;-&lt;code voie&gt;-&lt;numéro séquentiel&gt;, par exemple KIN-GOM-GOMBE-AV-MONT-001245. L'identifiant est stable, non réattribuable et lié à un code QR sécurisé. Il relie localisation, catégorie, relation au contribuable, photographies, documents, historique d'inspection, règles applicables, obligations, paiements, quittances, litiges et audit.</w:t>
      </w:r>
    </w:p>
    <w:p>
      <w:pPr>
        <w:pStyle w:val="Heading2"/>
        <w:spacing w:after="120" w:before="260"/>
      </w:pPr>
      <w:r>
        <w:t xml:space="preserve">17.3 Cas difficiles et procédures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808"/>
        <w:gridCol w:w="6552"/>
      </w:tblGrid>
      <w:tr>
        <w:trPr>
          <w:tblHeader/>
        </w:trPr>
        <w:tc>
          <w:tcPr>
            <w:tcW w:type="dxa" w:w="2808"/>
            <w:shd w:fill="E6F4F1" w:color="auto" w:val="clear"/>
            <w:tcMar>
              <w:top w:type="dxa" w:w="60"/>
              <w:left w:type="dxa" w:w="90"/>
              <w:bottom w:type="dxa" w:w="60"/>
              <w:right w:type="dxa" w:w="90"/>
            </w:tcMar>
          </w:tcPr>
          <w:p>
            <w:pPr>
              <w:spacing w:after="20" w:line="240"/>
            </w:pPr>
            <w:r>
              <w:rPr>
                <w:b/>
                <w:bCs/>
                <w:sz w:val="18"/>
                <w:szCs w:val="18"/>
              </w:rPr>
              <w:t xml:space="preserve">Cas</w:t>
            </w:r>
          </w:p>
        </w:tc>
        <w:tc>
          <w:tcPr>
            <w:tcW w:type="dxa" w:w="6552"/>
            <w:shd w:fill="E6F4F1" w:color="auto" w:val="clear"/>
            <w:tcMar>
              <w:top w:type="dxa" w:w="60"/>
              <w:left w:type="dxa" w:w="90"/>
              <w:bottom w:type="dxa" w:w="60"/>
              <w:right w:type="dxa" w:w="90"/>
            </w:tcMar>
          </w:tcPr>
          <w:p>
            <w:pPr>
              <w:spacing w:after="20" w:line="240"/>
            </w:pPr>
            <w:r>
              <w:rPr>
                <w:b/>
                <w:bCs/>
                <w:sz w:val="18"/>
                <w:szCs w:val="18"/>
              </w:rPr>
              <w:t xml:space="preserve">Procédure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Objet sans adresse formelle</w:t>
            </w:r>
          </w:p>
        </w:tc>
        <w:tc>
          <w:tcPr>
            <w:tcW w:type="dxa" w:w="6552"/>
            <w:tcMar>
              <w:top w:type="dxa" w:w="60"/>
              <w:left w:type="dxa" w:w="90"/>
              <w:bottom w:type="dxa" w:w="60"/>
              <w:right w:type="dxa" w:w="90"/>
            </w:tcMar>
          </w:tcPr>
          <w:p>
            <w:pPr>
              <w:spacing w:after="20" w:line="240"/>
            </w:pPr>
            <w:r>
              <w:rPr>
                <w:b w:val="false"/>
                <w:bCs w:val="false"/>
                <w:sz w:val="18"/>
                <w:szCs w:val="18"/>
              </w:rPr>
              <w:t xml:space="preserve">Identifiant fondé sur le point GPS et le repère de voisinage, avec photographie de façade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Habitat informel</w:t>
            </w:r>
          </w:p>
        </w:tc>
        <w:tc>
          <w:tcPr>
            <w:tcW w:type="dxa" w:w="6552"/>
            <w:tcMar>
              <w:top w:type="dxa" w:w="60"/>
              <w:left w:type="dxa" w:w="90"/>
              <w:bottom w:type="dxa" w:w="60"/>
              <w:right w:type="dxa" w:w="90"/>
            </w:tcMar>
          </w:tcPr>
          <w:p>
            <w:pPr>
              <w:spacing w:after="20" w:line="240"/>
            </w:pPr>
            <w:r>
              <w:rPr>
                <w:b w:val="false"/>
                <w:bCs w:val="false"/>
                <w:sz w:val="18"/>
                <w:szCs w:val="18"/>
              </w:rPr>
              <w:t xml:space="preserve">Recensement par grappes, identifiant provisoire, absence de conséquence fiscale avant qualification juridique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GPS imprécis</w:t>
            </w:r>
          </w:p>
        </w:tc>
        <w:tc>
          <w:tcPr>
            <w:tcW w:type="dxa" w:w="6552"/>
            <w:tcMar>
              <w:top w:type="dxa" w:w="60"/>
              <w:left w:type="dxa" w:w="90"/>
              <w:bottom w:type="dxa" w:w="60"/>
              <w:right w:type="dxa" w:w="90"/>
            </w:tcMar>
          </w:tcPr>
          <w:p>
            <w:pPr>
              <w:spacing w:after="20" w:line="240"/>
            </w:pPr>
            <w:r>
              <w:rPr>
                <w:b w:val="false"/>
                <w:bCs w:val="false"/>
                <w:sz w:val="18"/>
                <w:szCs w:val="18"/>
              </w:rPr>
              <w:t xml:space="preserve">Tolérance paramétrée par commune, photo horodatée, validation du superviseur</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Litige de limites</w:t>
            </w:r>
          </w:p>
        </w:tc>
        <w:tc>
          <w:tcPr>
            <w:tcW w:type="dxa" w:w="6552"/>
            <w:tcMar>
              <w:top w:type="dxa" w:w="60"/>
              <w:left w:type="dxa" w:w="90"/>
              <w:bottom w:type="dxa" w:w="60"/>
              <w:right w:type="dxa" w:w="90"/>
            </w:tcMar>
          </w:tcPr>
          <w:p>
            <w:pPr>
              <w:spacing w:after="20" w:line="240"/>
            </w:pPr>
            <w:r>
              <w:rPr>
                <w:b w:val="false"/>
                <w:bCs w:val="false"/>
                <w:sz w:val="18"/>
                <w:szCs w:val="18"/>
              </w:rPr>
              <w:t xml:space="preserve">Objet marqué en litige, obligations suspendues selon la règle applicable, renvoi au service foncier</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Plusieurs activités à une même adresse</w:t>
            </w:r>
          </w:p>
        </w:tc>
        <w:tc>
          <w:tcPr>
            <w:tcW w:type="dxa" w:w="6552"/>
            <w:tcMar>
              <w:top w:type="dxa" w:w="60"/>
              <w:left w:type="dxa" w:w="90"/>
              <w:bottom w:type="dxa" w:w="60"/>
              <w:right w:type="dxa" w:w="90"/>
            </w:tcMar>
          </w:tcPr>
          <w:p>
            <w:pPr>
              <w:spacing w:after="20" w:line="240"/>
            </w:pPr>
            <w:r>
              <w:rPr>
                <w:b w:val="false"/>
                <w:bCs w:val="false"/>
                <w:sz w:val="18"/>
                <w:szCs w:val="18"/>
              </w:rPr>
              <w:t xml:space="preserve">Un objet par activité, rattachés au même point géographique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Une entreprise sur plusieurs sites</w:t>
            </w:r>
          </w:p>
        </w:tc>
        <w:tc>
          <w:tcPr>
            <w:tcW w:type="dxa" w:w="6552"/>
            <w:tcMar>
              <w:top w:type="dxa" w:w="60"/>
              <w:left w:type="dxa" w:w="90"/>
              <w:bottom w:type="dxa" w:w="60"/>
              <w:right w:type="dxa" w:w="90"/>
            </w:tcMar>
          </w:tcPr>
          <w:p>
            <w:pPr>
              <w:spacing w:after="20" w:line="240"/>
            </w:pPr>
            <w:r>
              <w:rPr>
                <w:b w:val="false"/>
                <w:bCs w:val="false"/>
                <w:sz w:val="18"/>
                <w:szCs w:val="18"/>
              </w:rPr>
              <w:t xml:space="preserve">Un compte, plusieurs établissements, obligations distinctes</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Un immeuble à multiples unités</w:t>
            </w:r>
          </w:p>
        </w:tc>
        <w:tc>
          <w:tcPr>
            <w:tcW w:type="dxa" w:w="6552"/>
            <w:tcMar>
              <w:top w:type="dxa" w:w="60"/>
              <w:left w:type="dxa" w:w="90"/>
              <w:bottom w:type="dxa" w:w="60"/>
              <w:right w:type="dxa" w:w="90"/>
            </w:tcMar>
          </w:tcPr>
          <w:p>
            <w:pPr>
              <w:spacing w:after="20" w:line="240"/>
            </w:pPr>
            <w:r>
              <w:rPr>
                <w:b w:val="false"/>
                <w:bCs w:val="false"/>
                <w:sz w:val="18"/>
                <w:szCs w:val="18"/>
              </w:rPr>
              <w:t xml:space="preserve">Un objet bâtiment, plusieurs objets unités, un bail par unité</w:t>
            </w:r>
          </w:p>
        </w:tc>
      </w:tr>
    </w:tbl>
    <w:p>
      <w:pPr>
        <w:pStyle w:val="Heading1"/>
        <w:spacing w:after="160" w:before="360"/>
      </w:pPr>
      <w:r>
        <w:t xml:space="preserve">18. La RFCK, le contrôle technique et la chaîne véhicule</w:t>
      </w:r>
    </w:p>
    <w:p>
      <w:pPr>
        <w:spacing w:after="120" w:line="276"/>
        <w:jc w:val="both"/>
      </w:pPr>
      <w:r>
        <w:rPr>
          <w:b w:val="false"/>
          <w:bCs w:val="false"/>
          <w:i w:val="false"/>
          <w:iCs w:val="false"/>
          <w:sz w:val="21"/>
          <w:szCs w:val="21"/>
        </w:rPr>
        <w:t xml:space="preserve">La Ville Province de Kinshasa dispose déjà, avec la Régie des Fourrières et de Contrôle Technique des Véhicules de Kinshasa (RFCK), d'un établissement public provincial qui contrôle, immobilise et enregistre une partie du parc automobile de la capitale. Cette régie n'est pas un acteur périphérique du projet : elle détient la porte d'entrée physique vers le véhicule, elle produit déjà une donnée numérique sécurisée, et elle perçoit des redevances dont le circuit est, par nature, le plus exposé de tous ceux que couvre KINSHASA MOSOLO. Le présent chapitre définit comment la chaîne véhicule est unifiée entre la régie fiscale, la RFCK et les services des transports, sans dépouiller aucune institution de sa compétence.</w:t>
      </w:r>
    </w:p>
    <w:p>
      <w:pPr>
        <w:pStyle w:val="Heading2"/>
        <w:spacing w:after="120" w:before="260"/>
      </w:pPr>
      <w:r>
        <w:t xml:space="preserve">18.1 L'institution, son siège et sa direction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6926"/>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Élément</w:t>
            </w:r>
          </w:p>
        </w:tc>
        <w:tc>
          <w:tcPr>
            <w:tcW w:type="dxa" w:w="6926"/>
            <w:shd w:fill="E6F4F1" w:color="auto" w:val="clear"/>
            <w:tcMar>
              <w:top w:type="dxa" w:w="60"/>
              <w:left w:type="dxa" w:w="90"/>
              <w:bottom w:type="dxa" w:w="60"/>
              <w:right w:type="dxa" w:w="90"/>
            </w:tcMar>
          </w:tcPr>
          <w:p>
            <w:pPr>
              <w:spacing w:after="20" w:line="240"/>
            </w:pPr>
            <w:r>
              <w:rPr>
                <w:b/>
                <w:bCs/>
                <w:sz w:val="18"/>
                <w:szCs w:val="18"/>
              </w:rPr>
              <w:t xml:space="preserve">Contenu</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Dénomination</w:t>
            </w:r>
          </w:p>
        </w:tc>
        <w:tc>
          <w:tcPr>
            <w:tcW w:type="dxa" w:w="6926"/>
            <w:tcMar>
              <w:top w:type="dxa" w:w="60"/>
              <w:left w:type="dxa" w:w="90"/>
              <w:bottom w:type="dxa" w:w="60"/>
              <w:right w:type="dxa" w:w="90"/>
            </w:tcMar>
          </w:tcPr>
          <w:p>
            <w:pPr>
              <w:spacing w:after="20" w:line="240"/>
            </w:pPr>
            <w:r>
              <w:rPr>
                <w:b w:val="false"/>
                <w:bCs w:val="false"/>
                <w:sz w:val="18"/>
                <w:szCs w:val="18"/>
              </w:rPr>
              <w:t xml:space="preserve">Régie des Fourrières et de Contrôle Technique des Véhicules de Kinshasa (RFCK)</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Nature</w:t>
            </w:r>
          </w:p>
        </w:tc>
        <w:tc>
          <w:tcPr>
            <w:tcW w:type="dxa" w:w="6926"/>
            <w:tcMar>
              <w:top w:type="dxa" w:w="60"/>
              <w:left w:type="dxa" w:w="90"/>
              <w:bottom w:type="dxa" w:w="60"/>
              <w:right w:type="dxa" w:w="90"/>
            </w:tcMar>
          </w:tcPr>
          <w:p>
            <w:pPr>
              <w:spacing w:after="20" w:line="240"/>
            </w:pPr>
            <w:r>
              <w:rPr>
                <w:b w:val="false"/>
                <w:bCs w:val="false"/>
                <w:sz w:val="18"/>
                <w:szCs w:val="18"/>
              </w:rPr>
              <w:t xml:space="preserve">Établissement public provincial de la Ville Province de Kinshasa</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Siège</w:t>
            </w:r>
          </w:p>
        </w:tc>
        <w:tc>
          <w:tcPr>
            <w:tcW w:type="dxa" w:w="6926"/>
            <w:tcMar>
              <w:top w:type="dxa" w:w="60"/>
              <w:left w:type="dxa" w:w="90"/>
              <w:bottom w:type="dxa" w:w="60"/>
              <w:right w:type="dxa" w:w="90"/>
            </w:tcMar>
          </w:tcPr>
          <w:p>
            <w:pPr>
              <w:spacing w:after="20" w:line="240"/>
            </w:pPr>
            <w:r>
              <w:rPr>
                <w:b w:val="false"/>
                <w:bCs w:val="false"/>
                <w:sz w:val="18"/>
                <w:szCs w:val="18"/>
              </w:rPr>
              <w:t xml:space="preserve">Avenue Colonel Ebeya, Immeuble du Gouvernement Provincial, 3ᵉ niveau, Kinshasa</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Direction générale</w:t>
            </w:r>
          </w:p>
        </w:tc>
        <w:tc>
          <w:tcPr>
            <w:tcW w:type="dxa" w:w="6926"/>
            <w:tcMar>
              <w:top w:type="dxa" w:w="60"/>
              <w:left w:type="dxa" w:w="90"/>
              <w:bottom w:type="dxa" w:w="60"/>
              <w:right w:type="dxa" w:w="90"/>
            </w:tcMar>
          </w:tcPr>
          <w:p>
            <w:pPr>
              <w:spacing w:after="20" w:line="240"/>
            </w:pPr>
            <w:r>
              <w:rPr>
                <w:b w:val="false"/>
                <w:bCs w:val="false"/>
                <w:sz w:val="18"/>
                <w:szCs w:val="18"/>
              </w:rPr>
              <w:t xml:space="preserve">M. Kajos Kasinzi Mafolo, Directeur général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Tutelle et coordination</w:t>
            </w:r>
          </w:p>
        </w:tc>
        <w:tc>
          <w:tcPr>
            <w:tcW w:type="dxa" w:w="6926"/>
            <w:tcMar>
              <w:top w:type="dxa" w:w="60"/>
              <w:left w:type="dxa" w:w="90"/>
              <w:bottom w:type="dxa" w:w="60"/>
              <w:right w:type="dxa" w:w="90"/>
            </w:tcMar>
          </w:tcPr>
          <w:p>
            <w:pPr>
              <w:spacing w:after="20" w:line="240"/>
            </w:pPr>
            <w:r>
              <w:rPr>
                <w:b w:val="false"/>
                <w:bCs w:val="false"/>
                <w:sz w:val="18"/>
                <w:szCs w:val="18"/>
              </w:rPr>
              <w:t xml:space="preserve">Ministère provincial des Transports et de la Mobilité urbaine ; instructions de l'autorité urbaine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Base réglementaire principale</w:t>
            </w:r>
          </w:p>
        </w:tc>
        <w:tc>
          <w:tcPr>
            <w:tcW w:type="dxa" w:w="6926"/>
            <w:tcMar>
              <w:top w:type="dxa" w:w="60"/>
              <w:left w:type="dxa" w:w="90"/>
              <w:bottom w:type="dxa" w:w="60"/>
              <w:right w:type="dxa" w:w="90"/>
            </w:tcMar>
          </w:tcPr>
          <w:p>
            <w:pPr>
              <w:spacing w:after="20" w:line="240"/>
            </w:pPr>
            <w:r>
              <w:rPr>
                <w:b w:val="false"/>
                <w:bCs w:val="false"/>
                <w:sz w:val="18"/>
                <w:szCs w:val="18"/>
              </w:rPr>
              <w:t xml:space="preserve">Arrêté ministériel du 12 novembre 2025 réglementant le contrôle technique des véhicules automobiles et des remorques en circulation en République démocratique du Congo</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Champ d'application</w:t>
            </w:r>
          </w:p>
        </w:tc>
        <w:tc>
          <w:tcPr>
            <w:tcW w:type="dxa" w:w="6926"/>
            <w:tcMar>
              <w:top w:type="dxa" w:w="60"/>
              <w:left w:type="dxa" w:w="90"/>
              <w:bottom w:type="dxa" w:w="60"/>
              <w:right w:type="dxa" w:w="90"/>
            </w:tcMar>
          </w:tcPr>
          <w:p>
            <w:pPr>
              <w:spacing w:after="20" w:line="240"/>
            </w:pPr>
            <w:r>
              <w:rPr>
                <w:b w:val="false"/>
                <w:bCs w:val="false"/>
                <w:sz w:val="18"/>
                <w:szCs w:val="18"/>
              </w:rPr>
              <w:t xml:space="preserve">Particuliers, entreprises, missions diplomatiques et organisations internationales ; motocyclettes à deux, trois et quatre roues ; véhicules administratifs de moins de 20 tonnes, sans exemption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Missions déclarées</w:t>
            </w:r>
          </w:p>
        </w:tc>
        <w:tc>
          <w:tcPr>
            <w:tcW w:type="dxa" w:w="6926"/>
            <w:tcMar>
              <w:top w:type="dxa" w:w="60"/>
              <w:left w:type="dxa" w:w="90"/>
              <w:bottom w:type="dxa" w:w="60"/>
              <w:right w:type="dxa" w:w="90"/>
            </w:tcMar>
          </w:tcPr>
          <w:p>
            <w:pPr>
              <w:spacing w:after="20" w:line="240"/>
            </w:pPr>
            <w:r>
              <w:rPr>
                <w:b w:val="false"/>
                <w:bCs w:val="false"/>
                <w:sz w:val="18"/>
                <w:szCs w:val="18"/>
              </w:rPr>
              <w:t xml:space="preserve">Contrôle technique périodique et obligatoire ; conformité aux normes de sécurité et environnementales ; gestion des fourrières et des véhicules en infraction ; accréditation des centres agréés ; numérisation du dispositif de contrôle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Finalités déclarées</w:t>
            </w:r>
          </w:p>
        </w:tc>
        <w:tc>
          <w:tcPr>
            <w:tcW w:type="dxa" w:w="6926"/>
            <w:tcMar>
              <w:top w:type="dxa" w:w="60"/>
              <w:left w:type="dxa" w:w="90"/>
              <w:bottom w:type="dxa" w:w="60"/>
              <w:right w:type="dxa" w:w="90"/>
            </w:tcMar>
          </w:tcPr>
          <w:p>
            <w:pPr>
              <w:spacing w:after="20" w:line="240"/>
            </w:pPr>
            <w:r>
              <w:rPr>
                <w:b w:val="false"/>
                <w:bCs w:val="false"/>
                <w:sz w:val="18"/>
                <w:szCs w:val="18"/>
              </w:rPr>
              <w:t xml:space="preserve">Réduction des accidents, sensibilisation au Code de la route, transparence, traçabilité et bonne gouvernance, contribution à une ville moderne et sécurisée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Contacts publiés</w:t>
            </w:r>
          </w:p>
        </w:tc>
        <w:tc>
          <w:tcPr>
            <w:tcW w:type="dxa" w:w="6926"/>
            <w:tcMar>
              <w:top w:type="dxa" w:w="60"/>
              <w:left w:type="dxa" w:w="90"/>
              <w:bottom w:type="dxa" w:w="60"/>
              <w:right w:type="dxa" w:w="90"/>
            </w:tcMar>
          </w:tcPr>
          <w:p>
            <w:pPr>
              <w:spacing w:after="20" w:line="240"/>
            </w:pPr>
            <w:r>
              <w:rPr>
                <w:b w:val="false"/>
                <w:bCs w:val="false"/>
                <w:sz w:val="18"/>
                <w:szCs w:val="18"/>
              </w:rPr>
              <w:t xml:space="preserve">+243 816 151 048 ; +243 991 355 651 ; +243 851 209 237 ; secretariat@e-rfckinshasa.com</w:t>
            </w:r>
          </w:p>
        </w:tc>
      </w:tr>
    </w:tbl>
    <w:p>
      <w:pPr>
        <w:spacing w:after="120" w:line="276"/>
        <w:jc w:val="both"/>
      </w:pPr>
      <w:r>
        <w:rPr>
          <w:b w:val="false"/>
          <w:bCs w:val="false"/>
          <w:i w:val="false"/>
          <w:iCs w:val="false"/>
          <w:sz w:val="21"/>
          <w:szCs w:val="21"/>
        </w:rPr>
        <w:t xml:space="preserve">L'arrêté du 12 novembre 2025 fixe des conditions de circulation précises : éclairage et signalisation fonctionnels, rétroviseurs intérieur et extérieur, avertisseur sonore, essuie-glaces, pare-brise en bon état, vitres, pneumatiques conformes, respect des normes d'émission ainsi que des prescriptions relatives au réservoir et aux canalisations de carburant. L'éclairage technologique à diodes non homologué est prohibé. Chacun de ces points constitue, pour la plateforme, un champ de contrôle structuré et non un commentaire libre : c'est ce qui rend le procès-verbal comparable, statistiquement exploitable et opposable.</w:t>
      </w:r>
    </w:p>
    <w:p>
      <w:pPr>
        <w:pBdr>
          <w:left w:val="single" w:color="1BA996" w:sz="18" w:space="8"/>
        </w:pBdr>
        <w:spacing w:after="160" w:before="120" w:line="264"/>
        <w:ind w:left="180"/>
      </w:pPr>
      <w:r>
        <w:rPr>
          <w:b/>
          <w:bCs/>
          <w:color w:val="10262C"/>
          <w:sz w:val="20"/>
          <w:szCs w:val="20"/>
        </w:rPr>
        <w:t xml:space="preserve">Deux atouts institutionnels à ne pas négliger. </w:t>
      </w:r>
      <w:r>
        <w:rPr>
          <w:sz w:val="20"/>
          <w:szCs w:val="20"/>
        </w:rPr>
        <w:t xml:space="preserve">Le siège de la régie se trouve dans l'Immeuble du Gouvernement Provincial, ce qui rend immédiate la tenue d'un comité technique commun. Surtout, le parcours public du Directeur général comporte un mandat à l'Assemblée provinciale de Kinshasa puis les fonctions de Directeur général adjoint de la Direction générale des recettes de Kinshasa. La régie chargée du contrôle technique est donc dirigée par un responsable qui a exercé au sommet de l'administration des recettes provinciales : l'intégration proposée ici ne lui demande pas de découvrir la logique d'une plateforme de recettes, elle lui en confie une qu'il connaît déjà.</w:t>
      </w:r>
    </w:p>
    <w:p>
      <w:pPr>
        <w:pStyle w:val="Heading2"/>
        <w:spacing w:after="120" w:before="260"/>
      </w:pPr>
      <w:r>
        <w:t xml:space="preserve">18.2 Ce que la RFCK a déjà construit, et ce qui reste à construire</w:t>
      </w:r>
    </w:p>
    <w:p>
      <w:pPr>
        <w:spacing w:after="120" w:line="276"/>
        <w:jc w:val="both"/>
      </w:pPr>
      <w:r>
        <w:rPr>
          <w:b w:val="false"/>
          <w:bCs w:val="false"/>
          <w:i w:val="false"/>
          <w:iCs w:val="false"/>
          <w:sz w:val="21"/>
          <w:szCs w:val="21"/>
        </w:rPr>
        <w:t xml:space="preserve">La RFCK a engagé sa propre dématérialisation avant l'arrivée de MOSOLO. L'examen de ses services publics en ligne conduit toutefois à distinguer nettement deux réalités : des acquis opérationnels réels du côté métier, et une façade usager encore largement inachevée. Cette distinction change la nature de l'intégration : MOSOLO n'a pas à remplacer un service qui fonctionne, il a à fournir la couche usager qui manque, pendant que la régie conserve son métier.</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3744"/>
        <w:gridCol w:w="3557"/>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Élément</w:t>
            </w:r>
          </w:p>
        </w:tc>
        <w:tc>
          <w:tcPr>
            <w:tcW w:type="dxa" w:w="3744"/>
            <w:shd w:fill="E6F4F1" w:color="auto" w:val="clear"/>
            <w:tcMar>
              <w:top w:type="dxa" w:w="60"/>
              <w:left w:type="dxa" w:w="90"/>
              <w:bottom w:type="dxa" w:w="60"/>
              <w:right w:type="dxa" w:w="90"/>
            </w:tcMar>
          </w:tcPr>
          <w:p>
            <w:pPr>
              <w:spacing w:after="20" w:line="240"/>
            </w:pPr>
            <w:r>
              <w:rPr>
                <w:b/>
                <w:bCs/>
                <w:sz w:val="18"/>
                <w:szCs w:val="18"/>
              </w:rPr>
              <w:t xml:space="preserve">État observé</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Conséquence pour MOSOLO</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Vignette sécurisée à code QR</w:t>
            </w:r>
          </w:p>
        </w:tc>
        <w:tc>
          <w:tcPr>
            <w:tcW w:type="dxa" w:w="3744"/>
            <w:tcMar>
              <w:top w:type="dxa" w:w="60"/>
              <w:left w:type="dxa" w:w="90"/>
              <w:bottom w:type="dxa" w:w="60"/>
              <w:right w:type="dxa" w:w="90"/>
            </w:tcMar>
          </w:tcPr>
          <w:p>
            <w:pPr>
              <w:spacing w:after="20" w:line="240"/>
            </w:pPr>
            <w:r>
              <w:rPr>
                <w:b w:val="false"/>
                <w:bCs w:val="false"/>
                <w:sz w:val="18"/>
                <w:szCs w:val="18"/>
              </w:rPr>
              <w:t xml:space="preserve">Acquis opérationnel. Nouvelle vignette lancée le 29 avril 2026 pour voitures, motocycles, tricycles et autres engins roulants</w:t>
            </w:r>
          </w:p>
        </w:tc>
        <w:tc>
          <w:tcPr>
            <w:tcW w:type="dxa" w:w="3557"/>
            <w:tcMar>
              <w:top w:type="dxa" w:w="60"/>
              <w:left w:type="dxa" w:w="90"/>
              <w:bottom w:type="dxa" w:w="60"/>
              <w:right w:type="dxa" w:w="90"/>
            </w:tcMar>
          </w:tcPr>
          <w:p>
            <w:pPr>
              <w:spacing w:after="20" w:line="240"/>
            </w:pPr>
            <w:r>
              <w:rPr>
                <w:b w:val="false"/>
                <w:bCs w:val="false"/>
                <w:sz w:val="18"/>
                <w:szCs w:val="18"/>
              </w:rPr>
              <w:t xml:space="preserve">Devient la preuve numérique du volet technique, vérifiable par le même scan que la quittance fiscale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Procès-verbal de modèle unique</w:t>
            </w:r>
          </w:p>
        </w:tc>
        <w:tc>
          <w:tcPr>
            <w:tcW w:type="dxa" w:w="3744"/>
            <w:tcMar>
              <w:top w:type="dxa" w:w="60"/>
              <w:left w:type="dxa" w:w="90"/>
              <w:bottom w:type="dxa" w:w="60"/>
              <w:right w:type="dxa" w:w="90"/>
            </w:tcMar>
          </w:tcPr>
          <w:p>
            <w:pPr>
              <w:spacing w:after="20" w:line="240"/>
            </w:pPr>
            <w:r>
              <w:rPr>
                <w:b w:val="false"/>
                <w:bCs w:val="false"/>
                <w:sz w:val="18"/>
                <w:szCs w:val="18"/>
              </w:rPr>
              <w:t xml:space="preserve">Acquis opérationnel. Format normalisé du constat de contrôle</w:t>
            </w:r>
          </w:p>
        </w:tc>
        <w:tc>
          <w:tcPr>
            <w:tcW w:type="dxa" w:w="3557"/>
            <w:tcMar>
              <w:top w:type="dxa" w:w="60"/>
              <w:left w:type="dxa" w:w="90"/>
              <w:bottom w:type="dxa" w:w="60"/>
              <w:right w:type="dxa" w:w="90"/>
            </w:tcMar>
          </w:tcPr>
          <w:p>
            <w:pPr>
              <w:spacing w:after="20" w:line="240"/>
            </w:pPr>
            <w:r>
              <w:rPr>
                <w:b w:val="false"/>
                <w:bCs w:val="false"/>
                <w:sz w:val="18"/>
                <w:szCs w:val="18"/>
              </w:rPr>
              <w:t xml:space="preserve">Se transforme en enregistrement structuré, champ par champ, rattaché à l'objet véhicule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Réseau de centres agréés</w:t>
            </w:r>
          </w:p>
        </w:tc>
        <w:tc>
          <w:tcPr>
            <w:tcW w:type="dxa" w:w="3744"/>
            <w:tcMar>
              <w:top w:type="dxa" w:w="60"/>
              <w:left w:type="dxa" w:w="90"/>
              <w:bottom w:type="dxa" w:w="60"/>
              <w:right w:type="dxa" w:w="90"/>
            </w:tcMar>
          </w:tcPr>
          <w:p>
            <w:pPr>
              <w:spacing w:after="20" w:line="240"/>
            </w:pPr>
            <w:r>
              <w:rPr>
                <w:b w:val="false"/>
                <w:bCs w:val="false"/>
                <w:sz w:val="18"/>
                <w:szCs w:val="18"/>
              </w:rPr>
              <w:t xml:space="preserve">Acquis opérationnel. Ateliers autorisés, dont AUTO SÉCURITÉ, CABÉCO, CAT EXPRESS, DYNAMIC CONTRÔLE, LOSAKO TRADING COMPANY, LTServices et le centre CFCTA de l'INPP</w:t>
            </w:r>
          </w:p>
        </w:tc>
        <w:tc>
          <w:tcPr>
            <w:tcW w:type="dxa" w:w="3557"/>
            <w:tcMar>
              <w:top w:type="dxa" w:w="60"/>
              <w:left w:type="dxa" w:w="90"/>
              <w:bottom w:type="dxa" w:w="60"/>
              <w:right w:type="dxa" w:w="90"/>
            </w:tcMar>
          </w:tcPr>
          <w:p>
            <w:pPr>
              <w:spacing w:after="20" w:line="240"/>
            </w:pPr>
            <w:r>
              <w:rPr>
                <w:b w:val="false"/>
                <w:bCs w:val="false"/>
                <w:sz w:val="18"/>
                <w:szCs w:val="18"/>
              </w:rPr>
              <w:t xml:space="preserve">Registre des tiers de confiance, géolocalisés, avec habilitation, quota et analytique de conformité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Vérification de plaque en ligne</w:t>
            </w:r>
          </w:p>
        </w:tc>
        <w:tc>
          <w:tcPr>
            <w:tcW w:type="dxa" w:w="3744"/>
            <w:tcMar>
              <w:top w:type="dxa" w:w="60"/>
              <w:left w:type="dxa" w:w="90"/>
              <w:bottom w:type="dxa" w:w="60"/>
              <w:right w:type="dxa" w:w="90"/>
            </w:tcMar>
          </w:tcPr>
          <w:p>
            <w:pPr>
              <w:spacing w:after="20" w:line="240"/>
            </w:pPr>
            <w:r>
              <w:rPr>
                <w:b w:val="false"/>
                <w:bCs w:val="false"/>
                <w:sz w:val="18"/>
                <w:szCs w:val="18"/>
              </w:rPr>
              <w:t xml:space="preserve">Service en ligne existant, accessible au public</w:t>
            </w:r>
          </w:p>
        </w:tc>
        <w:tc>
          <w:tcPr>
            <w:tcW w:type="dxa" w:w="3557"/>
            <w:tcMar>
              <w:top w:type="dxa" w:w="60"/>
              <w:left w:type="dxa" w:w="90"/>
              <w:bottom w:type="dxa" w:w="60"/>
              <w:right w:type="dxa" w:w="90"/>
            </w:tcMar>
          </w:tcPr>
          <w:p>
            <w:pPr>
              <w:spacing w:after="20" w:line="240"/>
            </w:pPr>
            <w:r>
              <w:rPr>
                <w:b w:val="false"/>
                <w:bCs w:val="false"/>
                <w:sz w:val="18"/>
                <w:szCs w:val="18"/>
              </w:rPr>
              <w:t xml:space="preserve">Socle du scan unique : à élargir et à fusionner, non à recréer</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Prise de rendez-vous et attestations</w:t>
            </w:r>
          </w:p>
        </w:tc>
        <w:tc>
          <w:tcPr>
            <w:tcW w:type="dxa" w:w="3744"/>
            <w:tcMar>
              <w:top w:type="dxa" w:w="60"/>
              <w:left w:type="dxa" w:w="90"/>
              <w:bottom w:type="dxa" w:w="60"/>
              <w:right w:type="dxa" w:w="90"/>
            </w:tcMar>
          </w:tcPr>
          <w:p>
            <w:pPr>
              <w:spacing w:after="20" w:line="240"/>
            </w:pPr>
            <w:r>
              <w:rPr>
                <w:b w:val="false"/>
                <w:bCs w:val="false"/>
                <w:sz w:val="18"/>
                <w:szCs w:val="18"/>
              </w:rPr>
              <w:t xml:space="preserve">Annoncés comme services du portail</w:t>
            </w:r>
          </w:p>
        </w:tc>
        <w:tc>
          <w:tcPr>
            <w:tcW w:type="dxa" w:w="3557"/>
            <w:tcMar>
              <w:top w:type="dxa" w:w="60"/>
              <w:left w:type="dxa" w:w="90"/>
              <w:bottom w:type="dxa" w:w="60"/>
              <w:right w:type="dxa" w:w="90"/>
            </w:tcMar>
          </w:tcPr>
          <w:p>
            <w:pPr>
              <w:spacing w:after="20" w:line="240"/>
            </w:pPr>
            <w:r>
              <w:rPr>
                <w:b w:val="false"/>
                <w:bCs w:val="false"/>
                <w:sz w:val="18"/>
                <w:szCs w:val="18"/>
              </w:rPr>
              <w:t xml:space="preserve">Parcours repris dans l'espace contribuable unique, sans double saisie ni deuxième compte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Pages de présentation des services</w:t>
            </w:r>
          </w:p>
        </w:tc>
        <w:tc>
          <w:tcPr>
            <w:tcW w:type="dxa" w:w="3744"/>
            <w:tcMar>
              <w:top w:type="dxa" w:w="60"/>
              <w:left w:type="dxa" w:w="90"/>
              <w:bottom w:type="dxa" w:w="60"/>
              <w:right w:type="dxa" w:w="90"/>
            </w:tcMar>
          </w:tcPr>
          <w:p>
            <w:pPr>
              <w:spacing w:after="20" w:line="240"/>
            </w:pPr>
            <w:r>
              <w:rPr>
                <w:b w:val="false"/>
                <w:bCs w:val="false"/>
                <w:sz w:val="18"/>
                <w:szCs w:val="18"/>
              </w:rPr>
              <w:t xml:space="preserve">Inachevées : contenu de gabarit commercial non remplacé, rubrique d'actualités vide, plusieurs liens inactifs</w:t>
            </w:r>
          </w:p>
        </w:tc>
        <w:tc>
          <w:tcPr>
            <w:tcW w:type="dxa" w:w="3557"/>
            <w:tcMar>
              <w:top w:type="dxa" w:w="60"/>
              <w:left w:type="dxa" w:w="90"/>
              <w:bottom w:type="dxa" w:w="60"/>
              <w:right w:type="dxa" w:w="90"/>
            </w:tcMar>
          </w:tcPr>
          <w:p>
            <w:pPr>
              <w:spacing w:after="20" w:line="240"/>
            </w:pPr>
            <w:r>
              <w:rPr>
                <w:b w:val="false"/>
                <w:bCs w:val="false"/>
                <w:sz w:val="18"/>
                <w:szCs w:val="18"/>
              </w:rPr>
              <w:t xml:space="preserve">La couche d'information et de service à l'usager est à construire ; c'est l'apport le plus visible et le moins contesté de MOSOLO</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Campagne par phases</w:t>
            </w:r>
          </w:p>
        </w:tc>
        <w:tc>
          <w:tcPr>
            <w:tcW w:type="dxa" w:w="3744"/>
            <w:tcMar>
              <w:top w:type="dxa" w:w="60"/>
              <w:left w:type="dxa" w:w="90"/>
              <w:bottom w:type="dxa" w:w="60"/>
              <w:right w:type="dxa" w:w="90"/>
            </w:tcMar>
          </w:tcPr>
          <w:p>
            <w:pPr>
              <w:spacing w:after="20" w:line="240"/>
            </w:pPr>
            <w:r>
              <w:rPr>
                <w:b w:val="false"/>
                <w:bCs w:val="false"/>
                <w:sz w:val="18"/>
                <w:szCs w:val="18"/>
              </w:rPr>
              <w:t xml:space="preserve">En cours. Deuxième échéance effective depuis le 1er avril 2026, période de courtoisie routière, bouclage généralisé annoncé à partir du 10 août 2026</w:t>
            </w:r>
          </w:p>
        </w:tc>
        <w:tc>
          <w:tcPr>
            <w:tcW w:type="dxa" w:w="3557"/>
            <w:tcMar>
              <w:top w:type="dxa" w:w="60"/>
              <w:left w:type="dxa" w:w="90"/>
              <w:bottom w:type="dxa" w:w="60"/>
              <w:right w:type="dxa" w:w="90"/>
            </w:tcMar>
          </w:tcPr>
          <w:p>
            <w:pPr>
              <w:spacing w:after="20" w:line="240"/>
            </w:pPr>
            <w:r>
              <w:rPr>
                <w:b w:val="false"/>
                <w:bCs w:val="false"/>
                <w:sz w:val="18"/>
                <w:szCs w:val="18"/>
              </w:rPr>
              <w:t xml:space="preserve">Le rythme de contrainte devient un paramètre daté et journalisé, pas une règle codée en dur</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Écosystème fourrières</w:t>
            </w:r>
          </w:p>
        </w:tc>
        <w:tc>
          <w:tcPr>
            <w:tcW w:type="dxa" w:w="3744"/>
            <w:tcMar>
              <w:top w:type="dxa" w:w="60"/>
              <w:left w:type="dxa" w:w="90"/>
              <w:bottom w:type="dxa" w:w="60"/>
              <w:right w:type="dxa" w:w="90"/>
            </w:tcMar>
          </w:tcPr>
          <w:p>
            <w:pPr>
              <w:spacing w:after="20" w:line="240"/>
            </w:pPr>
            <w:r>
              <w:rPr>
                <w:b w:val="false"/>
                <w:bCs w:val="false"/>
                <w:sz w:val="18"/>
                <w:szCs w:val="18"/>
              </w:rPr>
              <w:t xml:space="preserve">En service. Gestionnaires, caissières, pointeurs et partenaires intervenant sur les véhicules immobilisés</w:t>
            </w:r>
          </w:p>
        </w:tc>
        <w:tc>
          <w:tcPr>
            <w:tcW w:type="dxa" w:w="3557"/>
            <w:tcMar>
              <w:top w:type="dxa" w:w="60"/>
              <w:left w:type="dxa" w:w="90"/>
              <w:bottom w:type="dxa" w:w="60"/>
              <w:right w:type="dxa" w:w="90"/>
            </w:tcMar>
          </w:tcPr>
          <w:p>
            <w:pPr>
              <w:spacing w:after="20" w:line="240"/>
            </w:pPr>
            <w:r>
              <w:rPr>
                <w:b w:val="false"/>
                <w:bCs w:val="false"/>
                <w:sz w:val="18"/>
                <w:szCs w:val="18"/>
              </w:rPr>
              <w:t xml:space="preserve">Circuit à refermer en priorité : zéro espèces, quittance vérifiable, rapprochement quotidien</w:t>
            </w:r>
          </w:p>
        </w:tc>
      </w:tr>
    </w:tbl>
    <w:p>
      <w:pPr>
        <w:pStyle w:val="Heading3"/>
        <w:spacing w:after="100" w:before="200"/>
      </w:pPr>
      <w:r>
        <w:t xml:space="preserve">Les compteurs publiés ne peuvent pas servir de base de référence</w:t>
      </w:r>
    </w:p>
    <w:p>
      <w:pPr>
        <w:spacing w:after="120" w:line="276"/>
        <w:jc w:val="both"/>
      </w:pPr>
      <w:r>
        <w:rPr>
          <w:b w:val="false"/>
          <w:bCs w:val="false"/>
          <w:i w:val="false"/>
          <w:iCs w:val="false"/>
          <w:sz w:val="21"/>
          <w:szCs w:val="21"/>
        </w:rPr>
        <w:t xml:space="preserve">Le site institutionnel de la régie affiche deux indicateurs : plus de 2 500 véhicules contrôlés depuis janvier 2024, et un taux de conformité de 95 %. Ces valeurs doivent être confirmées par la régie elle-même avant tout usage, pour deux raisons. D'abord, un volume de cet ordre est sans commune mesure avec la taille du parc kinois et avec l'ampleur des opérations de bouclage annoncées ; il s'agit vraisemblablement d'un compteur non actualisé. Ensuite, le même site comporte des pages manifestement inachevées, ce qui interdit de traiter ses chiffres comme une statistique officielle.</w:t>
      </w:r>
    </w:p>
    <w:p>
      <w:pPr>
        <w:spacing w:after="120" w:line="276"/>
        <w:jc w:val="both"/>
      </w:pPr>
      <w:r>
        <w:rPr>
          <w:b w:val="false"/>
          <w:bCs w:val="false"/>
          <w:i w:val="false"/>
          <w:iCs w:val="false"/>
          <w:sz w:val="21"/>
          <w:szCs w:val="21"/>
        </w:rPr>
        <w:t xml:space="preserve">Si en revanche le taux de 95 % devait être confirmé, il appellerait à lui seul un examen. Au regard des critères de conformité fixés par l'arrêté du 12 novembre 2025 — éclairage, rétroviseurs, avertisseur sonore, essuie-glaces, pare-brise, vitres, pneumatiques, émissions — un taux de réussite aussi élevé sur un parc urbain ancien constituerait précisément le signal que l'analytique décrite plus loin est conçue pour détecter.</w:t>
      </w:r>
    </w:p>
    <w:p>
      <w:pPr>
        <w:pBdr>
          <w:left w:val="single" w:color="1BA996" w:sz="18" w:space="8"/>
        </w:pBdr>
        <w:spacing w:after="160" w:before="120" w:line="264"/>
        <w:ind w:left="180"/>
      </w:pPr>
      <w:r>
        <w:rPr>
          <w:b/>
          <w:bCs/>
          <w:color w:val="10262C"/>
          <w:sz w:val="20"/>
          <w:szCs w:val="20"/>
        </w:rPr>
        <w:t xml:space="preserve">Risque de système parallèle. </w:t>
      </w:r>
      <w:r>
        <w:rPr>
          <w:sz w:val="20"/>
          <w:szCs w:val="20"/>
        </w:rPr>
        <w:t xml:space="preserve">Deux codes QR sur le même pare-brise, adossés à deux registres distincts, produiraient deux vérités sur le même véhicule et deux statistiques irréconciliables pour le Gouvernement provincial. L'intégration RFCK n'est donc pas une extension optionnelle de MOSOLO : c'est une condition pour que la chaîne véhicule ait un sens. Elle doit être traitée dès la phase de cadrage, avant la mise en production du module véhicules.</w:t>
      </w:r>
    </w:p>
    <w:p>
      <w:pPr>
        <w:pStyle w:val="Heading2"/>
        <w:spacing w:after="120" w:before="260"/>
      </w:pPr>
      <w:r>
        <w:t xml:space="preserve">18.3 Un seul objet « véhicule », plusieurs administrations</w:t>
      </w:r>
    </w:p>
    <w:p>
      <w:pPr>
        <w:spacing w:after="120" w:line="276"/>
        <w:jc w:val="both"/>
      </w:pPr>
      <w:r>
        <w:rPr>
          <w:b w:val="false"/>
          <w:bCs w:val="false"/>
          <w:i w:val="false"/>
          <w:iCs w:val="false"/>
          <w:sz w:val="21"/>
          <w:szCs w:val="21"/>
        </w:rPr>
        <w:t xml:space="preserve">Le véhicule est l'objet fiscal le plus partagé de la Ville : il porte des impôts provinciaux exclusifs, des taxes d'intérêt commun, des redevances de service et des recettes non fiscales, relevant d'au moins trois administrations. MOSOLO conserve un objet unique et attache à cet objet plusieurs obligations, chacune avec son administration compétente, sa base légale et son compte bénéficiaire.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621"/>
        <w:gridCol w:w="2059"/>
        <w:gridCol w:w="2246"/>
        <w:gridCol w:w="2434"/>
      </w:tblGrid>
      <w:tr>
        <w:trPr>
          <w:tblHeader/>
        </w:trPr>
        <w:tc>
          <w:tcPr>
            <w:tcW w:type="dxa" w:w="2621"/>
            <w:shd w:fill="E6F4F1" w:color="auto" w:val="clear"/>
            <w:tcMar>
              <w:top w:type="dxa" w:w="60"/>
              <w:left w:type="dxa" w:w="90"/>
              <w:bottom w:type="dxa" w:w="60"/>
              <w:right w:type="dxa" w:w="90"/>
            </w:tcMar>
          </w:tcPr>
          <w:p>
            <w:pPr>
              <w:spacing w:after="20" w:line="240"/>
            </w:pPr>
            <w:r>
              <w:rPr>
                <w:b/>
                <w:bCs/>
                <w:sz w:val="18"/>
                <w:szCs w:val="18"/>
              </w:rPr>
              <w:t xml:space="preserve">Ligne de recette</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Nature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Administration compétente</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Fait générateur</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Impôt sur les véhicules automoteurs (vignette fiscale)</w:t>
            </w:r>
          </w:p>
        </w:tc>
        <w:tc>
          <w:tcPr>
            <w:tcW w:type="dxa" w:w="2059"/>
            <w:tcMar>
              <w:top w:type="dxa" w:w="60"/>
              <w:left w:type="dxa" w:w="90"/>
              <w:bottom w:type="dxa" w:w="60"/>
              <w:right w:type="dxa" w:w="90"/>
            </w:tcMar>
          </w:tcPr>
          <w:p>
            <w:pPr>
              <w:spacing w:after="20" w:line="240"/>
            </w:pPr>
            <w:r>
              <w:rPr>
                <w:b w:val="false"/>
                <w:bCs w:val="false"/>
                <w:sz w:val="18"/>
                <w:szCs w:val="18"/>
              </w:rPr>
              <w:t xml:space="preserve">Impôt provincial exclusif (article 204 de la Constitution)</w:t>
            </w:r>
          </w:p>
        </w:tc>
        <w:tc>
          <w:tcPr>
            <w:tcW w:type="dxa" w:w="2246"/>
            <w:tcMar>
              <w:top w:type="dxa" w:w="60"/>
              <w:left w:type="dxa" w:w="90"/>
              <w:bottom w:type="dxa" w:w="60"/>
              <w:right w:type="dxa" w:w="90"/>
            </w:tcMar>
          </w:tcPr>
          <w:p>
            <w:pPr>
              <w:spacing w:after="20" w:line="240"/>
            </w:pPr>
            <w:r>
              <w:rPr>
                <w:b w:val="false"/>
                <w:bCs w:val="false"/>
                <w:sz w:val="18"/>
                <w:szCs w:val="18"/>
              </w:rPr>
              <w:t xml:space="preserve">Régie fiscale provinciale</w:t>
            </w:r>
          </w:p>
        </w:tc>
        <w:tc>
          <w:tcPr>
            <w:tcW w:type="dxa" w:w="2434"/>
            <w:tcMar>
              <w:top w:type="dxa" w:w="60"/>
              <w:left w:type="dxa" w:w="90"/>
              <w:bottom w:type="dxa" w:w="60"/>
              <w:right w:type="dxa" w:w="90"/>
            </w:tcMar>
          </w:tcPr>
          <w:p>
            <w:pPr>
              <w:spacing w:after="20" w:line="240"/>
            </w:pPr>
            <w:r>
              <w:rPr>
                <w:b w:val="false"/>
                <w:bCs w:val="false"/>
                <w:sz w:val="18"/>
                <w:szCs w:val="18"/>
              </w:rPr>
              <w:t xml:space="preserve">Détention d'un véhicule au titre de l'exercice</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Taxe spéciale de circulation routière</w:t>
            </w:r>
          </w:p>
        </w:tc>
        <w:tc>
          <w:tcPr>
            <w:tcW w:type="dxa" w:w="2059"/>
            <w:tcMar>
              <w:top w:type="dxa" w:w="60"/>
              <w:left w:type="dxa" w:w="90"/>
              <w:bottom w:type="dxa" w:w="60"/>
              <w:right w:type="dxa" w:w="90"/>
            </w:tcMar>
          </w:tcPr>
          <w:p>
            <w:pPr>
              <w:spacing w:after="20" w:line="240"/>
            </w:pPr>
            <w:r>
              <w:rPr>
                <w:b w:val="false"/>
                <w:bCs w:val="false"/>
                <w:sz w:val="18"/>
                <w:szCs w:val="18"/>
              </w:rPr>
              <w:t xml:space="preserve">Taxe d'intérêt commun</w:t>
            </w:r>
          </w:p>
        </w:tc>
        <w:tc>
          <w:tcPr>
            <w:tcW w:type="dxa" w:w="2246"/>
            <w:tcMar>
              <w:top w:type="dxa" w:w="60"/>
              <w:left w:type="dxa" w:w="90"/>
              <w:bottom w:type="dxa" w:w="60"/>
              <w:right w:type="dxa" w:w="90"/>
            </w:tcMar>
          </w:tcPr>
          <w:p>
            <w:pPr>
              <w:spacing w:after="20" w:line="240"/>
            </w:pPr>
            <w:r>
              <w:rPr>
                <w:b w:val="false"/>
                <w:bCs w:val="false"/>
                <w:sz w:val="18"/>
                <w:szCs w:val="18"/>
              </w:rPr>
              <w:t xml:space="preserve">Régie compétente</w:t>
            </w:r>
          </w:p>
        </w:tc>
        <w:tc>
          <w:tcPr>
            <w:tcW w:type="dxa" w:w="2434"/>
            <w:tcMar>
              <w:top w:type="dxa" w:w="60"/>
              <w:left w:type="dxa" w:w="90"/>
              <w:bottom w:type="dxa" w:w="60"/>
              <w:right w:type="dxa" w:w="90"/>
            </w:tcMar>
          </w:tcPr>
          <w:p>
            <w:pPr>
              <w:spacing w:after="20" w:line="240"/>
            </w:pPr>
            <w:r>
              <w:rPr>
                <w:b w:val="false"/>
                <w:bCs w:val="false"/>
                <w:sz w:val="18"/>
                <w:szCs w:val="18"/>
              </w:rPr>
              <w:t xml:space="preserve">Mise en circulation</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Redevance de contrôle technique</w:t>
            </w:r>
          </w:p>
        </w:tc>
        <w:tc>
          <w:tcPr>
            <w:tcW w:type="dxa" w:w="2059"/>
            <w:tcMar>
              <w:top w:type="dxa" w:w="60"/>
              <w:left w:type="dxa" w:w="90"/>
              <w:bottom w:type="dxa" w:w="60"/>
              <w:right w:type="dxa" w:w="90"/>
            </w:tcMar>
          </w:tcPr>
          <w:p>
            <w:pPr>
              <w:spacing w:after="20" w:line="240"/>
            </w:pPr>
            <w:r>
              <w:rPr>
                <w:b w:val="false"/>
                <w:bCs w:val="false"/>
                <w:sz w:val="18"/>
                <w:szCs w:val="18"/>
              </w:rPr>
              <w:t xml:space="preserve">Redevance de service</w:t>
            </w:r>
          </w:p>
        </w:tc>
        <w:tc>
          <w:tcPr>
            <w:tcW w:type="dxa" w:w="2246"/>
            <w:tcMar>
              <w:top w:type="dxa" w:w="60"/>
              <w:left w:type="dxa" w:w="90"/>
              <w:bottom w:type="dxa" w:w="60"/>
              <w:right w:type="dxa" w:w="90"/>
            </w:tcMar>
          </w:tcPr>
          <w:p>
            <w:pPr>
              <w:spacing w:after="20" w:line="240"/>
            </w:pPr>
            <w:r>
              <w:rPr>
                <w:b w:val="false"/>
                <w:bCs w:val="false"/>
                <w:sz w:val="18"/>
                <w:szCs w:val="18"/>
              </w:rPr>
              <w:t xml:space="preserve">RFCK et centres agréés</w:t>
            </w:r>
          </w:p>
        </w:tc>
        <w:tc>
          <w:tcPr>
            <w:tcW w:type="dxa" w:w="2434"/>
            <w:tcMar>
              <w:top w:type="dxa" w:w="60"/>
              <w:left w:type="dxa" w:w="90"/>
              <w:bottom w:type="dxa" w:w="60"/>
              <w:right w:type="dxa" w:w="90"/>
            </w:tcMar>
          </w:tcPr>
          <w:p>
            <w:pPr>
              <w:spacing w:after="20" w:line="240"/>
            </w:pPr>
            <w:r>
              <w:rPr>
                <w:b w:val="false"/>
                <w:bCs w:val="false"/>
                <w:sz w:val="18"/>
                <w:szCs w:val="18"/>
              </w:rPr>
              <w:t xml:space="preserve">Réalisation de l'inspection périodique</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Frais d'enlèvement et de gardiennage</w:t>
            </w:r>
          </w:p>
        </w:tc>
        <w:tc>
          <w:tcPr>
            <w:tcW w:type="dxa" w:w="2059"/>
            <w:tcMar>
              <w:top w:type="dxa" w:w="60"/>
              <w:left w:type="dxa" w:w="90"/>
              <w:bottom w:type="dxa" w:w="60"/>
              <w:right w:type="dxa" w:w="90"/>
            </w:tcMar>
          </w:tcPr>
          <w:p>
            <w:pPr>
              <w:spacing w:after="20" w:line="240"/>
            </w:pPr>
            <w:r>
              <w:rPr>
                <w:b w:val="false"/>
                <w:bCs w:val="false"/>
                <w:sz w:val="18"/>
                <w:szCs w:val="18"/>
              </w:rPr>
              <w:t xml:space="preserve">Recette non fiscale</w:t>
            </w:r>
          </w:p>
        </w:tc>
        <w:tc>
          <w:tcPr>
            <w:tcW w:type="dxa" w:w="2246"/>
            <w:tcMar>
              <w:top w:type="dxa" w:w="60"/>
              <w:left w:type="dxa" w:w="90"/>
              <w:bottom w:type="dxa" w:w="60"/>
              <w:right w:type="dxa" w:w="90"/>
            </w:tcMar>
          </w:tcPr>
          <w:p>
            <w:pPr>
              <w:spacing w:after="20" w:line="240"/>
            </w:pPr>
            <w:r>
              <w:rPr>
                <w:b w:val="false"/>
                <w:bCs w:val="false"/>
                <w:sz w:val="18"/>
                <w:szCs w:val="18"/>
              </w:rPr>
              <w:t xml:space="preserve">RFCK</w:t>
            </w:r>
          </w:p>
        </w:tc>
        <w:tc>
          <w:tcPr>
            <w:tcW w:type="dxa" w:w="2434"/>
            <w:tcMar>
              <w:top w:type="dxa" w:w="60"/>
              <w:left w:type="dxa" w:w="90"/>
              <w:bottom w:type="dxa" w:w="60"/>
              <w:right w:type="dxa" w:w="90"/>
            </w:tcMar>
          </w:tcPr>
          <w:p>
            <w:pPr>
              <w:spacing w:after="20" w:line="240"/>
            </w:pPr>
            <w:r>
              <w:rPr>
                <w:b w:val="false"/>
                <w:bCs w:val="false"/>
                <w:sz w:val="18"/>
                <w:szCs w:val="18"/>
              </w:rPr>
              <w:t xml:space="preserve">Immobilisation et mise en fourrière</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Taxe d'autorisation de transport</w:t>
            </w:r>
          </w:p>
        </w:tc>
        <w:tc>
          <w:tcPr>
            <w:tcW w:type="dxa" w:w="2059"/>
            <w:tcMar>
              <w:top w:type="dxa" w:w="60"/>
              <w:left w:type="dxa" w:w="90"/>
              <w:bottom w:type="dxa" w:w="60"/>
              <w:right w:type="dxa" w:w="90"/>
            </w:tcMar>
          </w:tcPr>
          <w:p>
            <w:pPr>
              <w:spacing w:after="20" w:line="240"/>
            </w:pPr>
            <w:r>
              <w:rPr>
                <w:b w:val="false"/>
                <w:bCs w:val="false"/>
                <w:sz w:val="18"/>
                <w:szCs w:val="18"/>
              </w:rPr>
              <w:t xml:space="preserve">Taxe provinciale spécifique</w:t>
            </w:r>
          </w:p>
        </w:tc>
        <w:tc>
          <w:tcPr>
            <w:tcW w:type="dxa" w:w="2246"/>
            <w:tcMar>
              <w:top w:type="dxa" w:w="60"/>
              <w:left w:type="dxa" w:w="90"/>
              <w:bottom w:type="dxa" w:w="60"/>
              <w:right w:type="dxa" w:w="90"/>
            </w:tcMar>
          </w:tcPr>
          <w:p>
            <w:pPr>
              <w:spacing w:after="20" w:line="240"/>
            </w:pPr>
            <w:r>
              <w:rPr>
                <w:b w:val="false"/>
                <w:bCs w:val="false"/>
                <w:sz w:val="18"/>
                <w:szCs w:val="18"/>
              </w:rPr>
              <w:t xml:space="preserve">Service provincial des transports</w:t>
            </w:r>
          </w:p>
        </w:tc>
        <w:tc>
          <w:tcPr>
            <w:tcW w:type="dxa" w:w="2434"/>
            <w:tcMar>
              <w:top w:type="dxa" w:w="60"/>
              <w:left w:type="dxa" w:w="90"/>
              <w:bottom w:type="dxa" w:w="60"/>
              <w:right w:type="dxa" w:w="90"/>
            </w:tcMar>
          </w:tcPr>
          <w:p>
            <w:pPr>
              <w:spacing w:after="20" w:line="240"/>
            </w:pPr>
            <w:r>
              <w:rPr>
                <w:b w:val="false"/>
                <w:bCs w:val="false"/>
                <w:sz w:val="18"/>
                <w:szCs w:val="18"/>
              </w:rPr>
              <w:t xml:space="preserve">Exploitation d'une activité de transport</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Amendes et pénalités de circulation</w:t>
            </w:r>
          </w:p>
        </w:tc>
        <w:tc>
          <w:tcPr>
            <w:tcW w:type="dxa" w:w="2059"/>
            <w:tcMar>
              <w:top w:type="dxa" w:w="60"/>
              <w:left w:type="dxa" w:w="90"/>
              <w:bottom w:type="dxa" w:w="60"/>
              <w:right w:type="dxa" w:w="90"/>
            </w:tcMar>
          </w:tcPr>
          <w:p>
            <w:pPr>
              <w:spacing w:after="20" w:line="240"/>
            </w:pPr>
            <w:r>
              <w:rPr>
                <w:b w:val="false"/>
                <w:bCs w:val="false"/>
                <w:sz w:val="18"/>
                <w:szCs w:val="18"/>
              </w:rPr>
              <w:t xml:space="preserve">Recette non fiscale</w:t>
            </w:r>
          </w:p>
        </w:tc>
        <w:tc>
          <w:tcPr>
            <w:tcW w:type="dxa" w:w="2246"/>
            <w:tcMar>
              <w:top w:type="dxa" w:w="60"/>
              <w:left w:type="dxa" w:w="90"/>
              <w:bottom w:type="dxa" w:w="60"/>
              <w:right w:type="dxa" w:w="90"/>
            </w:tcMar>
          </w:tcPr>
          <w:p>
            <w:pPr>
              <w:spacing w:after="20" w:line="240"/>
            </w:pPr>
            <w:r>
              <w:rPr>
                <w:b w:val="false"/>
                <w:bCs w:val="false"/>
                <w:sz w:val="18"/>
                <w:szCs w:val="18"/>
              </w:rPr>
              <w:t xml:space="preserve">Autorité verbalisatrice compétente</w:t>
            </w:r>
          </w:p>
        </w:tc>
        <w:tc>
          <w:tcPr>
            <w:tcW w:type="dxa" w:w="2434"/>
            <w:tcMar>
              <w:top w:type="dxa" w:w="60"/>
              <w:left w:type="dxa" w:w="90"/>
              <w:bottom w:type="dxa" w:w="60"/>
              <w:right w:type="dxa" w:w="90"/>
            </w:tcMar>
          </w:tcPr>
          <w:p>
            <w:pPr>
              <w:spacing w:after="20" w:line="240"/>
            </w:pPr>
            <w:r>
              <w:rPr>
                <w:b w:val="false"/>
                <w:bCs w:val="false"/>
                <w:sz w:val="18"/>
                <w:szCs w:val="18"/>
              </w:rPr>
              <w:t xml:space="preserve">Infraction constatée</w:t>
            </w:r>
          </w:p>
        </w:tc>
      </w:tr>
    </w:tbl>
    <w:p>
      <w:pPr>
        <w:pBdr>
          <w:left w:val="single" w:color="1BA996" w:sz="18" w:space="8"/>
        </w:pBdr>
        <w:spacing w:after="160" w:before="120" w:line="264"/>
        <w:ind w:left="180"/>
      </w:pPr>
      <w:r>
        <w:rPr>
          <w:b/>
          <w:bCs/>
          <w:color w:val="10262C"/>
          <w:sz w:val="20"/>
          <w:szCs w:val="20"/>
        </w:rPr>
        <w:t xml:space="preserve">Deux vignettes, deux objets juridiques distincts. </w:t>
      </w:r>
      <w:r>
        <w:rPr>
          <w:sz w:val="20"/>
          <w:szCs w:val="20"/>
        </w:rPr>
        <w:t xml:space="preserve">La vignette fiscale, qui matérialise l'impôt sur les véhicules automoteurs, et la vignette de contrôle technique délivrée par la RFCK n'ont ni le même fait générateur, ni la même base légale, ni la même administration bénéficiaire. Un conducteur peut être parfaitement en règle au regard de l'une et en infraction au regard de l'autre. La plateforme doit afficher deux lignes distinctes sur le même objet véhicule et n'agréger jamais les deux en un statut unique « vignette payée ». Cette confusion est la première source prévisible d'immobilisations injustifiées et de contentieux de masse.</w:t>
      </w:r>
    </w:p>
    <w:p>
      <w:pPr>
        <w:pStyle w:val="Heading2"/>
        <w:spacing w:after="120" w:before="260"/>
      </w:pPr>
      <w:r>
        <w:t xml:space="preserve">18.4 Le scan unique au point de contrôle</w:t>
      </w:r>
    </w:p>
    <w:p>
      <w:pPr>
        <w:spacing w:after="120" w:line="276"/>
        <w:jc w:val="both"/>
      </w:pPr>
      <w:r>
        <w:rPr>
          <w:b w:val="false"/>
          <w:bCs w:val="false"/>
          <w:i w:val="false"/>
          <w:iCs w:val="false"/>
          <w:sz w:val="21"/>
          <w:szCs w:val="21"/>
        </w:rPr>
        <w:t xml:space="preserve">L'agent au bord de la route n'a ni le temps ni les moyens d'interroger trois systèmes. La régie exploite déjà un service public de vérification par plaque : le scan unique de MOSOLO ne part donc pas de zéro, il élargit un service existant et le rend opposable. Un seul scan — plaque, code QR de la vignette fiscale ou code QR de la vignette technique — ouvre une vue unique et hiérarchisée :</w:t>
      </w:r>
    </w:p>
    <w:p>
      <w:pPr>
        <w:pStyle w:val="ListItem"/>
        <w:numPr>
          <w:ilvl w:val="0"/>
          <w:numId w:val="1"/>
        </w:numPr>
        <w:spacing w:after="60" w:line="264"/>
      </w:pPr>
      <w:r>
        <w:t xml:space="preserve">identification : plaque, catégorie, propriétaire de référence, statut du rattachement au compte ;</w:t>
      </w:r>
    </w:p>
    <w:p>
      <w:pPr>
        <w:pStyle w:val="ListItem"/>
        <w:numPr>
          <w:ilvl w:val="0"/>
          <w:numId w:val="1"/>
        </w:numPr>
        <w:spacing w:after="60" w:line="264"/>
      </w:pPr>
      <w:r>
        <w:t xml:space="preserve">vignette fiscale : payée, échue, contestée, avec la référence de quittance ;</w:t>
      </w:r>
    </w:p>
    <w:p>
      <w:pPr>
        <w:pStyle w:val="ListItem"/>
        <w:numPr>
          <w:ilvl w:val="0"/>
          <w:numId w:val="1"/>
        </w:numPr>
        <w:spacing w:after="60" w:line="264"/>
      </w:pPr>
      <w:r>
        <w:t xml:space="preserve">taxe spéciale de circulation routière : même logique, ligne séparée ;</w:t>
      </w:r>
    </w:p>
    <w:p>
      <w:pPr>
        <w:pStyle w:val="ListItem"/>
        <w:numPr>
          <w:ilvl w:val="0"/>
          <w:numId w:val="1"/>
        </w:numPr>
        <w:spacing w:after="60" w:line="264"/>
      </w:pPr>
      <w:r>
        <w:t xml:space="preserve">contrôle technique : date du dernier contrôle, centre agréé l'ayant réalisé, résultat, date d'échéance ;</w:t>
      </w:r>
    </w:p>
    <w:p>
      <w:pPr>
        <w:pStyle w:val="ListItem"/>
        <w:numPr>
          <w:ilvl w:val="0"/>
          <w:numId w:val="1"/>
        </w:numPr>
        <w:spacing w:after="60" w:line="264"/>
      </w:pPr>
      <w:r>
        <w:t xml:space="preserve">autorisation de transport, lorsque le véhicule est exploité à ce titre ;</w:t>
      </w:r>
    </w:p>
    <w:p>
      <w:pPr>
        <w:pStyle w:val="ListItem"/>
        <w:numPr>
          <w:ilvl w:val="0"/>
          <w:numId w:val="1"/>
        </w:numPr>
        <w:spacing w:after="60" w:line="264"/>
      </w:pPr>
      <w:r>
        <w:t xml:space="preserve">antécédents de fourrière : immobilisations passées, sorties régulières, redevances impayées ;</w:t>
      </w:r>
    </w:p>
    <w:p>
      <w:pPr>
        <w:pStyle w:val="ListItem"/>
        <w:numPr>
          <w:ilvl w:val="0"/>
          <w:numId w:val="1"/>
        </w:numPr>
        <w:spacing w:after="60" w:line="264"/>
      </w:pPr>
      <w:r>
        <w:t xml:space="preserve">quitus fiscal provincial : disponible ou non, avec le motif du blocage le cas échéant.</w:t>
      </w:r>
    </w:p>
    <w:p>
      <w:pPr>
        <w:spacing w:after="120" w:line="276"/>
        <w:jc w:val="both"/>
      </w:pPr>
      <w:r>
        <w:rPr>
          <w:b w:val="false"/>
          <w:bCs w:val="false"/>
          <w:i w:val="false"/>
          <w:iCs w:val="false"/>
          <w:sz w:val="21"/>
          <w:szCs w:val="21"/>
        </w:rPr>
        <w:t xml:space="preserve">La plateforme affiche ; elle ne sanctionne pas. L'agent agit ensuite dans le strict cadre de ses pouvoirs légaux, et sa décision est enregistrée avec son identité, sa position et l'horodatage. Hors connexion, le terminal conserve un statut minimal chargé au départ de la mission, dont la fraîcheur est affichée à l'écran afin qu'un statut ancien ne soit jamais présenté comme certain.</w:t>
      </w:r>
    </w:p>
    <w:p>
      <w:pPr>
        <w:pBdr>
          <w:left w:val="single" w:color="1BA996" w:sz="18" w:space="8"/>
        </w:pBdr>
        <w:spacing w:after="160" w:before="120" w:line="264"/>
        <w:ind w:left="180"/>
      </w:pPr>
      <w:r>
        <w:rPr>
          <w:b/>
          <w:bCs/>
          <w:color w:val="10262C"/>
          <w:sz w:val="20"/>
          <w:szCs w:val="20"/>
        </w:rPr>
        <w:t xml:space="preserve">Mode courtoisie. </w:t>
      </w:r>
      <w:r>
        <w:rPr>
          <w:sz w:val="20"/>
          <w:szCs w:val="20"/>
        </w:rPr>
        <w:t xml:space="preserve">L'autorité urbaine fixe elle-même les périodes de tolérance et les dates de bouclage généralisé : pendant la période de courtoisie routière, les contrôles de vignettes et les procès-verbaux ont été suspendus dans toute la ville. La posture de contrainte doit donc être un paramètre daté, activable par catégorie de véhicule et par commune, décidé par l'autorité compétente et journalisé — jamais une règle enfouie dans le code, qu'une décision politique obligerait à corriger par une nouvelle version du logiciel.</w:t>
      </w:r>
    </w:p>
    <w:p>
      <w:pPr>
        <w:pStyle w:val="Heading2"/>
        <w:spacing w:after="120" w:before="260"/>
      </w:pPr>
      <w:r>
        <w:t xml:space="preserve">18.5 Les recettes de fourrière, circuit le plus exposé</w:t>
      </w:r>
    </w:p>
    <w:p>
      <w:pPr>
        <w:spacing w:after="120" w:line="276"/>
        <w:jc w:val="both"/>
      </w:pPr>
      <w:r>
        <w:rPr>
          <w:b w:val="false"/>
          <w:bCs w:val="false"/>
          <w:i w:val="false"/>
          <w:iCs w:val="false"/>
          <w:sz w:val="21"/>
          <w:szCs w:val="21"/>
        </w:rPr>
        <w:t xml:space="preserve">La fourrière réunit toutes les conditions de la déperdition : un usager en position de faiblesse puisque son véhicule est retenu, une urgence à récupérer un outil de travail, un tarif proportionnel au temps écoulé, et une chaîne opérée par des gestionnaires, des caissières et des pointeurs manipulant des valeurs. C'est précisément là que le principe « zéro espèces » produit le plus d'effet.</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4306"/>
        <w:gridCol w:w="2995"/>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Étape</w:t>
            </w:r>
          </w:p>
        </w:tc>
        <w:tc>
          <w:tcPr>
            <w:tcW w:type="dxa" w:w="4306"/>
            <w:shd w:fill="E6F4F1" w:color="auto" w:val="clear"/>
            <w:tcMar>
              <w:top w:type="dxa" w:w="60"/>
              <w:left w:type="dxa" w:w="90"/>
              <w:bottom w:type="dxa" w:w="60"/>
              <w:right w:type="dxa" w:w="90"/>
            </w:tcMar>
          </w:tcPr>
          <w:p>
            <w:pPr>
              <w:spacing w:after="20" w:line="240"/>
            </w:pPr>
            <w:r>
              <w:rPr>
                <w:b/>
                <w:bCs/>
                <w:sz w:val="18"/>
                <w:szCs w:val="18"/>
              </w:rPr>
              <w:t xml:space="preserve">Enregistrement obligatoire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Contrôle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Constat et immobilisation</w:t>
            </w:r>
          </w:p>
        </w:tc>
        <w:tc>
          <w:tcPr>
            <w:tcW w:type="dxa" w:w="4306"/>
            <w:tcMar>
              <w:top w:type="dxa" w:w="60"/>
              <w:left w:type="dxa" w:w="90"/>
              <w:bottom w:type="dxa" w:w="60"/>
              <w:right w:type="dxa" w:w="90"/>
            </w:tcMar>
          </w:tcPr>
          <w:p>
            <w:pPr>
              <w:spacing w:after="20" w:line="240"/>
            </w:pPr>
            <w:r>
              <w:rPr>
                <w:b w:val="false"/>
                <w:bCs w:val="false"/>
                <w:sz w:val="18"/>
                <w:szCs w:val="18"/>
              </w:rPr>
              <w:t xml:space="preserve">Motif légal, agent, GPS, horodatage, photographies du véhicule et de son état</w:t>
            </w:r>
          </w:p>
        </w:tc>
        <w:tc>
          <w:tcPr>
            <w:tcW w:type="dxa" w:w="2995"/>
            <w:tcMar>
              <w:top w:type="dxa" w:w="60"/>
              <w:left w:type="dxa" w:w="90"/>
              <w:bottom w:type="dxa" w:w="60"/>
              <w:right w:type="dxa" w:w="90"/>
            </w:tcMar>
          </w:tcPr>
          <w:p>
            <w:pPr>
              <w:spacing w:after="20" w:line="240"/>
            </w:pPr>
            <w:r>
              <w:rPr>
                <w:b w:val="false"/>
                <w:bCs w:val="false"/>
                <w:sz w:val="18"/>
                <w:szCs w:val="18"/>
              </w:rPr>
              <w:t xml:space="preserve">Dossier incomplet : pas d'entrée en fourrière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Entrée en fourrière</w:t>
            </w:r>
          </w:p>
        </w:tc>
        <w:tc>
          <w:tcPr>
            <w:tcW w:type="dxa" w:w="4306"/>
            <w:tcMar>
              <w:top w:type="dxa" w:w="60"/>
              <w:left w:type="dxa" w:w="90"/>
              <w:bottom w:type="dxa" w:w="60"/>
              <w:right w:type="dxa" w:w="90"/>
            </w:tcMar>
          </w:tcPr>
          <w:p>
            <w:pPr>
              <w:spacing w:after="20" w:line="240"/>
            </w:pPr>
            <w:r>
              <w:rPr>
                <w:b w:val="false"/>
                <w:bCs w:val="false"/>
                <w:sz w:val="18"/>
                <w:szCs w:val="18"/>
              </w:rPr>
              <w:t xml:space="preserve">Inventaire photographique contradictoire, identification du site, numéro d'ordre</w:t>
            </w:r>
          </w:p>
        </w:tc>
        <w:tc>
          <w:tcPr>
            <w:tcW w:type="dxa" w:w="2995"/>
            <w:tcMar>
              <w:top w:type="dxa" w:w="60"/>
              <w:left w:type="dxa" w:w="90"/>
              <w:bottom w:type="dxa" w:w="60"/>
              <w:right w:type="dxa" w:w="90"/>
            </w:tcMar>
          </w:tcPr>
          <w:p>
            <w:pPr>
              <w:spacing w:after="20" w:line="240"/>
            </w:pPr>
            <w:r>
              <w:rPr>
                <w:b w:val="false"/>
                <w:bCs w:val="false"/>
                <w:sz w:val="18"/>
                <w:szCs w:val="18"/>
              </w:rPr>
              <w:t xml:space="preserve">Site de fourrière géolocalisé comme objet de la plateforme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Gardiennage</w:t>
            </w:r>
          </w:p>
        </w:tc>
        <w:tc>
          <w:tcPr>
            <w:tcW w:type="dxa" w:w="4306"/>
            <w:tcMar>
              <w:top w:type="dxa" w:w="60"/>
              <w:left w:type="dxa" w:w="90"/>
              <w:bottom w:type="dxa" w:w="60"/>
              <w:right w:type="dxa" w:w="90"/>
            </w:tcMar>
          </w:tcPr>
          <w:p>
            <w:pPr>
              <w:spacing w:after="20" w:line="240"/>
            </w:pPr>
            <w:r>
              <w:rPr>
                <w:b w:val="false"/>
                <w:bCs w:val="false"/>
                <w:sz w:val="18"/>
                <w:szCs w:val="18"/>
              </w:rPr>
              <w:t xml:space="preserve">Compteur de jours automatique, tarif issu du référentiel</w:t>
            </w:r>
          </w:p>
        </w:tc>
        <w:tc>
          <w:tcPr>
            <w:tcW w:type="dxa" w:w="2995"/>
            <w:tcMar>
              <w:top w:type="dxa" w:w="60"/>
              <w:left w:type="dxa" w:w="90"/>
              <w:bottom w:type="dxa" w:w="60"/>
              <w:right w:type="dxa" w:w="90"/>
            </w:tcMar>
          </w:tcPr>
          <w:p>
            <w:pPr>
              <w:spacing w:after="20" w:line="240"/>
            </w:pPr>
            <w:r>
              <w:rPr>
                <w:b w:val="false"/>
                <w:bCs w:val="false"/>
                <w:sz w:val="18"/>
                <w:szCs w:val="18"/>
              </w:rPr>
              <w:t xml:space="preserve">Aucun calcul manuel, aucune remise négociée sur place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Liquidation</w:t>
            </w:r>
          </w:p>
        </w:tc>
        <w:tc>
          <w:tcPr>
            <w:tcW w:type="dxa" w:w="4306"/>
            <w:tcMar>
              <w:top w:type="dxa" w:w="60"/>
              <w:left w:type="dxa" w:w="90"/>
              <w:bottom w:type="dxa" w:w="60"/>
              <w:right w:type="dxa" w:w="90"/>
            </w:tcMar>
          </w:tcPr>
          <w:p>
            <w:pPr>
              <w:spacing w:after="20" w:line="240"/>
            </w:pPr>
            <w:r>
              <w:rPr>
                <w:b w:val="false"/>
                <w:bCs w:val="false"/>
                <w:sz w:val="18"/>
                <w:szCs w:val="18"/>
              </w:rPr>
              <w:t xml:space="preserve">Montant dû, ventilé par nature (enlèvement, gardiennage, autres droits)</w:t>
            </w:r>
          </w:p>
        </w:tc>
        <w:tc>
          <w:tcPr>
            <w:tcW w:type="dxa" w:w="2995"/>
            <w:tcMar>
              <w:top w:type="dxa" w:w="60"/>
              <w:left w:type="dxa" w:w="90"/>
              <w:bottom w:type="dxa" w:w="60"/>
              <w:right w:type="dxa" w:w="90"/>
            </w:tcMar>
          </w:tcPr>
          <w:p>
            <w:pPr>
              <w:spacing w:after="20" w:line="240"/>
            </w:pPr>
            <w:r>
              <w:rPr>
                <w:b w:val="false"/>
                <w:bCs w:val="false"/>
                <w:sz w:val="18"/>
                <w:szCs w:val="18"/>
              </w:rPr>
              <w:t xml:space="preserve">Règle validée et référence légale affichées à l'usager</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Paiement</w:t>
            </w:r>
          </w:p>
        </w:tc>
        <w:tc>
          <w:tcPr>
            <w:tcW w:type="dxa" w:w="4306"/>
            <w:tcMar>
              <w:top w:type="dxa" w:w="60"/>
              <w:left w:type="dxa" w:w="90"/>
              <w:bottom w:type="dxa" w:w="60"/>
              <w:right w:type="dxa" w:w="90"/>
            </w:tcMar>
          </w:tcPr>
          <w:p>
            <w:pPr>
              <w:spacing w:after="20" w:line="240"/>
            </w:pPr>
            <w:r>
              <w:rPr>
                <w:b w:val="false"/>
                <w:bCs w:val="false"/>
                <w:sz w:val="18"/>
                <w:szCs w:val="18"/>
              </w:rPr>
              <w:t xml:space="preserve">Mobile Money, banque ou carte vers le compte public désigné</w:t>
            </w:r>
          </w:p>
        </w:tc>
        <w:tc>
          <w:tcPr>
            <w:tcW w:type="dxa" w:w="2995"/>
            <w:tcMar>
              <w:top w:type="dxa" w:w="60"/>
              <w:left w:type="dxa" w:w="90"/>
              <w:bottom w:type="dxa" w:w="60"/>
              <w:right w:type="dxa" w:w="90"/>
            </w:tcMar>
          </w:tcPr>
          <w:p>
            <w:pPr>
              <w:spacing w:after="20" w:line="240"/>
            </w:pPr>
            <w:r>
              <w:rPr>
                <w:b w:val="false"/>
                <w:bCs w:val="false"/>
                <w:sz w:val="18"/>
                <w:szCs w:val="18"/>
              </w:rPr>
              <w:t xml:space="preserve">Aucun encaissement par un agent ou un partenaire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Mainlevée et sortie</w:t>
            </w:r>
          </w:p>
        </w:tc>
        <w:tc>
          <w:tcPr>
            <w:tcW w:type="dxa" w:w="4306"/>
            <w:tcMar>
              <w:top w:type="dxa" w:w="60"/>
              <w:left w:type="dxa" w:w="90"/>
              <w:bottom w:type="dxa" w:w="60"/>
              <w:right w:type="dxa" w:w="90"/>
            </w:tcMar>
          </w:tcPr>
          <w:p>
            <w:pPr>
              <w:spacing w:after="20" w:line="240"/>
            </w:pPr>
            <w:r>
              <w:rPr>
                <w:b w:val="false"/>
                <w:bCs w:val="false"/>
                <w:sz w:val="18"/>
                <w:szCs w:val="18"/>
              </w:rPr>
              <w:t xml:space="preserve">Quittance à code QR appariée, état de sortie photographié, identité du retirant</w:t>
            </w:r>
          </w:p>
        </w:tc>
        <w:tc>
          <w:tcPr>
            <w:tcW w:type="dxa" w:w="2995"/>
            <w:tcMar>
              <w:top w:type="dxa" w:w="60"/>
              <w:left w:type="dxa" w:w="90"/>
              <w:bottom w:type="dxa" w:w="60"/>
              <w:right w:type="dxa" w:w="90"/>
            </w:tcMar>
          </w:tcPr>
          <w:p>
            <w:pPr>
              <w:spacing w:after="20" w:line="240"/>
            </w:pPr>
            <w:r>
              <w:rPr>
                <w:b w:val="false"/>
                <w:bCs w:val="false"/>
                <w:sz w:val="18"/>
                <w:szCs w:val="18"/>
              </w:rPr>
              <w:t xml:space="preserve">Sortie techniquement impossible sans quittance appariée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Disposition légale éventuelle</w:t>
            </w:r>
          </w:p>
        </w:tc>
        <w:tc>
          <w:tcPr>
            <w:tcW w:type="dxa" w:w="4306"/>
            <w:tcMar>
              <w:top w:type="dxa" w:w="60"/>
              <w:left w:type="dxa" w:w="90"/>
              <w:bottom w:type="dxa" w:w="60"/>
              <w:right w:type="dxa" w:w="90"/>
            </w:tcMar>
          </w:tcPr>
          <w:p>
            <w:pPr>
              <w:spacing w:after="20" w:line="240"/>
            </w:pPr>
            <w:r>
              <w:rPr>
                <w:b w:val="false"/>
                <w:bCs w:val="false"/>
                <w:sz w:val="18"/>
                <w:szCs w:val="18"/>
              </w:rPr>
              <w:t xml:space="preserve">Décision de l'autorité compétente, preuve de notification, délai de recours échu</w:t>
            </w:r>
          </w:p>
        </w:tc>
        <w:tc>
          <w:tcPr>
            <w:tcW w:type="dxa" w:w="2995"/>
            <w:tcMar>
              <w:top w:type="dxa" w:w="60"/>
              <w:left w:type="dxa" w:w="90"/>
              <w:bottom w:type="dxa" w:w="60"/>
              <w:right w:type="dxa" w:w="90"/>
            </w:tcMar>
          </w:tcPr>
          <w:p>
            <w:pPr>
              <w:spacing w:after="20" w:line="240"/>
            </w:pPr>
            <w:r>
              <w:rPr>
                <w:b w:val="false"/>
                <w:bCs w:val="false"/>
                <w:sz w:val="18"/>
                <w:szCs w:val="18"/>
              </w:rPr>
              <w:t xml:space="preserve">Double validation ; jamais déclenchée par un automatisme</w:t>
            </w:r>
          </w:p>
        </w:tc>
      </w:tr>
    </w:tbl>
    <w:p>
      <w:pPr>
        <w:spacing w:after="120" w:line="276"/>
        <w:jc w:val="both"/>
      </w:pPr>
      <w:r>
        <w:rPr>
          <w:b w:val="false"/>
          <w:bCs w:val="false"/>
          <w:i w:val="false"/>
          <w:iCs w:val="false"/>
          <w:sz w:val="21"/>
          <w:szCs w:val="21"/>
        </w:rPr>
        <w:t xml:space="preserve">Le compteur de jours est l'élément le plus sensible du dispositif : il détermine seul le montant dû et constitue, s'il est saisi à la main, le levier de négociation le plus commode. Il est donc calculé par le système à partir d'horodatages d'entrée et de sortie que nul ne peut modifier sans écriture contraire motivée et validée à quatre yeux.</w:t>
      </w:r>
    </w:p>
    <w:p>
      <w:pPr>
        <w:pStyle w:val="Heading2"/>
        <w:spacing w:after="120" w:before="260"/>
      </w:pPr>
      <w:r>
        <w:t xml:space="preserve">18.6 Les centres agréés comme tiers de confiance</w:t>
      </w:r>
    </w:p>
    <w:p>
      <w:pPr>
        <w:spacing w:after="120" w:line="276"/>
        <w:jc w:val="both"/>
      </w:pPr>
      <w:r>
        <w:rPr>
          <w:b w:val="false"/>
          <w:bCs w:val="false"/>
          <w:i w:val="false"/>
          <w:iCs w:val="false"/>
          <w:sz w:val="21"/>
          <w:szCs w:val="21"/>
        </w:rPr>
        <w:t xml:space="preserve">Les centres de contrôle agréés délivrent une constatation qui produit des effets juridiques et financiers. Ils sont donc traités comme des tiers de confiance habilités, et non comme de simples prestataires : chaque centre est un objet de la plateforme, géolocalisé, porteur d'une habilitation datée, d'un périmètre de catégories autorisées et d'un quota de vignettes sécurisées.</w:t>
      </w:r>
    </w:p>
    <w:p>
      <w:pPr>
        <w:pStyle w:val="ListItem"/>
        <w:numPr>
          <w:ilvl w:val="0"/>
          <w:numId w:val="1"/>
        </w:numPr>
        <w:spacing w:after="60" w:line="264"/>
      </w:pPr>
      <w:r>
        <w:t xml:space="preserve">chaque procès-verbal est transmis par interface au moment de son établissement, et non ressaisi ultérieurement ;</w:t>
      </w:r>
    </w:p>
    <w:p>
      <w:pPr>
        <w:pStyle w:val="ListItem"/>
        <w:numPr>
          <w:ilvl w:val="0"/>
          <w:numId w:val="1"/>
        </w:numPr>
        <w:spacing w:after="60" w:line="264"/>
      </w:pPr>
      <w:r>
        <w:t xml:space="preserve">les vignettes sécurisées sont numérotées, attribuées, consommées et rapprochées : une vignette dont le numéro n'existe pas au registre est fausse par construction ;</w:t>
      </w:r>
    </w:p>
    <w:p>
      <w:pPr>
        <w:pStyle w:val="ListItem"/>
        <w:numPr>
          <w:ilvl w:val="0"/>
          <w:numId w:val="1"/>
        </w:numPr>
        <w:spacing w:after="60" w:line="264"/>
      </w:pPr>
      <w:r>
        <w:t xml:space="preserve">l'analytique de conformité surveille les signaux d'alerte : taux de réussite anormalement élevé ou uniforme, contrôles d'une durée invraisemblable, séries traitées par un même opérateur, activité en dehors des heures déclarées, écart entre le volume de contrôles déclarés et les vignettes consommées ;</w:t>
      </w:r>
    </w:p>
    <w:p>
      <w:pPr>
        <w:pStyle w:val="ListItem"/>
        <w:numPr>
          <w:ilvl w:val="0"/>
          <w:numId w:val="1"/>
        </w:numPr>
        <w:spacing w:after="60" w:line="264"/>
      </w:pPr>
      <w:r>
        <w:t xml:space="preserve">les points de non-conformité de l'arrêté du 12 novembre 2025 sont suivis un par un, ce qui permet de comparer les centres sur des critères identiques plutôt que sur un verdict global ;</w:t>
      </w:r>
    </w:p>
    <w:p>
      <w:pPr>
        <w:pStyle w:val="ListItem"/>
        <w:numPr>
          <w:ilvl w:val="0"/>
          <w:numId w:val="1"/>
        </w:numPr>
        <w:spacing w:after="60" w:line="264"/>
      </w:pPr>
      <w:r>
        <w:t xml:space="preserve">l'habilitation d'un centre est suspendue par décision motivée de la RFCK, jamais par un automatisme, et la suspension se propage immédiatement aux terminaux de contrôle.</w:t>
      </w:r>
    </w:p>
    <w:p>
      <w:pPr>
        <w:pStyle w:val="Heading2"/>
        <w:spacing w:after="120" w:before="260"/>
      </w:pPr>
      <w:r>
        <w:t xml:space="preserve">18.7 La vérification publique et le nom de domaine officiel</w:t>
      </w:r>
    </w:p>
    <w:p>
      <w:pPr>
        <w:spacing w:after="120" w:line="276"/>
        <w:jc w:val="both"/>
      </w:pPr>
      <w:r>
        <w:rPr>
          <w:b w:val="false"/>
          <w:bCs w:val="false"/>
          <w:i w:val="false"/>
          <w:iCs w:val="false"/>
          <w:sz w:val="21"/>
          <w:szCs w:val="21"/>
        </w:rPr>
        <w:t xml:space="preserve">Tout le dispositif anti-contrefaçon repose sur une hypothèse simple : que l'usager, l'agent ou le tiers qui scanne un code QR aboutisse bien à un service authentique. La direction générale de la RFCK a publiquement mis en garde contre l'usage de fausses vignettes de contrôle technique, et la réponse durable à la contrefaçon n'est pas un support plus difficile à imiter, mais une vérification que chacun peut effectuer en quelques secondes. Encore faut-il que l'adresse vers laquelle renvoie le code QR soit reconnaissable comme officielle. Sur ce point, la situation actuelle appelle une correction avant toute campagne de masse.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4118"/>
        <w:gridCol w:w="2995"/>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Constat</w:t>
            </w:r>
          </w:p>
        </w:tc>
        <w:tc>
          <w:tcPr>
            <w:tcW w:type="dxa" w:w="4118"/>
            <w:shd w:fill="E6F4F1" w:color="auto" w:val="clear"/>
            <w:tcMar>
              <w:top w:type="dxa" w:w="60"/>
              <w:left w:type="dxa" w:w="90"/>
              <w:bottom w:type="dxa" w:w="60"/>
              <w:right w:type="dxa" w:w="90"/>
            </w:tcMar>
          </w:tcPr>
          <w:p>
            <w:pPr>
              <w:spacing w:after="20" w:line="240"/>
            </w:pPr>
            <w:r>
              <w:rPr>
                <w:b/>
                <w:bCs/>
                <w:sz w:val="18"/>
                <w:szCs w:val="18"/>
              </w:rPr>
              <w:t xml:space="preserve">Observation</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Conséquence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Deux noms de domaine distincts</w:t>
            </w:r>
          </w:p>
        </w:tc>
        <w:tc>
          <w:tcPr>
            <w:tcW w:type="dxa" w:w="4118"/>
            <w:tcMar>
              <w:top w:type="dxa" w:w="60"/>
              <w:left w:type="dxa" w:w="90"/>
              <w:bottom w:type="dxa" w:w="60"/>
              <w:right w:type="dxa" w:w="90"/>
            </w:tcMar>
          </w:tcPr>
          <w:p>
            <w:pPr>
              <w:spacing w:after="20" w:line="240"/>
            </w:pPr>
            <w:r>
              <w:rPr>
                <w:b w:val="false"/>
                <w:bCs w:val="false"/>
                <w:sz w:val="18"/>
                <w:szCs w:val="18"/>
              </w:rPr>
              <w:t xml:space="preserve">Le site institutionnel et l'adresse de messagerie officielle publiée ne relèvent pas du même nom de domaine</w:t>
            </w:r>
          </w:p>
        </w:tc>
        <w:tc>
          <w:tcPr>
            <w:tcW w:type="dxa" w:w="2995"/>
            <w:tcMar>
              <w:top w:type="dxa" w:w="60"/>
              <w:left w:type="dxa" w:w="90"/>
              <w:bottom w:type="dxa" w:w="60"/>
              <w:right w:type="dxa" w:w="90"/>
            </w:tcMar>
          </w:tcPr>
          <w:p>
            <w:pPr>
              <w:spacing w:after="20" w:line="240"/>
            </w:pPr>
            <w:r>
              <w:rPr>
                <w:b w:val="false"/>
                <w:bCs w:val="false"/>
                <w:sz w:val="18"/>
                <w:szCs w:val="18"/>
              </w:rPr>
              <w:t xml:space="preserve">L'usager n'a aucun repère stable pour reconnaître l'officiel</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Aucun domaine gouvernemental provincial</w:t>
            </w:r>
          </w:p>
        </w:tc>
        <w:tc>
          <w:tcPr>
            <w:tcW w:type="dxa" w:w="4118"/>
            <w:tcMar>
              <w:top w:type="dxa" w:w="60"/>
              <w:left w:type="dxa" w:w="90"/>
              <w:bottom w:type="dxa" w:w="60"/>
              <w:right w:type="dxa" w:w="90"/>
            </w:tcMar>
          </w:tcPr>
          <w:p>
            <w:pPr>
              <w:spacing w:after="20" w:line="240"/>
            </w:pPr>
            <w:r>
              <w:rPr>
                <w:b w:val="false"/>
                <w:bCs w:val="false"/>
                <w:sz w:val="18"/>
                <w:szCs w:val="18"/>
              </w:rPr>
              <w:t xml:space="preserve">Les services en ligne sont hébergés sous des extensions génériques, non rattachées à la Ville Province</w:t>
            </w:r>
          </w:p>
        </w:tc>
        <w:tc>
          <w:tcPr>
            <w:tcW w:type="dxa" w:w="2995"/>
            <w:tcMar>
              <w:top w:type="dxa" w:w="60"/>
              <w:left w:type="dxa" w:w="90"/>
              <w:bottom w:type="dxa" w:w="60"/>
              <w:right w:type="dxa" w:w="90"/>
            </w:tcMar>
          </w:tcPr>
          <w:p>
            <w:pPr>
              <w:spacing w:after="20" w:line="240"/>
            </w:pPr>
            <w:r>
              <w:rPr>
                <w:b w:val="false"/>
                <w:bCs w:val="false"/>
                <w:sz w:val="18"/>
                <w:szCs w:val="18"/>
              </w:rPr>
              <w:t xml:space="preserve">Rien n'établit publiquement le caractère officiel du service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Vérification exposée publiquement</w:t>
            </w:r>
          </w:p>
        </w:tc>
        <w:tc>
          <w:tcPr>
            <w:tcW w:type="dxa" w:w="4118"/>
            <w:tcMar>
              <w:top w:type="dxa" w:w="60"/>
              <w:left w:type="dxa" w:w="90"/>
              <w:bottom w:type="dxa" w:w="60"/>
              <w:right w:type="dxa" w:w="90"/>
            </w:tcMar>
          </w:tcPr>
          <w:p>
            <w:pPr>
              <w:spacing w:after="20" w:line="240"/>
            </w:pPr>
            <w:r>
              <w:rPr>
                <w:b w:val="false"/>
                <w:bCs w:val="false"/>
                <w:sz w:val="18"/>
                <w:szCs w:val="18"/>
              </w:rPr>
              <w:t xml:space="preserve">Le service de vérification par plaque est accessible en ligne sous ce même domaine générique</w:t>
            </w:r>
          </w:p>
        </w:tc>
        <w:tc>
          <w:tcPr>
            <w:tcW w:type="dxa" w:w="2995"/>
            <w:tcMar>
              <w:top w:type="dxa" w:w="60"/>
              <w:left w:type="dxa" w:w="90"/>
              <w:bottom w:type="dxa" w:w="60"/>
              <w:right w:type="dxa" w:w="90"/>
            </w:tcMar>
          </w:tcPr>
          <w:p>
            <w:pPr>
              <w:spacing w:after="20" w:line="240"/>
            </w:pPr>
            <w:r>
              <w:rPr>
                <w:b w:val="false"/>
                <w:bCs w:val="false"/>
                <w:sz w:val="18"/>
                <w:szCs w:val="18"/>
              </w:rPr>
              <w:t xml:space="preserve">Un domaine voisin déposé par un tiers servirait des réponses « valides » à de fausses vignettes</w:t>
            </w:r>
          </w:p>
        </w:tc>
      </w:tr>
    </w:tbl>
    <w:p>
      <w:pPr>
        <w:pStyle w:val="Heading3"/>
        <w:spacing w:after="100" w:before="200"/>
      </w:pPr>
      <w:r>
        <w:t xml:space="preserve">Exigences pour que la vérification fasse preuve</w:t>
      </w:r>
    </w:p>
    <w:p>
      <w:pPr>
        <w:spacing w:after="60" w:line="264"/>
        <w:ind w:left="360" w:hanging="260"/>
      </w:pPr>
      <w:r>
        <w:rPr>
          <w:b/>
          <w:bCs/>
          <w:sz w:val="21"/>
          <w:szCs w:val="21"/>
        </w:rPr>
        <w:t xml:space="preserve">1. </w:t>
      </w:r>
      <w:r>
        <w:rPr>
          <w:sz w:val="21"/>
          <w:szCs w:val="21"/>
        </w:rPr>
        <w:t xml:space="preserve">Un nom de domaine unique, officiel et rattaché à la Ville Province, servant à la fois le site, la messagerie et la vérification publique.</w:t>
      </w:r>
    </w:p>
    <w:p>
      <w:pPr>
        <w:spacing w:after="60" w:line="264"/>
        <w:ind w:left="360" w:hanging="260"/>
      </w:pPr>
      <w:r>
        <w:rPr>
          <w:b/>
          <w:bCs/>
          <w:sz w:val="21"/>
          <w:szCs w:val="21"/>
        </w:rPr>
        <w:t xml:space="preserve">2. </w:t>
      </w:r>
      <w:r>
        <w:rPr>
          <w:sz w:val="21"/>
          <w:szCs w:val="21"/>
        </w:rPr>
        <w:t xml:space="preserve">Le code QR encode l'adresse complète de vérification sur ce domaine, jamais celle d'un tiers ni une redirection.</w:t>
      </w:r>
    </w:p>
    <w:p>
      <w:pPr>
        <w:spacing w:after="60" w:line="264"/>
        <w:ind w:left="360" w:hanging="260"/>
      </w:pPr>
      <w:r>
        <w:rPr>
          <w:b/>
          <w:bCs/>
          <w:sz w:val="21"/>
          <w:szCs w:val="21"/>
        </w:rPr>
        <w:t xml:space="preserve">3. </w:t>
      </w:r>
      <w:r>
        <w:rPr>
          <w:sz w:val="21"/>
          <w:szCs w:val="21"/>
        </w:rPr>
        <w:t xml:space="preserve">Enregistrement, certificat et renouvellement détenus et gérés par la Ville, jamais par un prestataire ou une personne physique à titre privé.</w:t>
      </w:r>
    </w:p>
    <w:p>
      <w:pPr>
        <w:spacing w:after="60" w:line="264"/>
        <w:ind w:left="360" w:hanging="260"/>
      </w:pPr>
      <w:r>
        <w:rPr>
          <w:b/>
          <w:bCs/>
          <w:sz w:val="21"/>
          <w:szCs w:val="21"/>
        </w:rPr>
        <w:t xml:space="preserve">4. </w:t>
      </w:r>
      <w:r>
        <w:rPr>
          <w:sz w:val="21"/>
          <w:szCs w:val="21"/>
        </w:rPr>
        <w:t xml:space="preserve">Publication du domaine officiel sur la vignette elle-même, dans les communiqués et dans les centres agréés, afin que l'usager apprenne une adresse et une seule.</w:t>
      </w:r>
    </w:p>
    <w:p>
      <w:pPr>
        <w:spacing w:after="60" w:line="264"/>
        <w:ind w:left="360" w:hanging="260"/>
      </w:pPr>
      <w:r>
        <w:rPr>
          <w:b/>
          <w:bCs/>
          <w:sz w:val="21"/>
          <w:szCs w:val="21"/>
        </w:rPr>
        <w:t xml:space="preserve">5. </w:t>
      </w:r>
      <w:r>
        <w:rPr>
          <w:sz w:val="21"/>
          <w:szCs w:val="21"/>
        </w:rPr>
        <w:t xml:space="preserve">Surveillance des dépôts de noms de domaine voisins, avec une procédure de signalement et de retrait.</w:t>
      </w:r>
    </w:p>
    <w:p>
      <w:pPr>
        <w:spacing w:after="60" w:line="264"/>
        <w:ind w:left="360" w:hanging="260"/>
      </w:pPr>
      <w:r>
        <w:rPr>
          <w:b/>
          <w:bCs/>
          <w:sz w:val="21"/>
          <w:szCs w:val="21"/>
        </w:rPr>
        <w:t xml:space="preserve">6. </w:t>
      </w:r>
      <w:r>
        <w:rPr>
          <w:sz w:val="21"/>
          <w:szCs w:val="21"/>
        </w:rPr>
        <w:t xml:space="preserve">Conservation des anciens domaines en redirection pendant une période déterminée, afin qu'aucune vignette déjà émise ne devienne invérifiable.</w:t>
      </w:r>
    </w:p>
    <w:p>
      <w:pPr>
        <w:pBdr>
          <w:left w:val="single" w:color="1BA996" w:sz="18" w:space="8"/>
        </w:pBdr>
        <w:spacing w:after="160" w:before="120" w:line="264"/>
        <w:ind w:left="180"/>
      </w:pPr>
      <w:r>
        <w:rPr>
          <w:b/>
          <w:bCs/>
          <w:color w:val="10262C"/>
          <w:sz w:val="20"/>
          <w:szCs w:val="20"/>
        </w:rPr>
        <w:t xml:space="preserve">Ordre des opérations. </w:t>
      </w:r>
      <w:r>
        <w:rPr>
          <w:sz w:val="20"/>
          <w:szCs w:val="20"/>
        </w:rPr>
        <w:t xml:space="preserve">Communiquer massivement sur le message « scannez pour vérifier » avant d'avoir fixé le domaine officiel reviendrait à entraîner des millions d'usagers à faire confiance à une adresse quelconque, et à offrir à la contrefaçon un terrain qu'aucune sécurité de support ne rattraperait ensuite. La migration vers un domaine officiel est donc un préalable à la campagne, non une amélioration ultérieure. C'est, à ce stade, la mesure la moins coûteuse et la plus urgente de tout le volet véhicule.</w:t>
      </w:r>
    </w:p>
    <w:p>
      <w:pPr>
        <w:pStyle w:val="Heading2"/>
        <w:spacing w:after="120" w:before="260"/>
      </w:pPr>
      <w:r>
        <w:t xml:space="preserve">18.8 Garanties juridiques avant toute mesure irréversible</w:t>
      </w:r>
    </w:p>
    <w:p>
      <w:pPr>
        <w:spacing w:after="120" w:line="276"/>
        <w:jc w:val="both"/>
      </w:pPr>
      <w:r>
        <w:rPr>
          <w:b w:val="false"/>
          <w:bCs w:val="false"/>
          <w:i w:val="false"/>
          <w:iCs w:val="false"/>
          <w:sz w:val="21"/>
          <w:szCs w:val="21"/>
        </w:rPr>
        <w:t xml:space="preserve">Le dispositif réglementaire prévoit que le véhicule non conforme est immobilisé et conduit en fourrière, la destruction étant envisagée dans les conditions fixées par les textes. La destruction d'un bien est une mesure irréversible qui touche au droit de propriété : elle appelle, dans un système qui produit lui-même la preuve, des garanties proportionnées à ses conséquences.</w:t>
      </w:r>
    </w:p>
    <w:p>
      <w:pPr>
        <w:spacing w:after="60" w:line="264"/>
        <w:ind w:left="360" w:hanging="260"/>
      </w:pPr>
      <w:r>
        <w:rPr>
          <w:b/>
          <w:bCs/>
          <w:sz w:val="21"/>
          <w:szCs w:val="21"/>
        </w:rPr>
        <w:t xml:space="preserve">1. </w:t>
      </w:r>
      <w:r>
        <w:rPr>
          <w:sz w:val="21"/>
          <w:szCs w:val="21"/>
        </w:rPr>
        <w:t xml:space="preserve">Décision prise par l'autorité légalement compétente, sur dossier complet, jamais par le système ni par un agent isolé.</w:t>
      </w:r>
    </w:p>
    <w:p>
      <w:pPr>
        <w:spacing w:after="60" w:line="264"/>
        <w:ind w:left="360" w:hanging="260"/>
      </w:pPr>
      <w:r>
        <w:rPr>
          <w:b/>
          <w:bCs/>
          <w:sz w:val="21"/>
          <w:szCs w:val="21"/>
        </w:rPr>
        <w:t xml:space="preserve">2. </w:t>
      </w:r>
      <w:r>
        <w:rPr>
          <w:sz w:val="21"/>
          <w:szCs w:val="21"/>
        </w:rPr>
        <w:t xml:space="preserve">Dossier de preuve intégral et horodaté : procès-verbal, photographies d'entrée et d'état, centre ayant constaté la non-conformité, agent, position, chaîne des notifications.</w:t>
      </w:r>
    </w:p>
    <w:p>
      <w:pPr>
        <w:spacing w:after="60" w:line="264"/>
        <w:ind w:left="360" w:hanging="260"/>
      </w:pPr>
      <w:r>
        <w:rPr>
          <w:b/>
          <w:bCs/>
          <w:sz w:val="21"/>
          <w:szCs w:val="21"/>
        </w:rPr>
        <w:t xml:space="preserve">3. </w:t>
      </w:r>
      <w:r>
        <w:rPr>
          <w:sz w:val="21"/>
          <w:szCs w:val="21"/>
        </w:rPr>
        <w:t xml:space="preserve">Notification au propriétaire de référence par les canaux disponibles, avec preuve d'envoi et de réception conservée.</w:t>
      </w:r>
    </w:p>
    <w:p>
      <w:pPr>
        <w:spacing w:after="60" w:line="264"/>
        <w:ind w:left="360" w:hanging="260"/>
      </w:pPr>
      <w:r>
        <w:rPr>
          <w:b/>
          <w:bCs/>
          <w:sz w:val="21"/>
          <w:szCs w:val="21"/>
        </w:rPr>
        <w:t xml:space="preserve">4. </w:t>
      </w:r>
      <w:r>
        <w:rPr>
          <w:sz w:val="21"/>
          <w:szCs w:val="21"/>
        </w:rPr>
        <w:t xml:space="preserve">Délai de recours effectivement ouvert, décompté et affiché, pendant lequel aucune mesure de disposition ne peut être engagée.</w:t>
      </w:r>
    </w:p>
    <w:p>
      <w:pPr>
        <w:spacing w:after="60" w:line="264"/>
        <w:ind w:left="360" w:hanging="260"/>
      </w:pPr>
      <w:r>
        <w:rPr>
          <w:b/>
          <w:bCs/>
          <w:sz w:val="21"/>
          <w:szCs w:val="21"/>
        </w:rPr>
        <w:t xml:space="preserve">5. </w:t>
      </w:r>
      <w:r>
        <w:rPr>
          <w:sz w:val="21"/>
          <w:szCs w:val="21"/>
        </w:rPr>
        <w:t xml:space="preserve">Double validation hiérarchique et enregistrement de la décision dans le journal d'audit en ajout seul.</w:t>
      </w:r>
    </w:p>
    <w:p>
      <w:pPr>
        <w:spacing w:after="60" w:line="264"/>
        <w:ind w:left="360" w:hanging="260"/>
      </w:pPr>
      <w:r>
        <w:rPr>
          <w:b/>
          <w:bCs/>
          <w:sz w:val="21"/>
          <w:szCs w:val="21"/>
        </w:rPr>
        <w:t xml:space="preserve">6. </w:t>
      </w:r>
      <w:r>
        <w:rPr>
          <w:sz w:val="21"/>
          <w:szCs w:val="21"/>
        </w:rPr>
        <w:t xml:space="preserve">Interdiction absolue de déclenchement automatique : aucun agent d'intelligence artificielle, aucune règle de score et aucun seuil ne peut ordonner une immobilisation prolongée ou une destruction.</w:t>
      </w:r>
    </w:p>
    <w:p>
      <w:pPr>
        <w:spacing w:after="120" w:line="276"/>
        <w:jc w:val="both"/>
      </w:pPr>
      <w:r>
        <w:rPr>
          <w:b w:val="false"/>
          <w:bCs w:val="false"/>
          <w:i w:val="false"/>
          <w:iCs w:val="false"/>
          <w:sz w:val="21"/>
          <w:szCs w:val="21"/>
        </w:rPr>
        <w:t xml:space="preserve">Ces garanties protègent l'usager, mais elles protègent d'abord la Ville. Une mesure irréversible fondée sur un dossier incomplet est un risque contentieux, un risque budgétaire en cas d'indemnisation et un risque politique immédiat. Le même journal d'audit qui prouve la régularité d'une décision est celui qui, en son absence, en établirait l'irrégularité.</w:t>
      </w:r>
    </w:p>
    <w:p>
      <w:pPr>
        <w:pStyle w:val="Heading2"/>
        <w:spacing w:after="120" w:before="260"/>
      </w:pPr>
      <w:r>
        <w:t xml:space="preserve">18.9 Interfaces entre la RFCK et MOSOLO</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1685"/>
        <w:gridCol w:w="3370"/>
        <w:gridCol w:w="1872"/>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Flux</w:t>
            </w:r>
          </w:p>
        </w:tc>
        <w:tc>
          <w:tcPr>
            <w:tcW w:type="dxa" w:w="1685"/>
            <w:shd w:fill="E6F4F1" w:color="auto" w:val="clear"/>
            <w:tcMar>
              <w:top w:type="dxa" w:w="60"/>
              <w:left w:type="dxa" w:w="90"/>
              <w:bottom w:type="dxa" w:w="60"/>
              <w:right w:type="dxa" w:w="90"/>
            </w:tcMar>
          </w:tcPr>
          <w:p>
            <w:pPr>
              <w:spacing w:after="20" w:line="240"/>
            </w:pPr>
            <w:r>
              <w:rPr>
                <w:b/>
                <w:bCs/>
                <w:sz w:val="18"/>
                <w:szCs w:val="18"/>
              </w:rPr>
              <w:t xml:space="preserve">Sens</w:t>
            </w:r>
          </w:p>
        </w:tc>
        <w:tc>
          <w:tcPr>
            <w:tcW w:type="dxa" w:w="3370"/>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Fréquence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Registre des véhicules</w:t>
            </w:r>
          </w:p>
        </w:tc>
        <w:tc>
          <w:tcPr>
            <w:tcW w:type="dxa" w:w="1685"/>
            <w:tcMar>
              <w:top w:type="dxa" w:w="60"/>
              <w:left w:type="dxa" w:w="90"/>
              <w:bottom w:type="dxa" w:w="60"/>
              <w:right w:type="dxa" w:w="90"/>
            </w:tcMar>
          </w:tcPr>
          <w:p>
            <w:pPr>
              <w:spacing w:after="20" w:line="240"/>
            </w:pPr>
            <w:r>
              <w:rPr>
                <w:b w:val="false"/>
                <w:bCs w:val="false"/>
                <w:sz w:val="18"/>
                <w:szCs w:val="18"/>
              </w:rPr>
              <w:t xml:space="preserve">Bidirectionnel</w:t>
            </w:r>
          </w:p>
        </w:tc>
        <w:tc>
          <w:tcPr>
            <w:tcW w:type="dxa" w:w="3370"/>
            <w:tcMar>
              <w:top w:type="dxa" w:w="60"/>
              <w:left w:type="dxa" w:w="90"/>
              <w:bottom w:type="dxa" w:w="60"/>
              <w:right w:type="dxa" w:w="90"/>
            </w:tcMar>
          </w:tcPr>
          <w:p>
            <w:pPr>
              <w:spacing w:after="20" w:line="240"/>
            </w:pPr>
            <w:r>
              <w:rPr>
                <w:b w:val="false"/>
                <w:bCs w:val="false"/>
                <w:sz w:val="18"/>
                <w:szCs w:val="18"/>
              </w:rPr>
              <w:t xml:space="preserve">Plaque, catégorie, propriétaire de référence, mutations</w:t>
            </w:r>
          </w:p>
        </w:tc>
        <w:tc>
          <w:tcPr>
            <w:tcW w:type="dxa" w:w="1872"/>
            <w:tcMar>
              <w:top w:type="dxa" w:w="60"/>
              <w:left w:type="dxa" w:w="90"/>
              <w:bottom w:type="dxa" w:w="60"/>
              <w:right w:type="dxa" w:w="90"/>
            </w:tcMar>
          </w:tcPr>
          <w:p>
            <w:pPr>
              <w:spacing w:after="20" w:line="240"/>
            </w:pPr>
            <w:r>
              <w:rPr>
                <w:b w:val="false"/>
                <w:bCs w:val="false"/>
                <w:sz w:val="18"/>
                <w:szCs w:val="18"/>
              </w:rPr>
              <w:t xml:space="preserve">Continu, avec réconciliation quotidienne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Procès-verbal de contrôle technique</w:t>
            </w:r>
          </w:p>
        </w:tc>
        <w:tc>
          <w:tcPr>
            <w:tcW w:type="dxa" w:w="1685"/>
            <w:tcMar>
              <w:top w:type="dxa" w:w="60"/>
              <w:left w:type="dxa" w:w="90"/>
              <w:bottom w:type="dxa" w:w="60"/>
              <w:right w:type="dxa" w:w="90"/>
            </w:tcMar>
          </w:tcPr>
          <w:p>
            <w:pPr>
              <w:spacing w:after="20" w:line="240"/>
            </w:pPr>
            <w:r>
              <w:rPr>
                <w:b w:val="false"/>
                <w:bCs w:val="false"/>
                <w:sz w:val="18"/>
                <w:szCs w:val="18"/>
              </w:rPr>
              <w:t xml:space="preserve">RFCK vers MOSOLO</w:t>
            </w:r>
          </w:p>
        </w:tc>
        <w:tc>
          <w:tcPr>
            <w:tcW w:type="dxa" w:w="3370"/>
            <w:tcMar>
              <w:top w:type="dxa" w:w="60"/>
              <w:left w:type="dxa" w:w="90"/>
              <w:bottom w:type="dxa" w:w="60"/>
              <w:right w:type="dxa" w:w="90"/>
            </w:tcMar>
          </w:tcPr>
          <w:p>
            <w:pPr>
              <w:spacing w:after="20" w:line="240"/>
            </w:pPr>
            <w:r>
              <w:rPr>
                <w:b w:val="false"/>
                <w:bCs w:val="false"/>
                <w:sz w:val="18"/>
                <w:szCs w:val="18"/>
              </w:rPr>
              <w:t xml:space="preserve">Résultat, points de non-conformité de l'arrêté, centre, agent, date, échéance</w:t>
            </w:r>
          </w:p>
        </w:tc>
        <w:tc>
          <w:tcPr>
            <w:tcW w:type="dxa" w:w="1872"/>
            <w:tcMar>
              <w:top w:type="dxa" w:w="60"/>
              <w:left w:type="dxa" w:w="90"/>
              <w:bottom w:type="dxa" w:w="60"/>
              <w:right w:type="dxa" w:w="90"/>
            </w:tcMar>
          </w:tcPr>
          <w:p>
            <w:pPr>
              <w:spacing w:after="20" w:line="240"/>
            </w:pPr>
            <w:r>
              <w:rPr>
                <w:b w:val="false"/>
                <w:bCs w:val="false"/>
                <w:sz w:val="18"/>
                <w:szCs w:val="18"/>
              </w:rPr>
              <w:t xml:space="preserve">À l'établissement du procès-verbal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Statut de la vignette technique</w:t>
            </w:r>
          </w:p>
        </w:tc>
        <w:tc>
          <w:tcPr>
            <w:tcW w:type="dxa" w:w="1685"/>
            <w:tcMar>
              <w:top w:type="dxa" w:w="60"/>
              <w:left w:type="dxa" w:w="90"/>
              <w:bottom w:type="dxa" w:w="60"/>
              <w:right w:type="dxa" w:w="90"/>
            </w:tcMar>
          </w:tcPr>
          <w:p>
            <w:pPr>
              <w:spacing w:after="20" w:line="240"/>
            </w:pPr>
            <w:r>
              <w:rPr>
                <w:b w:val="false"/>
                <w:bCs w:val="false"/>
                <w:sz w:val="18"/>
                <w:szCs w:val="18"/>
              </w:rPr>
              <w:t xml:space="preserve">RFCK vers MOSOLO</w:t>
            </w:r>
          </w:p>
        </w:tc>
        <w:tc>
          <w:tcPr>
            <w:tcW w:type="dxa" w:w="3370"/>
            <w:tcMar>
              <w:top w:type="dxa" w:w="60"/>
              <w:left w:type="dxa" w:w="90"/>
              <w:bottom w:type="dxa" w:w="60"/>
              <w:right w:type="dxa" w:w="90"/>
            </w:tcMar>
          </w:tcPr>
          <w:p>
            <w:pPr>
              <w:spacing w:after="20" w:line="240"/>
            </w:pPr>
            <w:r>
              <w:rPr>
                <w:b w:val="false"/>
                <w:bCs w:val="false"/>
                <w:sz w:val="18"/>
                <w:szCs w:val="18"/>
              </w:rPr>
              <w:t xml:space="preserve">Numéro, validité, état</w:t>
            </w:r>
          </w:p>
        </w:tc>
        <w:tc>
          <w:tcPr>
            <w:tcW w:type="dxa" w:w="1872"/>
            <w:tcMar>
              <w:top w:type="dxa" w:w="60"/>
              <w:left w:type="dxa" w:w="90"/>
              <w:bottom w:type="dxa" w:w="60"/>
              <w:right w:type="dxa" w:w="90"/>
            </w:tcMar>
          </w:tcPr>
          <w:p>
            <w:pPr>
              <w:spacing w:after="20" w:line="240"/>
            </w:pPr>
            <w:r>
              <w:rPr>
                <w:b w:val="false"/>
                <w:bCs w:val="false"/>
                <w:sz w:val="18"/>
                <w:szCs w:val="18"/>
              </w:rPr>
              <w:t xml:space="preserve">Temps réel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Service de vérification publique</w:t>
            </w:r>
          </w:p>
        </w:tc>
        <w:tc>
          <w:tcPr>
            <w:tcW w:type="dxa" w:w="1685"/>
            <w:tcMar>
              <w:top w:type="dxa" w:w="60"/>
              <w:left w:type="dxa" w:w="90"/>
              <w:bottom w:type="dxa" w:w="60"/>
              <w:right w:type="dxa" w:w="90"/>
            </w:tcMar>
          </w:tcPr>
          <w:p>
            <w:pPr>
              <w:spacing w:after="20" w:line="240"/>
            </w:pPr>
            <w:r>
              <w:rPr>
                <w:b w:val="false"/>
                <w:bCs w:val="false"/>
                <w:sz w:val="18"/>
                <w:szCs w:val="18"/>
              </w:rPr>
              <w:t xml:space="preserve">Fusion des deux services</w:t>
            </w:r>
          </w:p>
        </w:tc>
        <w:tc>
          <w:tcPr>
            <w:tcW w:type="dxa" w:w="3370"/>
            <w:tcMar>
              <w:top w:type="dxa" w:w="60"/>
              <w:left w:type="dxa" w:w="90"/>
              <w:bottom w:type="dxa" w:w="60"/>
              <w:right w:type="dxa" w:w="90"/>
            </w:tcMar>
          </w:tcPr>
          <w:p>
            <w:pPr>
              <w:spacing w:after="20" w:line="240"/>
            </w:pPr>
            <w:r>
              <w:rPr>
                <w:b w:val="false"/>
                <w:bCs w:val="false"/>
                <w:sz w:val="18"/>
                <w:szCs w:val="18"/>
              </w:rPr>
              <w:t xml:space="preserve">Consultation par plaque et par code QR, sous domaine officiel unique</w:t>
            </w:r>
          </w:p>
        </w:tc>
        <w:tc>
          <w:tcPr>
            <w:tcW w:type="dxa" w:w="1872"/>
            <w:tcMar>
              <w:top w:type="dxa" w:w="60"/>
              <w:left w:type="dxa" w:w="90"/>
              <w:bottom w:type="dxa" w:w="60"/>
              <w:right w:type="dxa" w:w="90"/>
            </w:tcMar>
          </w:tcPr>
          <w:p>
            <w:pPr>
              <w:spacing w:after="20" w:line="240"/>
            </w:pPr>
            <w:r>
              <w:rPr>
                <w:b w:val="false"/>
                <w:bCs w:val="false"/>
                <w:sz w:val="18"/>
                <w:szCs w:val="18"/>
              </w:rPr>
              <w:t xml:space="preserve">Temps réel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Statut fiscal du véhicule</w:t>
            </w:r>
          </w:p>
        </w:tc>
        <w:tc>
          <w:tcPr>
            <w:tcW w:type="dxa" w:w="1685"/>
            <w:tcMar>
              <w:top w:type="dxa" w:w="60"/>
              <w:left w:type="dxa" w:w="90"/>
              <w:bottom w:type="dxa" w:w="60"/>
              <w:right w:type="dxa" w:w="90"/>
            </w:tcMar>
          </w:tcPr>
          <w:p>
            <w:pPr>
              <w:spacing w:after="20" w:line="240"/>
            </w:pPr>
            <w:r>
              <w:rPr>
                <w:b w:val="false"/>
                <w:bCs w:val="false"/>
                <w:sz w:val="18"/>
                <w:szCs w:val="18"/>
              </w:rPr>
              <w:t xml:space="preserve">MOSOLO vers RFCK</w:t>
            </w:r>
          </w:p>
        </w:tc>
        <w:tc>
          <w:tcPr>
            <w:tcW w:type="dxa" w:w="3370"/>
            <w:tcMar>
              <w:top w:type="dxa" w:w="60"/>
              <w:left w:type="dxa" w:w="90"/>
              <w:bottom w:type="dxa" w:w="60"/>
              <w:right w:type="dxa" w:w="90"/>
            </w:tcMar>
          </w:tcPr>
          <w:p>
            <w:pPr>
              <w:spacing w:after="20" w:line="240"/>
            </w:pPr>
            <w:r>
              <w:rPr>
                <w:b w:val="false"/>
                <w:bCs w:val="false"/>
                <w:sz w:val="18"/>
                <w:szCs w:val="18"/>
              </w:rPr>
              <w:t xml:space="preserve">Vignette fiscale, taxe de circulation, quitus provincial</w:t>
            </w:r>
          </w:p>
        </w:tc>
        <w:tc>
          <w:tcPr>
            <w:tcW w:type="dxa" w:w="1872"/>
            <w:tcMar>
              <w:top w:type="dxa" w:w="60"/>
              <w:left w:type="dxa" w:w="90"/>
              <w:bottom w:type="dxa" w:w="60"/>
              <w:right w:type="dxa" w:w="90"/>
            </w:tcMar>
          </w:tcPr>
          <w:p>
            <w:pPr>
              <w:spacing w:after="20" w:line="240"/>
            </w:pPr>
            <w:r>
              <w:rPr>
                <w:b w:val="false"/>
                <w:bCs w:val="false"/>
                <w:sz w:val="18"/>
                <w:szCs w:val="18"/>
              </w:rPr>
              <w:t xml:space="preserve">À la demande, au point de contrôle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Rendez-vous et attestations</w:t>
            </w:r>
          </w:p>
        </w:tc>
        <w:tc>
          <w:tcPr>
            <w:tcW w:type="dxa" w:w="1685"/>
            <w:tcMar>
              <w:top w:type="dxa" w:w="60"/>
              <w:left w:type="dxa" w:w="90"/>
              <w:bottom w:type="dxa" w:w="60"/>
              <w:right w:type="dxa" w:w="90"/>
            </w:tcMar>
          </w:tcPr>
          <w:p>
            <w:pPr>
              <w:spacing w:after="20" w:line="240"/>
            </w:pPr>
            <w:r>
              <w:rPr>
                <w:b w:val="false"/>
                <w:bCs w:val="false"/>
                <w:sz w:val="18"/>
                <w:szCs w:val="18"/>
              </w:rPr>
              <w:t xml:space="preserve">Bidirectionnel</w:t>
            </w:r>
          </w:p>
        </w:tc>
        <w:tc>
          <w:tcPr>
            <w:tcW w:type="dxa" w:w="3370"/>
            <w:tcMar>
              <w:top w:type="dxa" w:w="60"/>
              <w:left w:type="dxa" w:w="90"/>
              <w:bottom w:type="dxa" w:w="60"/>
              <w:right w:type="dxa" w:w="90"/>
            </w:tcMar>
          </w:tcPr>
          <w:p>
            <w:pPr>
              <w:spacing w:after="20" w:line="240"/>
            </w:pPr>
            <w:r>
              <w:rPr>
                <w:b w:val="false"/>
                <w:bCs w:val="false"/>
                <w:sz w:val="18"/>
                <w:szCs w:val="18"/>
              </w:rPr>
              <w:t xml:space="preserve">Créneaux des centres, confirmations, attestations délivrées</w:t>
            </w:r>
          </w:p>
        </w:tc>
        <w:tc>
          <w:tcPr>
            <w:tcW w:type="dxa" w:w="1872"/>
            <w:tcMar>
              <w:top w:type="dxa" w:w="60"/>
              <w:left w:type="dxa" w:w="90"/>
              <w:bottom w:type="dxa" w:w="60"/>
              <w:right w:type="dxa" w:w="90"/>
            </w:tcMar>
          </w:tcPr>
          <w:p>
            <w:pPr>
              <w:spacing w:after="20" w:line="240"/>
            </w:pPr>
            <w:r>
              <w:rPr>
                <w:b w:val="false"/>
                <w:bCs w:val="false"/>
                <w:sz w:val="18"/>
                <w:szCs w:val="18"/>
              </w:rPr>
              <w:t xml:space="preserve">Temps réel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Mouvements de fourrière</w:t>
            </w:r>
          </w:p>
        </w:tc>
        <w:tc>
          <w:tcPr>
            <w:tcW w:type="dxa" w:w="1685"/>
            <w:tcMar>
              <w:top w:type="dxa" w:w="60"/>
              <w:left w:type="dxa" w:w="90"/>
              <w:bottom w:type="dxa" w:w="60"/>
              <w:right w:type="dxa" w:w="90"/>
            </w:tcMar>
          </w:tcPr>
          <w:p>
            <w:pPr>
              <w:spacing w:after="20" w:line="240"/>
            </w:pPr>
            <w:r>
              <w:rPr>
                <w:b w:val="false"/>
                <w:bCs w:val="false"/>
                <w:sz w:val="18"/>
                <w:szCs w:val="18"/>
              </w:rPr>
              <w:t xml:space="preserve">RFCK vers MOSOLO</w:t>
            </w:r>
          </w:p>
        </w:tc>
        <w:tc>
          <w:tcPr>
            <w:tcW w:type="dxa" w:w="3370"/>
            <w:tcMar>
              <w:top w:type="dxa" w:w="60"/>
              <w:left w:type="dxa" w:w="90"/>
              <w:bottom w:type="dxa" w:w="60"/>
              <w:right w:type="dxa" w:w="90"/>
            </w:tcMar>
          </w:tcPr>
          <w:p>
            <w:pPr>
              <w:spacing w:after="20" w:line="240"/>
            </w:pPr>
            <w:r>
              <w:rPr>
                <w:b w:val="false"/>
                <w:bCs w:val="false"/>
                <w:sz w:val="18"/>
                <w:szCs w:val="18"/>
              </w:rPr>
              <w:t xml:space="preserve">Entrée, gardiennage, liquidation, mainlevée, sortie</w:t>
            </w:r>
          </w:p>
        </w:tc>
        <w:tc>
          <w:tcPr>
            <w:tcW w:type="dxa" w:w="1872"/>
            <w:tcMar>
              <w:top w:type="dxa" w:w="60"/>
              <w:left w:type="dxa" w:w="90"/>
              <w:bottom w:type="dxa" w:w="60"/>
              <w:right w:type="dxa" w:w="90"/>
            </w:tcMar>
          </w:tcPr>
          <w:p>
            <w:pPr>
              <w:spacing w:after="20" w:line="240"/>
            </w:pPr>
            <w:r>
              <w:rPr>
                <w:b w:val="false"/>
                <w:bCs w:val="false"/>
                <w:sz w:val="18"/>
                <w:szCs w:val="18"/>
              </w:rPr>
              <w:t xml:space="preserve">Temps réel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Paiements et quittances</w:t>
            </w:r>
          </w:p>
        </w:tc>
        <w:tc>
          <w:tcPr>
            <w:tcW w:type="dxa" w:w="1685"/>
            <w:tcMar>
              <w:top w:type="dxa" w:w="60"/>
              <w:left w:type="dxa" w:w="90"/>
              <w:bottom w:type="dxa" w:w="60"/>
              <w:right w:type="dxa" w:w="90"/>
            </w:tcMar>
          </w:tcPr>
          <w:p>
            <w:pPr>
              <w:spacing w:after="20" w:line="240"/>
            </w:pPr>
            <w:r>
              <w:rPr>
                <w:b w:val="false"/>
                <w:bCs w:val="false"/>
                <w:sz w:val="18"/>
                <w:szCs w:val="18"/>
              </w:rPr>
              <w:t xml:space="preserve">MOSOLO vers RFCK</w:t>
            </w:r>
          </w:p>
        </w:tc>
        <w:tc>
          <w:tcPr>
            <w:tcW w:type="dxa" w:w="3370"/>
            <w:tcMar>
              <w:top w:type="dxa" w:w="60"/>
              <w:left w:type="dxa" w:w="90"/>
              <w:bottom w:type="dxa" w:w="60"/>
              <w:right w:type="dxa" w:w="90"/>
            </w:tcMar>
          </w:tcPr>
          <w:p>
            <w:pPr>
              <w:spacing w:after="20" w:line="240"/>
            </w:pPr>
            <w:r>
              <w:rPr>
                <w:b w:val="false"/>
                <w:bCs w:val="false"/>
                <w:sz w:val="18"/>
                <w:szCs w:val="18"/>
              </w:rPr>
              <w:t xml:space="preserve">Référence, montant, statut de règlement, quittance à code QR</w:t>
            </w:r>
          </w:p>
        </w:tc>
        <w:tc>
          <w:tcPr>
            <w:tcW w:type="dxa" w:w="1872"/>
            <w:tcMar>
              <w:top w:type="dxa" w:w="60"/>
              <w:left w:type="dxa" w:w="90"/>
              <w:bottom w:type="dxa" w:w="60"/>
              <w:right w:type="dxa" w:w="90"/>
            </w:tcMar>
          </w:tcPr>
          <w:p>
            <w:pPr>
              <w:spacing w:after="20" w:line="240"/>
            </w:pPr>
            <w:r>
              <w:rPr>
                <w:b w:val="false"/>
                <w:bCs w:val="false"/>
                <w:sz w:val="18"/>
                <w:szCs w:val="18"/>
              </w:rPr>
              <w:t xml:space="preserve">À la confirmation du prestataire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Centres agréés et stocks de vignettes</w:t>
            </w:r>
          </w:p>
        </w:tc>
        <w:tc>
          <w:tcPr>
            <w:tcW w:type="dxa" w:w="1685"/>
            <w:tcMar>
              <w:top w:type="dxa" w:w="60"/>
              <w:left w:type="dxa" w:w="90"/>
              <w:bottom w:type="dxa" w:w="60"/>
              <w:right w:type="dxa" w:w="90"/>
            </w:tcMar>
          </w:tcPr>
          <w:p>
            <w:pPr>
              <w:spacing w:after="20" w:line="240"/>
            </w:pPr>
            <w:r>
              <w:rPr>
                <w:b w:val="false"/>
                <w:bCs w:val="false"/>
                <w:sz w:val="18"/>
                <w:szCs w:val="18"/>
              </w:rPr>
              <w:t xml:space="preserve">RFCK vers MOSOLO</w:t>
            </w:r>
          </w:p>
        </w:tc>
        <w:tc>
          <w:tcPr>
            <w:tcW w:type="dxa" w:w="3370"/>
            <w:tcMar>
              <w:top w:type="dxa" w:w="60"/>
              <w:left w:type="dxa" w:w="90"/>
              <w:bottom w:type="dxa" w:w="60"/>
              <w:right w:type="dxa" w:w="90"/>
            </w:tcMar>
          </w:tcPr>
          <w:p>
            <w:pPr>
              <w:spacing w:after="20" w:line="240"/>
            </w:pPr>
            <w:r>
              <w:rPr>
                <w:b w:val="false"/>
                <w:bCs w:val="false"/>
                <w:sz w:val="18"/>
                <w:szCs w:val="18"/>
              </w:rPr>
              <w:t xml:space="preserve">Habilitations, quotas, numéros attribués et consommés</w:t>
            </w:r>
          </w:p>
        </w:tc>
        <w:tc>
          <w:tcPr>
            <w:tcW w:type="dxa" w:w="1872"/>
            <w:tcMar>
              <w:top w:type="dxa" w:w="60"/>
              <w:left w:type="dxa" w:w="90"/>
              <w:bottom w:type="dxa" w:w="60"/>
              <w:right w:type="dxa" w:w="90"/>
            </w:tcMar>
          </w:tcPr>
          <w:p>
            <w:pPr>
              <w:spacing w:after="20" w:line="240"/>
            </w:pPr>
            <w:r>
              <w:rPr>
                <w:b w:val="false"/>
                <w:bCs w:val="false"/>
                <w:sz w:val="18"/>
                <w:szCs w:val="18"/>
              </w:rPr>
              <w:t xml:space="preserve">Quotidien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Alertes de fraude</w:t>
            </w:r>
          </w:p>
        </w:tc>
        <w:tc>
          <w:tcPr>
            <w:tcW w:type="dxa" w:w="1685"/>
            <w:tcMar>
              <w:top w:type="dxa" w:w="60"/>
              <w:left w:type="dxa" w:w="90"/>
              <w:bottom w:type="dxa" w:w="60"/>
              <w:right w:type="dxa" w:w="90"/>
            </w:tcMar>
          </w:tcPr>
          <w:p>
            <w:pPr>
              <w:spacing w:after="20" w:line="240"/>
            </w:pPr>
            <w:r>
              <w:rPr>
                <w:b w:val="false"/>
                <w:bCs w:val="false"/>
                <w:sz w:val="18"/>
                <w:szCs w:val="18"/>
              </w:rPr>
              <w:t xml:space="preserve">Bidirectionnel</w:t>
            </w:r>
          </w:p>
        </w:tc>
        <w:tc>
          <w:tcPr>
            <w:tcW w:type="dxa" w:w="3370"/>
            <w:tcMar>
              <w:top w:type="dxa" w:w="60"/>
              <w:left w:type="dxa" w:w="90"/>
              <w:bottom w:type="dxa" w:w="60"/>
              <w:right w:type="dxa" w:w="90"/>
            </w:tcMar>
          </w:tcPr>
          <w:p>
            <w:pPr>
              <w:spacing w:after="20" w:line="240"/>
            </w:pPr>
            <w:r>
              <w:rPr>
                <w:b w:val="false"/>
                <w:bCs w:val="false"/>
                <w:sz w:val="18"/>
                <w:szCs w:val="18"/>
              </w:rPr>
              <w:t xml:space="preserve">Anomalies de centres, vignettes non référencées, incohérences de statut</w:t>
            </w:r>
          </w:p>
        </w:tc>
        <w:tc>
          <w:tcPr>
            <w:tcW w:type="dxa" w:w="1872"/>
            <w:tcMar>
              <w:top w:type="dxa" w:w="60"/>
              <w:left w:type="dxa" w:w="90"/>
              <w:bottom w:type="dxa" w:w="60"/>
              <w:right w:type="dxa" w:w="90"/>
            </w:tcMar>
          </w:tcPr>
          <w:p>
            <w:pPr>
              <w:spacing w:after="20" w:line="240"/>
            </w:pPr>
            <w:r>
              <w:rPr>
                <w:b w:val="false"/>
                <w:bCs w:val="false"/>
                <w:sz w:val="18"/>
                <w:szCs w:val="18"/>
              </w:rPr>
              <w:t xml:space="preserve">Continu</w:t>
            </w:r>
          </w:p>
        </w:tc>
      </w:tr>
    </w:tbl>
    <w:p>
      <w:pPr>
        <w:spacing w:after="120" w:line="276"/>
        <w:jc w:val="both"/>
      </w:pPr>
      <w:r>
        <w:rPr>
          <w:b w:val="false"/>
          <w:bCs w:val="false"/>
          <w:i w:val="false"/>
          <w:iCs w:val="false"/>
          <w:sz w:val="21"/>
          <w:szCs w:val="21"/>
        </w:rPr>
        <w:t xml:space="preserve">Ces échanges portent sur des données personnelles et sur des informations à effet financier. Ils reposent donc sur une convention entre la Ville, la régie fiscale et la RFCK, précisant la finalité de chaque flux, les champs échangés, la fréquence, les mesures de sécurité, la durée de conservation et les modalités de contrôle — selon les règles de gouvernance des données énoncées dans le présent document et sous réserve de conformité au Code du numérique.</w:t>
      </w:r>
    </w:p>
    <w:p>
      <w:pPr>
        <w:pStyle w:val="Heading2"/>
        <w:spacing w:after="120" w:before="260"/>
      </w:pPr>
      <w:r>
        <w:t xml:space="preserve">18.10 Séquence d'intégration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4306"/>
        <w:gridCol w:w="2808"/>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Étape</w:t>
            </w:r>
          </w:p>
        </w:tc>
        <w:tc>
          <w:tcPr>
            <w:tcW w:type="dxa" w:w="4306"/>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Condition de passage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1. Convention et protocole</w:t>
            </w:r>
          </w:p>
        </w:tc>
        <w:tc>
          <w:tcPr>
            <w:tcW w:type="dxa" w:w="4306"/>
            <w:tcMar>
              <w:top w:type="dxa" w:w="60"/>
              <w:left w:type="dxa" w:w="90"/>
              <w:bottom w:type="dxa" w:w="60"/>
              <w:right w:type="dxa" w:w="90"/>
            </w:tcMar>
          </w:tcPr>
          <w:p>
            <w:pPr>
              <w:spacing w:after="20" w:line="240"/>
            </w:pPr>
            <w:r>
              <w:rPr>
                <w:b w:val="false"/>
                <w:bCs w:val="false"/>
                <w:sz w:val="18"/>
                <w:szCs w:val="18"/>
              </w:rPr>
              <w:t xml:space="preserve">Cadre juridique de l'échange, finalités, sécurité, durée</w:t>
            </w:r>
          </w:p>
        </w:tc>
        <w:tc>
          <w:tcPr>
            <w:tcW w:type="dxa" w:w="2808"/>
            <w:tcMar>
              <w:top w:type="dxa" w:w="60"/>
              <w:left w:type="dxa" w:w="90"/>
              <w:bottom w:type="dxa" w:w="60"/>
              <w:right w:type="dxa" w:w="90"/>
            </w:tcMar>
          </w:tcPr>
          <w:p>
            <w:pPr>
              <w:spacing w:after="20" w:line="240"/>
            </w:pPr>
            <w:r>
              <w:rPr>
                <w:b w:val="false"/>
                <w:bCs w:val="false"/>
                <w:sz w:val="18"/>
                <w:szCs w:val="18"/>
              </w:rPr>
              <w:t xml:space="preserve">Signature par la Ville, la régie fiscale et la RFCK</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2. Domaine officiel</w:t>
            </w:r>
          </w:p>
        </w:tc>
        <w:tc>
          <w:tcPr>
            <w:tcW w:type="dxa" w:w="4306"/>
            <w:tcMar>
              <w:top w:type="dxa" w:w="60"/>
              <w:left w:type="dxa" w:w="90"/>
              <w:bottom w:type="dxa" w:w="60"/>
              <w:right w:type="dxa" w:w="90"/>
            </w:tcMar>
          </w:tcPr>
          <w:p>
            <w:pPr>
              <w:spacing w:after="20" w:line="240"/>
            </w:pPr>
            <w:r>
              <w:rPr>
                <w:b w:val="false"/>
                <w:bCs w:val="false"/>
                <w:sz w:val="18"/>
                <w:szCs w:val="18"/>
              </w:rPr>
              <w:t xml:space="preserve">Migration du site, de la messagerie et de la vérification publique vers un domaine unique de la Ville</w:t>
            </w:r>
          </w:p>
        </w:tc>
        <w:tc>
          <w:tcPr>
            <w:tcW w:type="dxa" w:w="2808"/>
            <w:tcMar>
              <w:top w:type="dxa" w:w="60"/>
              <w:left w:type="dxa" w:w="90"/>
              <w:bottom w:type="dxa" w:w="60"/>
              <w:right w:type="dxa" w:w="90"/>
            </w:tcMar>
          </w:tcPr>
          <w:p>
            <w:pPr>
              <w:spacing w:after="20" w:line="240"/>
            </w:pPr>
            <w:r>
              <w:rPr>
                <w:b w:val="false"/>
                <w:bCs w:val="false"/>
                <w:sz w:val="18"/>
                <w:szCs w:val="18"/>
              </w:rPr>
              <w:t xml:space="preserve">Domaine et certificat détenus par la Ville ; anciennes adresses redirigées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3. Reprise des registres</w:t>
            </w:r>
          </w:p>
        </w:tc>
        <w:tc>
          <w:tcPr>
            <w:tcW w:type="dxa" w:w="4306"/>
            <w:tcMar>
              <w:top w:type="dxa" w:w="60"/>
              <w:left w:type="dxa" w:w="90"/>
              <w:bottom w:type="dxa" w:w="60"/>
              <w:right w:type="dxa" w:w="90"/>
            </w:tcMar>
          </w:tcPr>
          <w:p>
            <w:pPr>
              <w:spacing w:after="20" w:line="240"/>
            </w:pPr>
            <w:r>
              <w:rPr>
                <w:b w:val="false"/>
                <w:bCs w:val="false"/>
                <w:sz w:val="18"/>
                <w:szCs w:val="18"/>
              </w:rPr>
              <w:t xml:space="preserve">Import du parc connu, de l'historique des procès-verbaux et des vignettes émises</w:t>
            </w:r>
          </w:p>
        </w:tc>
        <w:tc>
          <w:tcPr>
            <w:tcW w:type="dxa" w:w="2808"/>
            <w:tcMar>
              <w:top w:type="dxa" w:w="60"/>
              <w:left w:type="dxa" w:w="90"/>
              <w:bottom w:type="dxa" w:w="60"/>
              <w:right w:type="dxa" w:w="90"/>
            </w:tcMar>
          </w:tcPr>
          <w:p>
            <w:pPr>
              <w:spacing w:after="20" w:line="240"/>
            </w:pPr>
            <w:r>
              <w:rPr>
                <w:b w:val="false"/>
                <w:bCs w:val="false"/>
                <w:sz w:val="18"/>
                <w:szCs w:val="18"/>
              </w:rPr>
              <w:t xml:space="preserve">Qualité de données contrôlée par échantillon ; compteurs publics confirmés ou retirés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4. Affichage unifié</w:t>
            </w:r>
          </w:p>
        </w:tc>
        <w:tc>
          <w:tcPr>
            <w:tcW w:type="dxa" w:w="4306"/>
            <w:tcMar>
              <w:top w:type="dxa" w:w="60"/>
              <w:left w:type="dxa" w:w="90"/>
              <w:bottom w:type="dxa" w:w="60"/>
              <w:right w:type="dxa" w:w="90"/>
            </w:tcMar>
          </w:tcPr>
          <w:p>
            <w:pPr>
              <w:spacing w:after="20" w:line="240"/>
            </w:pPr>
            <w:r>
              <w:rPr>
                <w:b w:val="false"/>
                <w:bCs w:val="false"/>
                <w:sz w:val="18"/>
                <w:szCs w:val="18"/>
              </w:rPr>
              <w:t xml:space="preserve">Vue unique en lecture seule au point de contrôle, absorbant la vérification par plaque existante</w:t>
            </w:r>
          </w:p>
        </w:tc>
        <w:tc>
          <w:tcPr>
            <w:tcW w:type="dxa" w:w="2808"/>
            <w:tcMar>
              <w:top w:type="dxa" w:w="60"/>
              <w:left w:type="dxa" w:w="90"/>
              <w:bottom w:type="dxa" w:w="60"/>
              <w:right w:type="dxa" w:w="90"/>
            </w:tcMar>
          </w:tcPr>
          <w:p>
            <w:pPr>
              <w:spacing w:after="20" w:line="240"/>
            </w:pPr>
            <w:r>
              <w:rPr>
                <w:b w:val="false"/>
                <w:bCs w:val="false"/>
                <w:sz w:val="18"/>
                <w:szCs w:val="18"/>
              </w:rPr>
              <w:t xml:space="preserve">Recette avec des agents réels sur le terrain</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5. Paiement électronique</w:t>
            </w:r>
          </w:p>
        </w:tc>
        <w:tc>
          <w:tcPr>
            <w:tcW w:type="dxa" w:w="4306"/>
            <w:tcMar>
              <w:top w:type="dxa" w:w="60"/>
              <w:left w:type="dxa" w:w="90"/>
              <w:bottom w:type="dxa" w:w="60"/>
              <w:right w:type="dxa" w:w="90"/>
            </w:tcMar>
          </w:tcPr>
          <w:p>
            <w:pPr>
              <w:spacing w:after="20" w:line="240"/>
            </w:pPr>
            <w:r>
              <w:rPr>
                <w:b w:val="false"/>
                <w:bCs w:val="false"/>
                <w:sz w:val="18"/>
                <w:szCs w:val="18"/>
              </w:rPr>
              <w:t xml:space="preserve">Redevances de contrôle technique et recettes de fourrière payées vers les comptes publics désignés</w:t>
            </w:r>
          </w:p>
        </w:tc>
        <w:tc>
          <w:tcPr>
            <w:tcW w:type="dxa" w:w="2808"/>
            <w:tcMar>
              <w:top w:type="dxa" w:w="60"/>
              <w:left w:type="dxa" w:w="90"/>
              <w:bottom w:type="dxa" w:w="60"/>
              <w:right w:type="dxa" w:w="90"/>
            </w:tcMar>
          </w:tcPr>
          <w:p>
            <w:pPr>
              <w:spacing w:after="20" w:line="240"/>
            </w:pPr>
            <w:r>
              <w:rPr>
                <w:b w:val="false"/>
                <w:bCs w:val="false"/>
                <w:sz w:val="18"/>
                <w:szCs w:val="18"/>
              </w:rPr>
              <w:t xml:space="preserve">Conventions avec les prestataires agréés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6. Fermeture du circuit espèces</w:t>
            </w:r>
          </w:p>
        </w:tc>
        <w:tc>
          <w:tcPr>
            <w:tcW w:type="dxa" w:w="4306"/>
            <w:tcMar>
              <w:top w:type="dxa" w:w="60"/>
              <w:left w:type="dxa" w:w="90"/>
              <w:bottom w:type="dxa" w:w="60"/>
              <w:right w:type="dxa" w:w="90"/>
            </w:tcMar>
          </w:tcPr>
          <w:p>
            <w:pPr>
              <w:spacing w:after="20" w:line="240"/>
            </w:pPr>
            <w:r>
              <w:rPr>
                <w:b w:val="false"/>
                <w:bCs w:val="false"/>
                <w:sz w:val="18"/>
                <w:szCs w:val="18"/>
              </w:rPr>
              <w:t xml:space="preserve">Suppression de l'encaissement physique en fourrière et dans les centres</w:t>
            </w:r>
          </w:p>
        </w:tc>
        <w:tc>
          <w:tcPr>
            <w:tcW w:type="dxa" w:w="2808"/>
            <w:tcMar>
              <w:top w:type="dxa" w:w="60"/>
              <w:left w:type="dxa" w:w="90"/>
              <w:bottom w:type="dxa" w:w="60"/>
              <w:right w:type="dxa" w:w="90"/>
            </w:tcMar>
          </w:tcPr>
          <w:p>
            <w:pPr>
              <w:spacing w:after="20" w:line="240"/>
            </w:pPr>
            <w:r>
              <w:rPr>
                <w:b w:val="false"/>
                <w:bCs w:val="false"/>
                <w:sz w:val="18"/>
                <w:szCs w:val="18"/>
              </w:rPr>
              <w:t xml:space="preserve">Formation, dialogue social, régime des primes arrêté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7. Analytique et lutte contre la fraude</w:t>
            </w:r>
          </w:p>
        </w:tc>
        <w:tc>
          <w:tcPr>
            <w:tcW w:type="dxa" w:w="4306"/>
            <w:tcMar>
              <w:top w:type="dxa" w:w="60"/>
              <w:left w:type="dxa" w:w="90"/>
              <w:bottom w:type="dxa" w:w="60"/>
              <w:right w:type="dxa" w:w="90"/>
            </w:tcMar>
          </w:tcPr>
          <w:p>
            <w:pPr>
              <w:spacing w:after="20" w:line="240"/>
            </w:pPr>
            <w:r>
              <w:rPr>
                <w:b w:val="false"/>
                <w:bCs w:val="false"/>
                <w:sz w:val="18"/>
                <w:szCs w:val="18"/>
              </w:rPr>
              <w:t xml:space="preserve">Surveillance des centres, des vignettes et des mouvements de fourrière</w:t>
            </w:r>
          </w:p>
        </w:tc>
        <w:tc>
          <w:tcPr>
            <w:tcW w:type="dxa" w:w="2808"/>
            <w:tcMar>
              <w:top w:type="dxa" w:w="60"/>
              <w:left w:type="dxa" w:w="90"/>
              <w:bottom w:type="dxa" w:w="60"/>
              <w:right w:type="dxa" w:w="90"/>
            </w:tcMar>
          </w:tcPr>
          <w:p>
            <w:pPr>
              <w:spacing w:after="20" w:line="240"/>
            </w:pPr>
            <w:r>
              <w:rPr>
                <w:b w:val="false"/>
                <w:bCs w:val="false"/>
                <w:sz w:val="18"/>
                <w:szCs w:val="18"/>
              </w:rPr>
              <w:t xml:space="preserve">Douze semaines d'historique consolidé</w:t>
            </w:r>
          </w:p>
        </w:tc>
      </w:tr>
    </w:tbl>
    <w:p>
      <w:pPr>
        <w:spacing w:after="120" w:line="276"/>
        <w:jc w:val="both"/>
      </w:pPr>
      <w:r>
        <w:rPr>
          <w:b w:val="false"/>
          <w:bCs w:val="false"/>
          <w:i w:val="false"/>
          <w:iCs w:val="false"/>
          <w:sz w:val="21"/>
          <w:szCs w:val="21"/>
        </w:rPr>
        <w:t xml:space="preserve">Cette séquence se cale sur le calendrier propre de la régie. Les phases de bouclage généralisé constituent des fenêtres d'observation exceptionnelles : le volume de contrôles y est maximal, donc la qualité statistique du registre progresse plus vite en quelques semaines qu'en plusieurs mois de fonctionnement ordinaire. L'étape du domaine officiel est volontairement placée en deuxième position : elle est peu coûteuse, elle ne dépend d'aucun développement, et tout ce qui est communiqué avant elle devra être communiqué une seconde fois.</w:t>
      </w:r>
    </w:p>
    <w:p>
      <w:pPr>
        <w:pStyle w:val="Heading2"/>
        <w:spacing w:after="120" w:before="260"/>
      </w:pPr>
      <w:r>
        <w:t xml:space="preserve">18.11 Ce que l'intégration apporte aux recettes</w:t>
      </w:r>
    </w:p>
    <w:p>
      <w:pPr>
        <w:spacing w:after="120" w:line="276"/>
        <w:jc w:val="both"/>
      </w:pPr>
      <w:r>
        <w:rPr>
          <w:b/>
          <w:bCs/>
          <w:sz w:val="21"/>
          <w:szCs w:val="21"/>
        </w:rPr>
        <w:t xml:space="preserve">Le contrôle technique obligatoire est, de fait, le plus vaste recensement de véhicules jamais conduit à Kinshasa. </w:t>
      </w:r>
      <w:r>
        <w:rPr>
          <w:sz w:val="21"/>
          <w:szCs w:val="21"/>
        </w:rPr>
        <w:t xml:space="preserve">Chaque véhicule présenté dans un centre agréé devient un objet vérifié, décrit, daté et rattaché à un propriétaire identifié. C'est exactement le registre qui a toujours manqué à la vignette fiscale, et il se constitue sans que la Ville ait à financer une campagne de recensement distincte.</w:t>
      </w:r>
    </w:p>
    <w:p>
      <w:pPr>
        <w:spacing w:after="120" w:line="276"/>
        <w:jc w:val="both"/>
      </w:pPr>
      <w:r>
        <w:rPr>
          <w:b/>
          <w:bCs/>
          <w:sz w:val="21"/>
          <w:szCs w:val="21"/>
        </w:rPr>
        <w:t xml:space="preserve">La réciprocité est immédiate. </w:t>
      </w:r>
      <w:r>
        <w:rPr>
          <w:sz w:val="21"/>
          <w:szCs w:val="21"/>
        </w:rPr>
        <w:t xml:space="preserve">Au moment précis où l'usager se présente pour son contrôle technique ou pour récupérer son véhicule, sa situation fiscale devient visible et payable depuis son téléphone. C'est le moment de conformité le plus favorable de toute l'année pour un propriétaire de véhicule.</w:t>
      </w:r>
    </w:p>
    <w:p>
      <w:pPr>
        <w:spacing w:after="120" w:line="276"/>
        <w:jc w:val="both"/>
      </w:pPr>
      <w:r>
        <w:rPr>
          <w:b/>
          <w:bCs/>
          <w:sz w:val="21"/>
          <w:szCs w:val="21"/>
        </w:rPr>
        <w:t xml:space="preserve">Les recettes de fourrière deviennent mesurables. </w:t>
      </w:r>
      <w:r>
        <w:rPr>
          <w:sz w:val="21"/>
          <w:szCs w:val="21"/>
        </w:rPr>
        <w:t xml:space="preserve">Une fois bancarisées et rapprochées, elles cessent d'être une estimation pour devenir une ligne suivie au tableau de bord, comparable d'un site à l'autre et d'un mois à l'autre.</w:t>
      </w:r>
    </w:p>
    <w:p>
      <w:pPr>
        <w:spacing w:after="120" w:line="276"/>
        <w:jc w:val="both"/>
      </w:pPr>
      <w:r>
        <w:rPr>
          <w:b/>
          <w:bCs/>
          <w:sz w:val="21"/>
          <w:szCs w:val="21"/>
        </w:rPr>
        <w:t xml:space="preserve">Le réseau des centres agréés devient un canal d'enrôlement. </w:t>
      </w:r>
      <w:r>
        <w:rPr>
          <w:sz w:val="21"/>
          <w:szCs w:val="21"/>
        </w:rPr>
        <w:t xml:space="preserve">Chaque passage en centre est une occasion d'ouvrir ou de compléter un compte unique, avec un numéro de téléphone vérifié, sans déploiement d'agents supplémentaires.</w:t>
      </w:r>
    </w:p>
    <w:p>
      <w:pPr>
        <w:spacing w:after="120" w:line="276"/>
        <w:jc w:val="both"/>
      </w:pPr>
      <w:r>
        <w:rPr>
          <w:b/>
          <w:bCs/>
          <w:sz w:val="21"/>
          <w:szCs w:val="21"/>
        </w:rPr>
        <w:t xml:space="preserve">La couche usager manquante devient l'apport le plus visible de MOSOLO. </w:t>
      </w:r>
      <w:r>
        <w:rPr>
          <w:sz w:val="21"/>
          <w:szCs w:val="21"/>
        </w:rPr>
        <w:t xml:space="preserve">Information, prise de rendez-vous, suivi de dossier, paiement et quittance sont aujourd'hui annoncés plus que servis. Les fournir dans l'espace contribuable unique bénéficie directement à la régie sans lui retirer aucune compétence, ce qui fait de la RFCK un partenaire naturel plutôt qu'une institution à convaincre.</w:t>
      </w:r>
    </w:p>
    <w:p>
      <w:pPr>
        <w:pBdr>
          <w:left w:val="single" w:color="1BA996" w:sz="18" w:space="8"/>
        </w:pBdr>
        <w:spacing w:after="160" w:before="120" w:line="264"/>
        <w:ind w:left="180"/>
      </w:pPr>
      <w:r>
        <w:rPr>
          <w:b/>
          <w:bCs/>
          <w:color w:val="10262C"/>
          <w:sz w:val="20"/>
          <w:szCs w:val="20"/>
        </w:rPr>
        <w:t xml:space="preserve">Prudence sur le chiffrage. </w:t>
      </w:r>
      <w:r>
        <w:rPr>
          <w:sz w:val="20"/>
          <w:szCs w:val="20"/>
        </w:rPr>
        <w:t xml:space="preserve">Le potentiel de la chaîne véhicule dépend de la taille réelle du parc en circulation, qui n'est pas connue avec précision à ce jour. Le nombre de véhicules retenu dans le modèle financier du présent document est une hypothèse de travail, et les compteurs publiés par la régie ne peuvent pas en tenir lieu. Les campagnes de contrôle technique fourniront, pour la première fois, un décompte fondé sur des passages constatés : c'est cette donnée, et non une estimation, qui doit alimenter les assignations.</w:t>
      </w:r>
    </w:p>
    <w:p>
      <w:pPr>
        <w:pStyle w:val="Heading1"/>
        <w:spacing w:after="160" w:before="360"/>
      </w:pPr>
      <w:r>
        <w:t xml:space="preserve">19. Modèle de paiement et de règlement</w:t>
      </w:r>
    </w:p>
    <w:p>
      <w:pPr>
        <w:pStyle w:val="Heading2"/>
        <w:spacing w:after="120" w:before="260"/>
      </w:pPr>
      <w:r>
        <w:t xml:space="preserve">19.1 Canaux</w:t>
      </w:r>
    </w:p>
    <w:p>
      <w:pPr>
        <w:spacing w:after="120" w:line="276"/>
        <w:jc w:val="both"/>
      </w:pPr>
      <w:r>
        <w:rPr>
          <w:b w:val="false"/>
          <w:bCs w:val="false"/>
          <w:i w:val="false"/>
          <w:iCs w:val="false"/>
          <w:sz w:val="21"/>
          <w:szCs w:val="21"/>
        </w:rPr>
        <w:t xml:space="preserve">Mobile Money de tous les opérateurs agréés, banques, cartes, virements, USSD, QR et agents agréés. Le choix du canal appartient au contribuable ; aucun canal n'est exclusif.</w:t>
      </w:r>
    </w:p>
    <w:p>
      <w:pPr>
        <w:pStyle w:val="Heading2"/>
        <w:spacing w:after="120" w:before="260"/>
      </w:pPr>
      <w:r>
        <w:t xml:space="preserve">19.2 Cycle de vie du paiement</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4118"/>
        <w:gridCol w:w="2995"/>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Étape</w:t>
            </w:r>
          </w:p>
        </w:tc>
        <w:tc>
          <w:tcPr>
            <w:tcW w:type="dxa" w:w="4118"/>
            <w:shd w:fill="E6F4F1" w:color="auto" w:val="clear"/>
            <w:tcMar>
              <w:top w:type="dxa" w:w="60"/>
              <w:left w:type="dxa" w:w="90"/>
              <w:bottom w:type="dxa" w:w="60"/>
              <w:right w:type="dxa" w:w="90"/>
            </w:tcMar>
          </w:tcPr>
          <w:p>
            <w:pPr>
              <w:spacing w:after="20" w:line="240"/>
            </w:pPr>
            <w:r>
              <w:rPr>
                <w:b/>
                <w:bCs/>
                <w:sz w:val="18"/>
                <w:szCs w:val="18"/>
              </w:rPr>
              <w:t xml:space="preserve">Contrôle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Preuve produite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Création de l'obligation</w:t>
            </w:r>
          </w:p>
        </w:tc>
        <w:tc>
          <w:tcPr>
            <w:tcW w:type="dxa" w:w="4118"/>
            <w:tcMar>
              <w:top w:type="dxa" w:w="60"/>
              <w:left w:type="dxa" w:w="90"/>
              <w:bottom w:type="dxa" w:w="60"/>
              <w:right w:type="dxa" w:w="90"/>
            </w:tcMar>
          </w:tcPr>
          <w:p>
            <w:pPr>
              <w:spacing w:after="20" w:line="240"/>
            </w:pPr>
            <w:r>
              <w:rPr>
                <w:b w:val="false"/>
                <w:bCs w:val="false"/>
                <w:sz w:val="18"/>
                <w:szCs w:val="18"/>
              </w:rPr>
              <w:t xml:space="preserve">Règle validée, objet identifié, période</w:t>
            </w:r>
          </w:p>
        </w:tc>
        <w:tc>
          <w:tcPr>
            <w:tcW w:type="dxa" w:w="2995"/>
            <w:tcMar>
              <w:top w:type="dxa" w:w="60"/>
              <w:left w:type="dxa" w:w="90"/>
              <w:bottom w:type="dxa" w:w="60"/>
              <w:right w:type="dxa" w:w="90"/>
            </w:tcMar>
          </w:tcPr>
          <w:p>
            <w:pPr>
              <w:spacing w:after="20" w:line="240"/>
            </w:pPr>
            <w:r>
              <w:rPr>
                <w:b w:val="false"/>
                <w:bCs w:val="false"/>
                <w:sz w:val="18"/>
                <w:szCs w:val="18"/>
              </w:rPr>
              <w:t xml:space="preserve">Avis de paiement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Référence unique</w:t>
            </w:r>
          </w:p>
        </w:tc>
        <w:tc>
          <w:tcPr>
            <w:tcW w:type="dxa" w:w="4118"/>
            <w:tcMar>
              <w:top w:type="dxa" w:w="60"/>
              <w:left w:type="dxa" w:w="90"/>
              <w:bottom w:type="dxa" w:w="60"/>
              <w:right w:type="dxa" w:w="90"/>
            </w:tcMar>
          </w:tcPr>
          <w:p>
            <w:pPr>
              <w:spacing w:after="20" w:line="240"/>
            </w:pPr>
            <w:r>
              <w:rPr>
                <w:b w:val="false"/>
                <w:bCs w:val="false"/>
                <w:sz w:val="18"/>
                <w:szCs w:val="18"/>
              </w:rPr>
              <w:t xml:space="preserve">Idempotence, unicité, expiration</w:t>
            </w:r>
          </w:p>
        </w:tc>
        <w:tc>
          <w:tcPr>
            <w:tcW w:type="dxa" w:w="2995"/>
            <w:tcMar>
              <w:top w:type="dxa" w:w="60"/>
              <w:left w:type="dxa" w:w="90"/>
              <w:bottom w:type="dxa" w:w="60"/>
              <w:right w:type="dxa" w:w="90"/>
            </w:tcMar>
          </w:tcPr>
          <w:p>
            <w:pPr>
              <w:spacing w:after="20" w:line="240"/>
            </w:pPr>
            <w:r>
              <w:rPr>
                <w:b w:val="false"/>
                <w:bCs w:val="false"/>
                <w:sz w:val="18"/>
                <w:szCs w:val="18"/>
              </w:rPr>
              <w:t xml:space="preserve">Référence opposable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Initiation</w:t>
            </w:r>
          </w:p>
        </w:tc>
        <w:tc>
          <w:tcPr>
            <w:tcW w:type="dxa" w:w="4118"/>
            <w:tcMar>
              <w:top w:type="dxa" w:w="60"/>
              <w:left w:type="dxa" w:w="90"/>
              <w:bottom w:type="dxa" w:w="60"/>
              <w:right w:type="dxa" w:w="90"/>
            </w:tcMar>
          </w:tcPr>
          <w:p>
            <w:pPr>
              <w:spacing w:after="20" w:line="240"/>
            </w:pPr>
            <w:r>
              <w:rPr>
                <w:b w:val="false"/>
                <w:bCs w:val="false"/>
                <w:sz w:val="18"/>
                <w:szCs w:val="18"/>
              </w:rPr>
              <w:t xml:space="preserve">Canal autorisé, montant et devise conformes</w:t>
            </w:r>
          </w:p>
        </w:tc>
        <w:tc>
          <w:tcPr>
            <w:tcW w:type="dxa" w:w="2995"/>
            <w:tcMar>
              <w:top w:type="dxa" w:w="60"/>
              <w:left w:type="dxa" w:w="90"/>
              <w:bottom w:type="dxa" w:w="60"/>
              <w:right w:type="dxa" w:w="90"/>
            </w:tcMar>
          </w:tcPr>
          <w:p>
            <w:pPr>
              <w:spacing w:after="20" w:line="240"/>
            </w:pPr>
            <w:r>
              <w:rPr>
                <w:b w:val="false"/>
                <w:bCs w:val="false"/>
                <w:sz w:val="18"/>
                <w:szCs w:val="18"/>
              </w:rPr>
              <w:t xml:space="preserve">Ordre de paiement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Confirmation du prestataire</w:t>
            </w:r>
          </w:p>
        </w:tc>
        <w:tc>
          <w:tcPr>
            <w:tcW w:type="dxa" w:w="4118"/>
            <w:tcMar>
              <w:top w:type="dxa" w:w="60"/>
              <w:left w:type="dxa" w:w="90"/>
              <w:bottom w:type="dxa" w:w="60"/>
              <w:right w:type="dxa" w:w="90"/>
            </w:tcMar>
          </w:tcPr>
          <w:p>
            <w:pPr>
              <w:spacing w:after="20" w:line="240"/>
            </w:pPr>
            <w:r>
              <w:rPr>
                <w:b w:val="false"/>
                <w:bCs w:val="false"/>
                <w:sz w:val="18"/>
                <w:szCs w:val="18"/>
              </w:rPr>
              <w:t xml:space="preserve">Rappel signé, contrôle anti-rejeu, vérification serveur à serveur</w:t>
            </w:r>
          </w:p>
        </w:tc>
        <w:tc>
          <w:tcPr>
            <w:tcW w:type="dxa" w:w="2995"/>
            <w:tcMar>
              <w:top w:type="dxa" w:w="60"/>
              <w:left w:type="dxa" w:w="90"/>
              <w:bottom w:type="dxa" w:w="60"/>
              <w:right w:type="dxa" w:w="90"/>
            </w:tcMar>
          </w:tcPr>
          <w:p>
            <w:pPr>
              <w:spacing w:after="20" w:line="240"/>
            </w:pPr>
            <w:r>
              <w:rPr>
                <w:b w:val="false"/>
                <w:bCs w:val="false"/>
                <w:sz w:val="18"/>
                <w:szCs w:val="18"/>
              </w:rPr>
              <w:t xml:space="preserve">Événement de paiement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Règlement en compte public</w:t>
            </w:r>
          </w:p>
        </w:tc>
        <w:tc>
          <w:tcPr>
            <w:tcW w:type="dxa" w:w="4118"/>
            <w:tcMar>
              <w:top w:type="dxa" w:w="60"/>
              <w:left w:type="dxa" w:w="90"/>
              <w:bottom w:type="dxa" w:w="60"/>
              <w:right w:type="dxa" w:w="90"/>
            </w:tcMar>
          </w:tcPr>
          <w:p>
            <w:pPr>
              <w:spacing w:after="20" w:line="240"/>
            </w:pPr>
            <w:r>
              <w:rPr>
                <w:b w:val="false"/>
                <w:bCs w:val="false"/>
                <w:sz w:val="18"/>
                <w:szCs w:val="18"/>
              </w:rPr>
              <w:t xml:space="preserve">Compte désigné verrouillé, relevé bancaire</w:t>
            </w:r>
          </w:p>
        </w:tc>
        <w:tc>
          <w:tcPr>
            <w:tcW w:type="dxa" w:w="2995"/>
            <w:tcMar>
              <w:top w:type="dxa" w:w="60"/>
              <w:left w:type="dxa" w:w="90"/>
              <w:bottom w:type="dxa" w:w="60"/>
              <w:right w:type="dxa" w:w="90"/>
            </w:tcMar>
          </w:tcPr>
          <w:p>
            <w:pPr>
              <w:spacing w:after="20" w:line="240"/>
            </w:pPr>
            <w:r>
              <w:rPr>
                <w:b w:val="false"/>
                <w:bCs w:val="false"/>
                <w:sz w:val="18"/>
                <w:szCs w:val="18"/>
              </w:rPr>
              <w:t xml:space="preserve">Écriture de règlement</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Rapprochement</w:t>
            </w:r>
          </w:p>
        </w:tc>
        <w:tc>
          <w:tcPr>
            <w:tcW w:type="dxa" w:w="4118"/>
            <w:tcMar>
              <w:top w:type="dxa" w:w="60"/>
              <w:left w:type="dxa" w:w="90"/>
              <w:bottom w:type="dxa" w:w="60"/>
              <w:right w:type="dxa" w:w="90"/>
            </w:tcMar>
          </w:tcPr>
          <w:p>
            <w:pPr>
              <w:spacing w:after="20" w:line="240"/>
            </w:pPr>
            <w:r>
              <w:rPr>
                <w:b w:val="false"/>
                <w:bCs w:val="false"/>
                <w:sz w:val="18"/>
                <w:szCs w:val="18"/>
              </w:rPr>
              <w:t xml:space="preserve">Appariement automatique obligation–paiement–règlement</w:t>
            </w:r>
          </w:p>
        </w:tc>
        <w:tc>
          <w:tcPr>
            <w:tcW w:type="dxa" w:w="2995"/>
            <w:tcMar>
              <w:top w:type="dxa" w:w="60"/>
              <w:left w:type="dxa" w:w="90"/>
              <w:bottom w:type="dxa" w:w="60"/>
              <w:right w:type="dxa" w:w="90"/>
            </w:tcMar>
          </w:tcPr>
          <w:p>
            <w:pPr>
              <w:spacing w:after="20" w:line="240"/>
            </w:pPr>
            <w:r>
              <w:rPr>
                <w:b w:val="false"/>
                <w:bCs w:val="false"/>
                <w:sz w:val="18"/>
                <w:szCs w:val="18"/>
              </w:rPr>
              <w:t xml:space="preserve">Statut rapproché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Quittance</w:t>
            </w:r>
          </w:p>
        </w:tc>
        <w:tc>
          <w:tcPr>
            <w:tcW w:type="dxa" w:w="4118"/>
            <w:tcMar>
              <w:top w:type="dxa" w:w="60"/>
              <w:left w:type="dxa" w:w="90"/>
              <w:bottom w:type="dxa" w:w="60"/>
              <w:right w:type="dxa" w:w="90"/>
            </w:tcMar>
          </w:tcPr>
          <w:p>
            <w:pPr>
              <w:spacing w:after="20" w:line="240"/>
            </w:pPr>
            <w:r>
              <w:rPr>
                <w:b w:val="false"/>
                <w:bCs w:val="false"/>
                <w:sz w:val="18"/>
                <w:szCs w:val="18"/>
              </w:rPr>
              <w:t xml:space="preserve">Signature électronique, QR, publication du statut</w:t>
            </w:r>
          </w:p>
        </w:tc>
        <w:tc>
          <w:tcPr>
            <w:tcW w:type="dxa" w:w="2995"/>
            <w:tcMar>
              <w:top w:type="dxa" w:w="60"/>
              <w:left w:type="dxa" w:w="90"/>
              <w:bottom w:type="dxa" w:w="60"/>
              <w:right w:type="dxa" w:w="90"/>
            </w:tcMar>
          </w:tcPr>
          <w:p>
            <w:pPr>
              <w:spacing w:after="20" w:line="240"/>
            </w:pPr>
            <w:r>
              <w:rPr>
                <w:b w:val="false"/>
                <w:bCs w:val="false"/>
                <w:sz w:val="18"/>
                <w:szCs w:val="18"/>
              </w:rPr>
              <w:t xml:space="preserve">Quittance vérifiable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Comptabilisation</w:t>
            </w:r>
          </w:p>
        </w:tc>
        <w:tc>
          <w:tcPr>
            <w:tcW w:type="dxa" w:w="4118"/>
            <w:tcMar>
              <w:top w:type="dxa" w:w="60"/>
              <w:left w:type="dxa" w:w="90"/>
              <w:bottom w:type="dxa" w:w="60"/>
              <w:right w:type="dxa" w:w="90"/>
            </w:tcMar>
          </w:tcPr>
          <w:p>
            <w:pPr>
              <w:spacing w:after="20" w:line="240"/>
            </w:pPr>
            <w:r>
              <w:rPr>
                <w:b w:val="false"/>
                <w:bCs w:val="false"/>
                <w:sz w:val="18"/>
                <w:szCs w:val="18"/>
              </w:rPr>
              <w:t xml:space="preserve">Imputation selon la nomenclature publique</w:t>
            </w:r>
          </w:p>
        </w:tc>
        <w:tc>
          <w:tcPr>
            <w:tcW w:type="dxa" w:w="2995"/>
            <w:tcMar>
              <w:top w:type="dxa" w:w="60"/>
              <w:left w:type="dxa" w:w="90"/>
              <w:bottom w:type="dxa" w:w="60"/>
              <w:right w:type="dxa" w:w="90"/>
            </w:tcMar>
          </w:tcPr>
          <w:p>
            <w:pPr>
              <w:spacing w:after="20" w:line="240"/>
            </w:pPr>
            <w:r>
              <w:rPr>
                <w:b w:val="false"/>
                <w:bCs w:val="false"/>
                <w:sz w:val="18"/>
                <w:szCs w:val="18"/>
              </w:rPr>
              <w:t xml:space="preserve">Écriture comptable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Exception</w:t>
            </w:r>
          </w:p>
        </w:tc>
        <w:tc>
          <w:tcPr>
            <w:tcW w:type="dxa" w:w="4118"/>
            <w:tcMar>
              <w:top w:type="dxa" w:w="60"/>
              <w:left w:type="dxa" w:w="90"/>
              <w:bottom w:type="dxa" w:w="60"/>
              <w:right w:type="dxa" w:w="90"/>
            </w:tcMar>
          </w:tcPr>
          <w:p>
            <w:pPr>
              <w:spacing w:after="20" w:line="240"/>
            </w:pPr>
            <w:r>
              <w:rPr>
                <w:b w:val="false"/>
                <w:bCs w:val="false"/>
                <w:sz w:val="18"/>
                <w:szCs w:val="18"/>
              </w:rPr>
              <w:t xml:space="preserve">File d'exception, double validation pour correction</w:t>
            </w:r>
          </w:p>
        </w:tc>
        <w:tc>
          <w:tcPr>
            <w:tcW w:type="dxa" w:w="2995"/>
            <w:tcMar>
              <w:top w:type="dxa" w:w="60"/>
              <w:left w:type="dxa" w:w="90"/>
              <w:bottom w:type="dxa" w:w="60"/>
              <w:right w:type="dxa" w:w="90"/>
            </w:tcMar>
          </w:tcPr>
          <w:p>
            <w:pPr>
              <w:spacing w:after="20" w:line="240"/>
            </w:pPr>
            <w:r>
              <w:rPr>
                <w:b w:val="false"/>
                <w:bCs w:val="false"/>
                <w:sz w:val="18"/>
                <w:szCs w:val="18"/>
              </w:rPr>
              <w:t xml:space="preserve">Écriture contraire tracée</w:t>
            </w:r>
          </w:p>
        </w:tc>
      </w:tr>
    </w:tbl>
    <w:p>
      <w:pPr>
        <w:pStyle w:val="Heading2"/>
        <w:spacing w:after="120" w:before="260"/>
      </w:pPr>
      <w:r>
        <w:t xml:space="preserve">19.3 États distincts</w:t>
      </w:r>
    </w:p>
    <w:p>
      <w:pPr>
        <w:spacing w:after="120" w:line="276"/>
        <w:jc w:val="both"/>
      </w:pPr>
      <w:r>
        <w:rPr>
          <w:b w:val="false"/>
          <w:bCs w:val="false"/>
          <w:i w:val="false"/>
          <w:iCs w:val="false"/>
          <w:sz w:val="21"/>
          <w:szCs w:val="21"/>
        </w:rPr>
        <w:t xml:space="preserve">Le système distingue strictement : paiement initié ; confirmé ; réglé en compte public ; rapproché ; échoué ; dupliqué ; contrepassé ; remboursé ; contesté. Une quittance définitive n'est émise qu'à partir d'une confirmation serveur à serveur du prestataire, jamais sur la base d'une capture d'écran ou d'un message non vérifié.</w:t>
      </w:r>
    </w:p>
    <w:p>
      <w:pPr>
        <w:pStyle w:val="Heading2"/>
        <w:spacing w:after="120" w:before="260"/>
      </w:pPr>
      <w:r>
        <w:t xml:space="preserve">19.4 Protection du circuit</w:t>
      </w:r>
    </w:p>
    <w:p>
      <w:pPr>
        <w:pStyle w:val="ListItem"/>
        <w:numPr>
          <w:ilvl w:val="0"/>
          <w:numId w:val="1"/>
        </w:numPr>
        <w:spacing w:after="60" w:line="264"/>
      </w:pPr>
      <w:r>
        <w:t xml:space="preserve">Comptes bénéficiaires verrouillés : toute modification exige double validation, authentification renforcée et notification au comité de pilotage.</w:t>
      </w:r>
    </w:p>
    <w:p>
      <w:pPr>
        <w:pStyle w:val="ListItem"/>
        <w:numPr>
          <w:ilvl w:val="0"/>
          <w:numId w:val="1"/>
        </w:numPr>
        <w:spacing w:after="60" w:line="264"/>
      </w:pPr>
      <w:r>
        <w:t xml:space="preserve">Anti-rejeu et signature des rappels de prestataires ; refus des rappels non signés ou hors délai.</w:t>
      </w:r>
    </w:p>
    <w:p>
      <w:pPr>
        <w:pStyle w:val="ListItem"/>
        <w:numPr>
          <w:ilvl w:val="0"/>
          <w:numId w:val="1"/>
        </w:numPr>
        <w:spacing w:after="60" w:line="264"/>
      </w:pPr>
      <w:r>
        <w:t xml:space="preserve">Détection des doublons par référence, montant, objet et fenêtre temporelle.</w:t>
      </w:r>
    </w:p>
    <w:p>
      <w:pPr>
        <w:pStyle w:val="ListItem"/>
        <w:numPr>
          <w:ilvl w:val="0"/>
          <w:numId w:val="1"/>
        </w:numPr>
        <w:spacing w:after="60" w:line="264"/>
      </w:pPr>
      <w:r>
        <w:t xml:space="preserve">Plafonds et seuils d'alerte par canal, par agent et par point d'encaissement.</w:t>
      </w:r>
    </w:p>
    <w:p>
      <w:pPr>
        <w:pStyle w:val="ListItem"/>
        <w:numPr>
          <w:ilvl w:val="0"/>
          <w:numId w:val="1"/>
        </w:numPr>
        <w:spacing w:after="60" w:line="264"/>
      </w:pPr>
      <w:r>
        <w:t xml:space="preserve">Remboursement possible uniquement lorsque la loi le permet, sur décision motivée, avec double validation et écriture contraire.</w:t>
      </w:r>
    </w:p>
    <w:p>
      <w:pPr>
        <w:pStyle w:val="ListItem"/>
        <w:numPr>
          <w:ilvl w:val="0"/>
          <w:numId w:val="1"/>
        </w:numPr>
        <w:spacing w:after="60" w:line="264"/>
      </w:pPr>
      <w:r>
        <w:t xml:space="preserve">Interdiction technique de l'encaissement en espèces par un agent dans les circuits couverts par la plateforme.</w:t>
      </w:r>
    </w:p>
    <w:p>
      <w:pPr>
        <w:pBdr>
          <w:left w:val="single" w:color="1BA996" w:sz="18" w:space="8"/>
        </w:pBdr>
        <w:spacing w:after="160" w:before="120" w:line="264"/>
        <w:ind w:left="180"/>
      </w:pPr>
      <w:r>
        <w:rPr>
          <w:b/>
          <w:bCs/>
          <w:color w:val="10262C"/>
          <w:sz w:val="20"/>
          <w:szCs w:val="20"/>
        </w:rPr>
        <w:t xml:space="preserve">Statut de la plateforme. </w:t>
      </w:r>
      <w:r>
        <w:rPr>
          <w:sz w:val="20"/>
          <w:szCs w:val="20"/>
        </w:rPr>
        <w:t xml:space="preserve">MOSOLO n'est pas une caisse. Les fonds transitent par des établissements agréés vers les comptes publics désignés. L'habilitation des agrégateurs et les conventions de règlement doivent être confirmées auprès de la Banque Centrale du Congo avant la mise en production.</w:t>
      </w:r>
    </w:p>
    <w:p>
      <w:pPr>
        <w:pStyle w:val="Heading1"/>
        <w:spacing w:after="160" w:before="360"/>
      </w:pPr>
      <w:r>
        <w:t xml:space="preserve">20. Quittance électronique</w:t>
      </w:r>
    </w:p>
    <w:p>
      <w:pPr>
        <w:spacing w:after="120" w:line="276"/>
        <w:jc w:val="both"/>
      </w:pPr>
      <w:r>
        <w:rPr>
          <w:b w:val="false"/>
          <w:bCs w:val="false"/>
          <w:i w:val="false"/>
          <w:iCs w:val="false"/>
          <w:sz w:val="21"/>
          <w:szCs w:val="21"/>
        </w:rPr>
        <w:t xml:space="preserve">La quittance porte : référence du contribuable ; référence de paiement ; nature de la recette ; montant ; devise ; date ; statut de règlement ; administration bénéficiaire ; identifiant de transaction ; code QR sécurisé ; signature électronique ; statut de la quittance ; mécanisme de vérification.</w:t>
      </w:r>
    </w:p>
    <w:p>
      <w:pPr>
        <w:spacing w:after="120" w:line="276"/>
        <w:jc w:val="both"/>
      </w:pPr>
      <w:r>
        <w:rPr>
          <w:b w:val="false"/>
          <w:bCs w:val="false"/>
          <w:i w:val="false"/>
          <w:iCs w:val="false"/>
          <w:sz w:val="21"/>
          <w:szCs w:val="21"/>
        </w:rPr>
        <w:t xml:space="preserve">Le scan du QR renvoie un statut public minimal : valide, en attente, annulée, contrepassée, remplacée, ou signalée comme suspecte. La page publique ne divulgue aucune information personnelle au-delà de ce qui est strictement nécessaire à l'authentification du document. Les fausses quittances papier cessent de fonctionner dès que la vérification devient publique et instantanée.</w:t>
      </w:r>
    </w:p>
    <w:p>
      <w:pPr>
        <w:pStyle w:val="Heading1"/>
        <w:spacing w:after="160" w:before="360"/>
      </w:pPr>
      <w:r>
        <w:t xml:space="preserve">21. Rapprochement</w:t>
      </w:r>
    </w:p>
    <w:p>
      <w:pPr>
        <w:spacing w:after="120" w:line="276"/>
        <w:jc w:val="both"/>
      </w:pPr>
      <w:r>
        <w:rPr>
          <w:b w:val="false"/>
          <w:bCs w:val="false"/>
          <w:i w:val="false"/>
          <w:iCs w:val="false"/>
          <w:sz w:val="21"/>
          <w:szCs w:val="21"/>
        </w:rPr>
        <w:t xml:space="preserve">Le rapprochement est la fonction qui transforme une déclaration d'encaissement en recette prouvée. Il s'exécute en continu et produit quatre files d'exception : paiement sans obligation ; obligation payée sans règlement bancaire ; règlement sans paiement identifié ; écart de montant ou de devise.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808"/>
        <w:gridCol w:w="1685"/>
        <w:gridCol w:w="2808"/>
        <w:gridCol w:w="2059"/>
      </w:tblGrid>
      <w:tr>
        <w:trPr>
          <w:tblHeader/>
        </w:trPr>
        <w:tc>
          <w:tcPr>
            <w:tcW w:type="dxa" w:w="2808"/>
            <w:shd w:fill="E6F4F1" w:color="auto" w:val="clear"/>
            <w:tcMar>
              <w:top w:type="dxa" w:w="60"/>
              <w:left w:type="dxa" w:w="90"/>
              <w:bottom w:type="dxa" w:w="60"/>
              <w:right w:type="dxa" w:w="90"/>
            </w:tcMar>
          </w:tcPr>
          <w:p>
            <w:pPr>
              <w:spacing w:after="20" w:line="240"/>
            </w:pPr>
            <w:r>
              <w:rPr>
                <w:b/>
                <w:bCs/>
                <w:sz w:val="18"/>
                <w:szCs w:val="18"/>
              </w:rPr>
              <w:t xml:space="preserve">Contrôle</w:t>
            </w:r>
          </w:p>
        </w:tc>
        <w:tc>
          <w:tcPr>
            <w:tcW w:type="dxa" w:w="1685"/>
            <w:shd w:fill="E6F4F1" w:color="auto" w:val="clear"/>
            <w:tcMar>
              <w:top w:type="dxa" w:w="60"/>
              <w:left w:type="dxa" w:w="90"/>
              <w:bottom w:type="dxa" w:w="60"/>
              <w:right w:type="dxa" w:w="90"/>
            </w:tcMar>
          </w:tcPr>
          <w:p>
            <w:pPr>
              <w:spacing w:after="20" w:line="240"/>
            </w:pPr>
            <w:r>
              <w:rPr>
                <w:b/>
                <w:bCs/>
                <w:sz w:val="18"/>
                <w:szCs w:val="18"/>
              </w:rPr>
              <w:t xml:space="preserve">Fréquence</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Responsable</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Seuil d'alerte</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Appariement automatique</w:t>
            </w:r>
          </w:p>
        </w:tc>
        <w:tc>
          <w:tcPr>
            <w:tcW w:type="dxa" w:w="1685"/>
            <w:tcMar>
              <w:top w:type="dxa" w:w="60"/>
              <w:left w:type="dxa" w:w="90"/>
              <w:bottom w:type="dxa" w:w="60"/>
              <w:right w:type="dxa" w:w="90"/>
            </w:tcMar>
          </w:tcPr>
          <w:p>
            <w:pPr>
              <w:spacing w:after="20" w:line="240"/>
            </w:pPr>
            <w:r>
              <w:rPr>
                <w:b w:val="false"/>
                <w:bCs w:val="false"/>
                <w:sz w:val="18"/>
                <w:szCs w:val="18"/>
              </w:rPr>
              <w:t xml:space="preserve">Continu</w:t>
            </w:r>
          </w:p>
        </w:tc>
        <w:tc>
          <w:tcPr>
            <w:tcW w:type="dxa" w:w="2808"/>
            <w:tcMar>
              <w:top w:type="dxa" w:w="60"/>
              <w:left w:type="dxa" w:w="90"/>
              <w:bottom w:type="dxa" w:w="60"/>
              <w:right w:type="dxa" w:w="90"/>
            </w:tcMar>
          </w:tcPr>
          <w:p>
            <w:pPr>
              <w:spacing w:after="20" w:line="240"/>
            </w:pPr>
            <w:r>
              <w:rPr>
                <w:b w:val="false"/>
                <w:bCs w:val="false"/>
                <w:sz w:val="18"/>
                <w:szCs w:val="18"/>
              </w:rPr>
              <w:t xml:space="preserve">Système</w:t>
            </w:r>
          </w:p>
        </w:tc>
        <w:tc>
          <w:tcPr>
            <w:tcW w:type="dxa" w:w="2059"/>
            <w:tcMar>
              <w:top w:type="dxa" w:w="60"/>
              <w:left w:type="dxa" w:w="90"/>
              <w:bottom w:type="dxa" w:w="60"/>
              <w:right w:type="dxa" w:w="90"/>
            </w:tcMar>
          </w:tcPr>
          <w:p>
            <w:pPr>
              <w:spacing w:after="20" w:line="240"/>
            </w:pPr>
            <w:r>
              <w:rPr>
                <w:b w:val="false"/>
                <w:bCs w:val="false"/>
                <w:sz w:val="18"/>
                <w:szCs w:val="18"/>
              </w:rPr>
              <w:t xml:space="preserve">Tout écart</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Rapprochement bancaire</w:t>
            </w:r>
          </w:p>
        </w:tc>
        <w:tc>
          <w:tcPr>
            <w:tcW w:type="dxa" w:w="1685"/>
            <w:tcMar>
              <w:top w:type="dxa" w:w="60"/>
              <w:left w:type="dxa" w:w="90"/>
              <w:bottom w:type="dxa" w:w="60"/>
              <w:right w:type="dxa" w:w="90"/>
            </w:tcMar>
          </w:tcPr>
          <w:p>
            <w:pPr>
              <w:spacing w:after="20" w:line="240"/>
            </w:pPr>
            <w:r>
              <w:rPr>
                <w:b w:val="false"/>
                <w:bCs w:val="false"/>
                <w:sz w:val="18"/>
                <w:szCs w:val="18"/>
              </w:rPr>
              <w:t xml:space="preserve">Quotidien</w:t>
            </w:r>
          </w:p>
        </w:tc>
        <w:tc>
          <w:tcPr>
            <w:tcW w:type="dxa" w:w="2808"/>
            <w:tcMar>
              <w:top w:type="dxa" w:w="60"/>
              <w:left w:type="dxa" w:w="90"/>
              <w:bottom w:type="dxa" w:w="60"/>
              <w:right w:type="dxa" w:w="90"/>
            </w:tcMar>
          </w:tcPr>
          <w:p>
            <w:pPr>
              <w:spacing w:after="20" w:line="240"/>
            </w:pPr>
            <w:r>
              <w:rPr>
                <w:b w:val="false"/>
                <w:bCs w:val="false"/>
                <w:sz w:val="18"/>
                <w:szCs w:val="18"/>
              </w:rPr>
              <w:t xml:space="preserve">Trésorerie provinciale</w:t>
            </w:r>
          </w:p>
        </w:tc>
        <w:tc>
          <w:tcPr>
            <w:tcW w:type="dxa" w:w="2059"/>
            <w:tcMar>
              <w:top w:type="dxa" w:w="60"/>
              <w:left w:type="dxa" w:w="90"/>
              <w:bottom w:type="dxa" w:w="60"/>
              <w:right w:type="dxa" w:w="90"/>
            </w:tcMar>
          </w:tcPr>
          <w:p>
            <w:pPr>
              <w:spacing w:after="20" w:line="240"/>
            </w:pPr>
            <w:r>
              <w:rPr>
                <w:b w:val="false"/>
                <w:bCs w:val="false"/>
                <w:sz w:val="18"/>
                <w:szCs w:val="18"/>
              </w:rPr>
              <w:t xml:space="preserve">Écart supérieur à un seuil défini ou plus de 24 heures</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Revue des exceptions</w:t>
            </w:r>
          </w:p>
        </w:tc>
        <w:tc>
          <w:tcPr>
            <w:tcW w:type="dxa" w:w="1685"/>
            <w:tcMar>
              <w:top w:type="dxa" w:w="60"/>
              <w:left w:type="dxa" w:w="90"/>
              <w:bottom w:type="dxa" w:w="60"/>
              <w:right w:type="dxa" w:w="90"/>
            </w:tcMar>
          </w:tcPr>
          <w:p>
            <w:pPr>
              <w:spacing w:after="20" w:line="240"/>
            </w:pPr>
            <w:r>
              <w:rPr>
                <w:b w:val="false"/>
                <w:bCs w:val="false"/>
                <w:sz w:val="18"/>
                <w:szCs w:val="18"/>
              </w:rPr>
              <w:t xml:space="preserve">Quotidienne</w:t>
            </w:r>
          </w:p>
        </w:tc>
        <w:tc>
          <w:tcPr>
            <w:tcW w:type="dxa" w:w="2808"/>
            <w:tcMar>
              <w:top w:type="dxa" w:w="60"/>
              <w:left w:type="dxa" w:w="90"/>
              <w:bottom w:type="dxa" w:w="60"/>
              <w:right w:type="dxa" w:w="90"/>
            </w:tcMar>
          </w:tcPr>
          <w:p>
            <w:pPr>
              <w:spacing w:after="20" w:line="240"/>
            </w:pPr>
            <w:r>
              <w:rPr>
                <w:b w:val="false"/>
                <w:bCs w:val="false"/>
                <w:sz w:val="18"/>
                <w:szCs w:val="18"/>
              </w:rPr>
              <w:t xml:space="preserve">Contrôle interne</w:t>
            </w:r>
          </w:p>
        </w:tc>
        <w:tc>
          <w:tcPr>
            <w:tcW w:type="dxa" w:w="2059"/>
            <w:tcMar>
              <w:top w:type="dxa" w:w="60"/>
              <w:left w:type="dxa" w:w="90"/>
              <w:bottom w:type="dxa" w:w="60"/>
              <w:right w:type="dxa" w:w="90"/>
            </w:tcMar>
          </w:tcPr>
          <w:p>
            <w:pPr>
              <w:spacing w:after="20" w:line="240"/>
            </w:pPr>
            <w:r>
              <w:rPr>
                <w:b w:val="false"/>
                <w:bCs w:val="false"/>
                <w:sz w:val="18"/>
                <w:szCs w:val="18"/>
              </w:rPr>
              <w:t xml:space="preserve">File non traitée sous 48 heures</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Clôture comptable</w:t>
            </w:r>
          </w:p>
        </w:tc>
        <w:tc>
          <w:tcPr>
            <w:tcW w:type="dxa" w:w="1685"/>
            <w:tcMar>
              <w:top w:type="dxa" w:w="60"/>
              <w:left w:type="dxa" w:w="90"/>
              <w:bottom w:type="dxa" w:w="60"/>
              <w:right w:type="dxa" w:w="90"/>
            </w:tcMar>
          </w:tcPr>
          <w:p>
            <w:pPr>
              <w:spacing w:after="20" w:line="240"/>
            </w:pPr>
            <w:r>
              <w:rPr>
                <w:b w:val="false"/>
                <w:bCs w:val="false"/>
                <w:sz w:val="18"/>
                <w:szCs w:val="18"/>
              </w:rPr>
              <w:t xml:space="preserve">Mensuelle</w:t>
            </w:r>
          </w:p>
        </w:tc>
        <w:tc>
          <w:tcPr>
            <w:tcW w:type="dxa" w:w="2808"/>
            <w:tcMar>
              <w:top w:type="dxa" w:w="60"/>
              <w:left w:type="dxa" w:w="90"/>
              <w:bottom w:type="dxa" w:w="60"/>
              <w:right w:type="dxa" w:w="90"/>
            </w:tcMar>
          </w:tcPr>
          <w:p>
            <w:pPr>
              <w:spacing w:after="20" w:line="240"/>
            </w:pPr>
            <w:r>
              <w:rPr>
                <w:b w:val="false"/>
                <w:bCs w:val="false"/>
                <w:sz w:val="18"/>
                <w:szCs w:val="18"/>
              </w:rPr>
              <w:t xml:space="preserve">Comptable public</w:t>
            </w:r>
          </w:p>
        </w:tc>
        <w:tc>
          <w:tcPr>
            <w:tcW w:type="dxa" w:w="2059"/>
            <w:tcMar>
              <w:top w:type="dxa" w:w="60"/>
              <w:left w:type="dxa" w:w="90"/>
              <w:bottom w:type="dxa" w:w="60"/>
              <w:right w:type="dxa" w:w="90"/>
            </w:tcMar>
          </w:tcPr>
          <w:p>
            <w:pPr>
              <w:spacing w:after="20" w:line="240"/>
            </w:pPr>
            <w:r>
              <w:rPr>
                <w:b w:val="false"/>
                <w:bCs w:val="false"/>
                <w:sz w:val="18"/>
                <w:szCs w:val="18"/>
              </w:rPr>
              <w:t xml:space="preserve">Écritures non imputées</w:t>
            </w:r>
          </w:p>
        </w:tc>
      </w:tr>
      <w:tr>
        <w:trPr>
          <w:tblHeader w:val="false"/>
        </w:trPr>
        <w:tc>
          <w:tcPr>
            <w:tcW w:type="dxa" w:w="2808"/>
            <w:tcMar>
              <w:top w:type="dxa" w:w="60"/>
              <w:left w:type="dxa" w:w="90"/>
              <w:bottom w:type="dxa" w:w="60"/>
              <w:right w:type="dxa" w:w="90"/>
            </w:tcMar>
          </w:tcPr>
          <w:p>
            <w:pPr>
              <w:spacing w:after="20" w:line="240"/>
            </w:pPr>
            <w:r>
              <w:rPr>
                <w:b w:val="false"/>
                <w:bCs w:val="false"/>
                <w:sz w:val="18"/>
                <w:szCs w:val="18"/>
              </w:rPr>
              <w:t xml:space="preserve">Audit indépendant</w:t>
            </w:r>
          </w:p>
        </w:tc>
        <w:tc>
          <w:tcPr>
            <w:tcW w:type="dxa" w:w="1685"/>
            <w:tcMar>
              <w:top w:type="dxa" w:w="60"/>
              <w:left w:type="dxa" w:w="90"/>
              <w:bottom w:type="dxa" w:w="60"/>
              <w:right w:type="dxa" w:w="90"/>
            </w:tcMar>
          </w:tcPr>
          <w:p>
            <w:pPr>
              <w:spacing w:after="20" w:line="240"/>
            </w:pPr>
            <w:r>
              <w:rPr>
                <w:b w:val="false"/>
                <w:bCs w:val="false"/>
                <w:sz w:val="18"/>
                <w:szCs w:val="18"/>
              </w:rPr>
              <w:t xml:space="preserve">Trimestrielle</w:t>
            </w:r>
          </w:p>
        </w:tc>
        <w:tc>
          <w:tcPr>
            <w:tcW w:type="dxa" w:w="2808"/>
            <w:tcMar>
              <w:top w:type="dxa" w:w="60"/>
              <w:left w:type="dxa" w:w="90"/>
              <w:bottom w:type="dxa" w:w="60"/>
              <w:right w:type="dxa" w:w="90"/>
            </w:tcMar>
          </w:tcPr>
          <w:p>
            <w:pPr>
              <w:spacing w:after="20" w:line="240"/>
            </w:pPr>
            <w:r>
              <w:rPr>
                <w:b w:val="false"/>
                <w:bCs w:val="false"/>
                <w:sz w:val="18"/>
                <w:szCs w:val="18"/>
              </w:rPr>
              <w:t xml:space="preserve">Audit interne et inspection</w:t>
            </w:r>
          </w:p>
        </w:tc>
        <w:tc>
          <w:tcPr>
            <w:tcW w:type="dxa" w:w="2059"/>
            <w:tcMar>
              <w:top w:type="dxa" w:w="60"/>
              <w:left w:type="dxa" w:w="90"/>
              <w:bottom w:type="dxa" w:w="60"/>
              <w:right w:type="dxa" w:w="90"/>
            </w:tcMar>
          </w:tcPr>
          <w:p>
            <w:pPr>
              <w:spacing w:after="20" w:line="240"/>
            </w:pPr>
            <w:r>
              <w:rPr>
                <w:b w:val="false"/>
                <w:bCs w:val="false"/>
                <w:sz w:val="18"/>
                <w:szCs w:val="18"/>
              </w:rPr>
              <w:t xml:space="preserve">Toute correction non motivée</w:t>
            </w:r>
          </w:p>
        </w:tc>
      </w:tr>
    </w:tbl>
    <w:p>
      <w:pPr>
        <w:pStyle w:val="Heading1"/>
        <w:spacing w:after="160" w:before="360"/>
      </w:pPr>
      <w:r>
        <w:t xml:space="preserve">22. Recouvrement et exécution</w:t>
      </w:r>
    </w:p>
    <w:p>
      <w:pPr>
        <w:spacing w:after="120" w:line="276"/>
        <w:jc w:val="both"/>
      </w:pPr>
      <w:r>
        <w:rPr>
          <w:b w:val="false"/>
          <w:bCs w:val="false"/>
          <w:i w:val="false"/>
          <w:iCs w:val="false"/>
          <w:sz w:val="21"/>
          <w:szCs w:val="21"/>
        </w:rPr>
        <w:t xml:space="preserve">La chaîne de recouvrement est graduée, traçable et fondée sur la loi. Elle ne commence jamais par la contrainte.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2059"/>
        <w:gridCol w:w="2434"/>
        <w:gridCol w:w="2434"/>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Étape</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Délai indicatif</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Canal</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Garantie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Rappel amiable avant échéance</w:t>
            </w:r>
          </w:p>
        </w:tc>
        <w:tc>
          <w:tcPr>
            <w:tcW w:type="dxa" w:w="2059"/>
            <w:tcMar>
              <w:top w:type="dxa" w:w="60"/>
              <w:left w:type="dxa" w:w="90"/>
              <w:bottom w:type="dxa" w:w="60"/>
              <w:right w:type="dxa" w:w="90"/>
            </w:tcMar>
          </w:tcPr>
          <w:p>
            <w:pPr>
              <w:spacing w:after="20" w:line="240"/>
            </w:pPr>
            <w:r>
              <w:rPr>
                <w:b w:val="false"/>
                <w:bCs w:val="false"/>
                <w:sz w:val="18"/>
                <w:szCs w:val="18"/>
              </w:rPr>
              <w:t xml:space="preserve">J-15 et J-3</w:t>
            </w:r>
          </w:p>
        </w:tc>
        <w:tc>
          <w:tcPr>
            <w:tcW w:type="dxa" w:w="2434"/>
            <w:tcMar>
              <w:top w:type="dxa" w:w="60"/>
              <w:left w:type="dxa" w:w="90"/>
              <w:bottom w:type="dxa" w:w="60"/>
              <w:right w:type="dxa" w:w="90"/>
            </w:tcMar>
          </w:tcPr>
          <w:p>
            <w:pPr>
              <w:spacing w:after="20" w:line="240"/>
            </w:pPr>
            <w:r>
              <w:rPr>
                <w:b w:val="false"/>
                <w:bCs w:val="false"/>
                <w:sz w:val="18"/>
                <w:szCs w:val="18"/>
              </w:rPr>
              <w:t xml:space="preserve">SMS, application, courriel</w:t>
            </w:r>
          </w:p>
        </w:tc>
        <w:tc>
          <w:tcPr>
            <w:tcW w:type="dxa" w:w="2434"/>
            <w:tcMar>
              <w:top w:type="dxa" w:w="60"/>
              <w:left w:type="dxa" w:w="90"/>
              <w:bottom w:type="dxa" w:w="60"/>
              <w:right w:type="dxa" w:w="90"/>
            </w:tcMar>
          </w:tcPr>
          <w:p>
            <w:pPr>
              <w:spacing w:after="20" w:line="240"/>
            </w:pPr>
            <w:r>
              <w:rPr>
                <w:b w:val="false"/>
                <w:bCs w:val="false"/>
                <w:sz w:val="18"/>
                <w:szCs w:val="18"/>
              </w:rPr>
              <w:t xml:space="preserve">Preuve d'envoi conservée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Avis d'échéance dépassée</w:t>
            </w:r>
          </w:p>
        </w:tc>
        <w:tc>
          <w:tcPr>
            <w:tcW w:type="dxa" w:w="2059"/>
            <w:tcMar>
              <w:top w:type="dxa" w:w="60"/>
              <w:left w:type="dxa" w:w="90"/>
              <w:bottom w:type="dxa" w:w="60"/>
              <w:right w:type="dxa" w:w="90"/>
            </w:tcMar>
          </w:tcPr>
          <w:p>
            <w:pPr>
              <w:spacing w:after="20" w:line="240"/>
            </w:pPr>
            <w:r>
              <w:rPr>
                <w:b w:val="false"/>
                <w:bCs w:val="false"/>
                <w:sz w:val="18"/>
                <w:szCs w:val="18"/>
              </w:rPr>
              <w:t xml:space="preserve">J+1</w:t>
            </w:r>
          </w:p>
        </w:tc>
        <w:tc>
          <w:tcPr>
            <w:tcW w:type="dxa" w:w="2434"/>
            <w:tcMar>
              <w:top w:type="dxa" w:w="60"/>
              <w:left w:type="dxa" w:w="90"/>
              <w:bottom w:type="dxa" w:w="60"/>
              <w:right w:type="dxa" w:w="90"/>
            </w:tcMar>
          </w:tcPr>
          <w:p>
            <w:pPr>
              <w:spacing w:after="20" w:line="240"/>
            </w:pPr>
            <w:r>
              <w:rPr>
                <w:b w:val="false"/>
                <w:bCs w:val="false"/>
                <w:sz w:val="18"/>
                <w:szCs w:val="18"/>
              </w:rPr>
              <w:t xml:space="preserve">SMS et application</w:t>
            </w:r>
          </w:p>
        </w:tc>
        <w:tc>
          <w:tcPr>
            <w:tcW w:type="dxa" w:w="2434"/>
            <w:tcMar>
              <w:top w:type="dxa" w:w="60"/>
              <w:left w:type="dxa" w:w="90"/>
              <w:bottom w:type="dxa" w:w="60"/>
              <w:right w:type="dxa" w:w="90"/>
            </w:tcMar>
          </w:tcPr>
          <w:p>
            <w:pPr>
              <w:spacing w:after="20" w:line="240"/>
            </w:pPr>
            <w:r>
              <w:rPr>
                <w:b w:val="false"/>
                <w:bCs w:val="false"/>
                <w:sz w:val="18"/>
                <w:szCs w:val="18"/>
              </w:rPr>
              <w:t xml:space="preserve">Référence de paiement maintenue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Relance ciblée</w:t>
            </w:r>
          </w:p>
        </w:tc>
        <w:tc>
          <w:tcPr>
            <w:tcW w:type="dxa" w:w="2059"/>
            <w:tcMar>
              <w:top w:type="dxa" w:w="60"/>
              <w:left w:type="dxa" w:w="90"/>
              <w:bottom w:type="dxa" w:w="60"/>
              <w:right w:type="dxa" w:w="90"/>
            </w:tcMar>
          </w:tcPr>
          <w:p>
            <w:pPr>
              <w:spacing w:after="20" w:line="240"/>
            </w:pPr>
            <w:r>
              <w:rPr>
                <w:b w:val="false"/>
                <w:bCs w:val="false"/>
                <w:sz w:val="18"/>
                <w:szCs w:val="18"/>
              </w:rPr>
              <w:t xml:space="preserve">J+15</w:t>
            </w:r>
          </w:p>
        </w:tc>
        <w:tc>
          <w:tcPr>
            <w:tcW w:type="dxa" w:w="2434"/>
            <w:tcMar>
              <w:top w:type="dxa" w:w="60"/>
              <w:left w:type="dxa" w:w="90"/>
              <w:bottom w:type="dxa" w:w="60"/>
              <w:right w:type="dxa" w:w="90"/>
            </w:tcMar>
          </w:tcPr>
          <w:p>
            <w:pPr>
              <w:spacing w:after="20" w:line="240"/>
            </w:pPr>
            <w:r>
              <w:rPr>
                <w:b w:val="false"/>
                <w:bCs w:val="false"/>
                <w:sz w:val="18"/>
                <w:szCs w:val="18"/>
              </w:rPr>
              <w:t xml:space="preserve">Appel, visite d'information</w:t>
            </w:r>
          </w:p>
        </w:tc>
        <w:tc>
          <w:tcPr>
            <w:tcW w:type="dxa" w:w="2434"/>
            <w:tcMar>
              <w:top w:type="dxa" w:w="60"/>
              <w:left w:type="dxa" w:w="90"/>
              <w:bottom w:type="dxa" w:w="60"/>
              <w:right w:type="dxa" w:w="90"/>
            </w:tcMar>
          </w:tcPr>
          <w:p>
            <w:pPr>
              <w:spacing w:after="20" w:line="240"/>
            </w:pPr>
            <w:r>
              <w:rPr>
                <w:b w:val="false"/>
                <w:bCs w:val="false"/>
                <w:sz w:val="18"/>
                <w:szCs w:val="18"/>
              </w:rPr>
              <w:t xml:space="preserve">Aucune sanction à ce stade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Constat et notification formelle</w:t>
            </w:r>
          </w:p>
        </w:tc>
        <w:tc>
          <w:tcPr>
            <w:tcW w:type="dxa" w:w="2059"/>
            <w:tcMar>
              <w:top w:type="dxa" w:w="60"/>
              <w:left w:type="dxa" w:w="90"/>
              <w:bottom w:type="dxa" w:w="60"/>
              <w:right w:type="dxa" w:w="90"/>
            </w:tcMar>
          </w:tcPr>
          <w:p>
            <w:pPr>
              <w:spacing w:after="20" w:line="240"/>
            </w:pPr>
            <w:r>
              <w:rPr>
                <w:b w:val="false"/>
                <w:bCs w:val="false"/>
                <w:sz w:val="18"/>
                <w:szCs w:val="18"/>
              </w:rPr>
              <w:t xml:space="preserve">J+30</w:t>
            </w:r>
          </w:p>
        </w:tc>
        <w:tc>
          <w:tcPr>
            <w:tcW w:type="dxa" w:w="2434"/>
            <w:tcMar>
              <w:top w:type="dxa" w:w="60"/>
              <w:left w:type="dxa" w:w="90"/>
              <w:bottom w:type="dxa" w:w="60"/>
              <w:right w:type="dxa" w:w="90"/>
            </w:tcMar>
          </w:tcPr>
          <w:p>
            <w:pPr>
              <w:spacing w:after="20" w:line="240"/>
            </w:pPr>
            <w:r>
              <w:rPr>
                <w:b w:val="false"/>
                <w:bCs w:val="false"/>
                <w:sz w:val="18"/>
                <w:szCs w:val="18"/>
              </w:rPr>
              <w:t xml:space="preserve">Agent habilité, notification numérique</w:t>
            </w:r>
          </w:p>
        </w:tc>
        <w:tc>
          <w:tcPr>
            <w:tcW w:type="dxa" w:w="2434"/>
            <w:tcMar>
              <w:top w:type="dxa" w:w="60"/>
              <w:left w:type="dxa" w:w="90"/>
              <w:bottom w:type="dxa" w:w="60"/>
              <w:right w:type="dxa" w:w="90"/>
            </w:tcMar>
          </w:tcPr>
          <w:p>
            <w:pPr>
              <w:spacing w:after="20" w:line="240"/>
            </w:pPr>
            <w:r>
              <w:rPr>
                <w:b w:val="false"/>
                <w:bCs w:val="false"/>
                <w:sz w:val="18"/>
                <w:szCs w:val="18"/>
              </w:rPr>
              <w:t xml:space="preserve">Motivation et voie de recours indiquées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Mise en demeure</w:t>
            </w:r>
          </w:p>
        </w:tc>
        <w:tc>
          <w:tcPr>
            <w:tcW w:type="dxa" w:w="2059"/>
            <w:tcMar>
              <w:top w:type="dxa" w:w="60"/>
              <w:left w:type="dxa" w:w="90"/>
              <w:bottom w:type="dxa" w:w="60"/>
              <w:right w:type="dxa" w:w="90"/>
            </w:tcMar>
          </w:tcPr>
          <w:p>
            <w:pPr>
              <w:spacing w:after="20" w:line="240"/>
            </w:pPr>
            <w:r>
              <w:rPr>
                <w:b w:val="false"/>
                <w:bCs w:val="false"/>
                <w:sz w:val="18"/>
                <w:szCs w:val="18"/>
              </w:rPr>
              <w:t xml:space="preserve">Selon la procédure légale</w:t>
            </w:r>
          </w:p>
        </w:tc>
        <w:tc>
          <w:tcPr>
            <w:tcW w:type="dxa" w:w="2434"/>
            <w:tcMar>
              <w:top w:type="dxa" w:w="60"/>
              <w:left w:type="dxa" w:w="90"/>
              <w:bottom w:type="dxa" w:w="60"/>
              <w:right w:type="dxa" w:w="90"/>
            </w:tcMar>
          </w:tcPr>
          <w:p>
            <w:pPr>
              <w:spacing w:after="20" w:line="240"/>
            </w:pPr>
            <w:r>
              <w:rPr>
                <w:b w:val="false"/>
                <w:bCs w:val="false"/>
                <w:sz w:val="18"/>
                <w:szCs w:val="18"/>
              </w:rPr>
              <w:t xml:space="preserve">Notification officielle</w:t>
            </w:r>
          </w:p>
        </w:tc>
        <w:tc>
          <w:tcPr>
            <w:tcW w:type="dxa" w:w="2434"/>
            <w:tcMar>
              <w:top w:type="dxa" w:w="60"/>
              <w:left w:type="dxa" w:w="90"/>
              <w:bottom w:type="dxa" w:w="60"/>
              <w:right w:type="dxa" w:w="90"/>
            </w:tcMar>
          </w:tcPr>
          <w:p>
            <w:pPr>
              <w:spacing w:after="20" w:line="240"/>
            </w:pPr>
            <w:r>
              <w:rPr>
                <w:b w:val="false"/>
                <w:bCs w:val="false"/>
                <w:sz w:val="18"/>
                <w:szCs w:val="18"/>
              </w:rPr>
              <w:t xml:space="preserve">Double validation hiérarchique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Mesures d'exécution légales</w:t>
            </w:r>
          </w:p>
        </w:tc>
        <w:tc>
          <w:tcPr>
            <w:tcW w:type="dxa" w:w="2059"/>
            <w:tcMar>
              <w:top w:type="dxa" w:w="60"/>
              <w:left w:type="dxa" w:w="90"/>
              <w:bottom w:type="dxa" w:w="60"/>
              <w:right w:type="dxa" w:w="90"/>
            </w:tcMar>
          </w:tcPr>
          <w:p>
            <w:pPr>
              <w:spacing w:after="20" w:line="240"/>
            </w:pPr>
            <w:r>
              <w:rPr>
                <w:b w:val="false"/>
                <w:bCs w:val="false"/>
                <w:sz w:val="18"/>
                <w:szCs w:val="18"/>
              </w:rPr>
              <w:t xml:space="preserve">Selon la procédure légale</w:t>
            </w:r>
          </w:p>
        </w:tc>
        <w:tc>
          <w:tcPr>
            <w:tcW w:type="dxa" w:w="2434"/>
            <w:tcMar>
              <w:top w:type="dxa" w:w="60"/>
              <w:left w:type="dxa" w:w="90"/>
              <w:bottom w:type="dxa" w:w="60"/>
              <w:right w:type="dxa" w:w="90"/>
            </w:tcMar>
          </w:tcPr>
          <w:p>
            <w:pPr>
              <w:spacing w:after="20" w:line="240"/>
            </w:pPr>
            <w:r>
              <w:rPr>
                <w:b w:val="false"/>
                <w:bCs w:val="false"/>
                <w:sz w:val="18"/>
                <w:szCs w:val="18"/>
              </w:rPr>
              <w:t xml:space="preserve">Service compétent</w:t>
            </w:r>
          </w:p>
        </w:tc>
        <w:tc>
          <w:tcPr>
            <w:tcW w:type="dxa" w:w="2434"/>
            <w:tcMar>
              <w:top w:type="dxa" w:w="60"/>
              <w:left w:type="dxa" w:w="90"/>
              <w:bottom w:type="dxa" w:w="60"/>
              <w:right w:type="dxa" w:w="90"/>
            </w:tcMar>
          </w:tcPr>
          <w:p>
            <w:pPr>
              <w:spacing w:after="20" w:line="240"/>
            </w:pPr>
            <w:r>
              <w:rPr>
                <w:b w:val="false"/>
                <w:bCs w:val="false"/>
                <w:sz w:val="18"/>
                <w:szCs w:val="18"/>
              </w:rPr>
              <w:t xml:space="preserve">Décision motivée, jamais automatique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Plan d'apurement</w:t>
            </w:r>
          </w:p>
        </w:tc>
        <w:tc>
          <w:tcPr>
            <w:tcW w:type="dxa" w:w="2059"/>
            <w:tcMar>
              <w:top w:type="dxa" w:w="60"/>
              <w:left w:type="dxa" w:w="90"/>
              <w:bottom w:type="dxa" w:w="60"/>
              <w:right w:type="dxa" w:w="90"/>
            </w:tcMar>
          </w:tcPr>
          <w:p>
            <w:pPr>
              <w:spacing w:after="20" w:line="240"/>
            </w:pPr>
            <w:r>
              <w:rPr>
                <w:b w:val="false"/>
                <w:bCs w:val="false"/>
                <w:sz w:val="18"/>
                <w:szCs w:val="18"/>
              </w:rPr>
              <w:t xml:space="preserve">À tout moment</w:t>
            </w:r>
          </w:p>
        </w:tc>
        <w:tc>
          <w:tcPr>
            <w:tcW w:type="dxa" w:w="2434"/>
            <w:tcMar>
              <w:top w:type="dxa" w:w="60"/>
              <w:left w:type="dxa" w:w="90"/>
              <w:bottom w:type="dxa" w:w="60"/>
              <w:right w:type="dxa" w:w="90"/>
            </w:tcMar>
          </w:tcPr>
          <w:p>
            <w:pPr>
              <w:spacing w:after="20" w:line="240"/>
            </w:pPr>
            <w:r>
              <w:rPr>
                <w:b w:val="false"/>
                <w:bCs w:val="false"/>
                <w:sz w:val="18"/>
                <w:szCs w:val="18"/>
              </w:rPr>
              <w:t xml:space="preserve">Espace contribuable</w:t>
            </w:r>
          </w:p>
        </w:tc>
        <w:tc>
          <w:tcPr>
            <w:tcW w:type="dxa" w:w="2434"/>
            <w:tcMar>
              <w:top w:type="dxa" w:w="60"/>
              <w:left w:type="dxa" w:w="90"/>
              <w:bottom w:type="dxa" w:w="60"/>
              <w:right w:type="dxa" w:w="90"/>
            </w:tcMar>
          </w:tcPr>
          <w:p>
            <w:pPr>
              <w:spacing w:after="20" w:line="240"/>
            </w:pPr>
            <w:r>
              <w:rPr>
                <w:b w:val="false"/>
                <w:bCs w:val="false"/>
                <w:sz w:val="18"/>
                <w:szCs w:val="18"/>
              </w:rPr>
              <w:t xml:space="preserve">Sous réserve d'un acte autorisant l'échéancier</w:t>
            </w:r>
          </w:p>
        </w:tc>
      </w:tr>
    </w:tbl>
    <w:p>
      <w:pPr>
        <w:pBdr>
          <w:left w:val="single" w:color="1BA996" w:sz="18" w:space="8"/>
        </w:pBdr>
        <w:spacing w:after="160" w:before="120" w:line="264"/>
        <w:ind w:left="180"/>
      </w:pPr>
      <w:r>
        <w:rPr>
          <w:b/>
          <w:bCs/>
          <w:color w:val="10262C"/>
          <w:sz w:val="20"/>
          <w:szCs w:val="20"/>
        </w:rPr>
        <w:t xml:space="preserve">Interdiction structurante. </w:t>
      </w:r>
      <w:r>
        <w:rPr>
          <w:sz w:val="20"/>
          <w:szCs w:val="20"/>
        </w:rPr>
        <w:t xml:space="preserve">Aucune sanction, aucune fermeture, aucune immobilisation et aucune pénalité ne peut être déclenchée par un algorithme. L'analyse propose ; un agent compétent décide ; la décision est motivée, notifiée et susceptible de recours.</w:t>
      </w:r>
    </w:p>
    <w:p>
      <w:pPr>
        <w:pStyle w:val="Heading1"/>
        <w:spacing w:after="160" w:before="360"/>
      </w:pPr>
      <w:r>
        <w:t xml:space="preserve">23. Recours et droits du contribuable</w:t>
      </w:r>
    </w:p>
    <w:p>
      <w:pPr>
        <w:pStyle w:val="ListItem"/>
        <w:numPr>
          <w:ilvl w:val="0"/>
          <w:numId w:val="1"/>
        </w:numPr>
        <w:spacing w:after="60" w:line="264"/>
      </w:pPr>
      <w:r>
        <w:t xml:space="preserve">Droit d'accès à ses données et à l'historique des actions les concernant.</w:t>
      </w:r>
    </w:p>
    <w:p>
      <w:pPr>
        <w:pStyle w:val="ListItem"/>
        <w:numPr>
          <w:ilvl w:val="0"/>
          <w:numId w:val="1"/>
        </w:numPr>
        <w:spacing w:after="60" w:line="264"/>
      </w:pPr>
      <w:r>
        <w:t xml:space="preserve">Droit de rectification par la fonction de contestation, avec accusé de réception horodaté.</w:t>
      </w:r>
    </w:p>
    <w:p>
      <w:pPr>
        <w:pStyle w:val="ListItem"/>
        <w:numPr>
          <w:ilvl w:val="0"/>
          <w:numId w:val="1"/>
        </w:numPr>
        <w:spacing w:after="60" w:line="264"/>
      </w:pPr>
      <w:r>
        <w:t xml:space="preserve">Droit d'être informé du fondement légal de toute obligation, avec la référence du texte.</w:t>
      </w:r>
    </w:p>
    <w:p>
      <w:pPr>
        <w:pStyle w:val="ListItem"/>
        <w:numPr>
          <w:ilvl w:val="0"/>
          <w:numId w:val="1"/>
        </w:numPr>
        <w:spacing w:after="60" w:line="264"/>
      </w:pPr>
      <w:r>
        <w:t xml:space="preserve">Droit de recours hiérarchique puis juridictionnel, avec délais affichés et décompte visible.</w:t>
      </w:r>
    </w:p>
    <w:p>
      <w:pPr>
        <w:pStyle w:val="ListItem"/>
        <w:numPr>
          <w:ilvl w:val="0"/>
          <w:numId w:val="1"/>
        </w:numPr>
        <w:spacing w:after="60" w:line="264"/>
      </w:pPr>
      <w:r>
        <w:t xml:space="preserve">Droit à la preuve : quittance vérifiable, copie des constats, photographies utilisées.</w:t>
      </w:r>
    </w:p>
    <w:p>
      <w:pPr>
        <w:pStyle w:val="ListItem"/>
        <w:numPr>
          <w:ilvl w:val="0"/>
          <w:numId w:val="1"/>
        </w:numPr>
        <w:spacing w:after="60" w:line="264"/>
      </w:pPr>
      <w:r>
        <w:t xml:space="preserve">Droit à la protection : aucune publication de sa situation fiscale individuelle.</w:t>
      </w:r>
    </w:p>
    <w:p>
      <w:pPr>
        <w:pStyle w:val="ListItem"/>
        <w:numPr>
          <w:ilvl w:val="0"/>
          <w:numId w:val="1"/>
        </w:numPr>
        <w:spacing w:after="60" w:line="264"/>
      </w:pPr>
      <w:r>
        <w:t xml:space="preserve">Droit d'être entendu avant toute mesure d'exécution, selon la procédure applicable.</w:t>
      </w:r>
    </w:p>
    <w:p>
      <w:pPr>
        <w:spacing w:after="120" w:line="276"/>
        <w:jc w:val="both"/>
      </w:pPr>
      <w:r>
        <w:rPr>
          <w:b w:val="false"/>
          <w:bCs w:val="false"/>
          <w:i w:val="false"/>
          <w:iCs w:val="false"/>
          <w:sz w:val="21"/>
          <w:szCs w:val="21"/>
        </w:rPr>
        <w:t xml:space="preserve">Chaque recours a un propriétaire, un délai légal, un état et une décision motivée. Le non-respect du délai est un indicateur suivi au tableau de bord du directeur de régie et de l'audit interne.</w:t>
      </w:r>
    </w:p>
    <w:p>
      <w:pPr>
        <w:pStyle w:val="Heading1"/>
        <w:spacing w:after="160" w:before="360"/>
      </w:pPr>
      <w:r>
        <w:t xml:space="preserve">24. Architecture des agents d'intelligence artificielle</w:t>
      </w:r>
    </w:p>
    <w:p>
      <w:pPr>
        <w:spacing w:after="120" w:line="276"/>
        <w:jc w:val="both"/>
      </w:pPr>
      <w:r>
        <w:rPr>
          <w:b w:val="false"/>
          <w:bCs w:val="false"/>
          <w:i w:val="false"/>
          <w:iCs w:val="false"/>
          <w:sz w:val="21"/>
          <w:szCs w:val="21"/>
        </w:rPr>
        <w:t xml:space="preserve">L'IA est un instrument d'aide à la décision, encadré et traçable. Le socle fiscal fonctionne sans elle ; l'IA améliore la priorisation, la compréhension et la détection.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4493"/>
        <w:gridCol w:w="280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Agent</w:t>
            </w:r>
          </w:p>
        </w:tc>
        <w:tc>
          <w:tcPr>
            <w:tcW w:type="dxa" w:w="4493"/>
            <w:shd w:fill="E6F4F1" w:color="auto" w:val="clear"/>
            <w:tcMar>
              <w:top w:type="dxa" w:w="60"/>
              <w:left w:type="dxa" w:w="90"/>
              <w:bottom w:type="dxa" w:w="60"/>
              <w:right w:type="dxa" w:w="90"/>
            </w:tcMar>
          </w:tcPr>
          <w:p>
            <w:pPr>
              <w:spacing w:after="20" w:line="240"/>
            </w:pPr>
            <w:r>
              <w:rPr>
                <w:b/>
                <w:bCs/>
                <w:sz w:val="18"/>
                <w:szCs w:val="18"/>
              </w:rPr>
              <w:t xml:space="preserve">Fonction</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Limite stricte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Découverte de recettes</w:t>
            </w:r>
          </w:p>
        </w:tc>
        <w:tc>
          <w:tcPr>
            <w:tcW w:type="dxa" w:w="4493"/>
            <w:tcMar>
              <w:top w:type="dxa" w:w="60"/>
              <w:left w:type="dxa" w:w="90"/>
              <w:bottom w:type="dxa" w:w="60"/>
              <w:right w:type="dxa" w:w="90"/>
            </w:tcMar>
          </w:tcPr>
          <w:p>
            <w:pPr>
              <w:spacing w:after="20" w:line="240"/>
            </w:pPr>
            <w:r>
              <w:rPr>
                <w:b w:val="false"/>
                <w:bCs w:val="false"/>
                <w:sz w:val="18"/>
                <w:szCs w:val="18"/>
              </w:rPr>
              <w:t xml:space="preserve">Identifie sous-enregistrement, activités non déclarées, actifs publics non valorisés</w:t>
            </w:r>
          </w:p>
        </w:tc>
        <w:tc>
          <w:tcPr>
            <w:tcW w:type="dxa" w:w="2808"/>
            <w:tcMar>
              <w:top w:type="dxa" w:w="60"/>
              <w:left w:type="dxa" w:w="90"/>
              <w:bottom w:type="dxa" w:w="60"/>
              <w:right w:type="dxa" w:w="90"/>
            </w:tcMar>
          </w:tcPr>
          <w:p>
            <w:pPr>
              <w:spacing w:after="20" w:line="240"/>
            </w:pPr>
            <w:r>
              <w:rPr>
                <w:b w:val="false"/>
                <w:bCs w:val="false"/>
                <w:sz w:val="18"/>
                <w:szCs w:val="18"/>
              </w:rPr>
              <w:t xml:space="preserve">Ne crée aucune obligation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Enrôlement</w:t>
            </w:r>
          </w:p>
        </w:tc>
        <w:tc>
          <w:tcPr>
            <w:tcW w:type="dxa" w:w="4493"/>
            <w:tcMar>
              <w:top w:type="dxa" w:w="60"/>
              <w:left w:type="dxa" w:w="90"/>
              <w:bottom w:type="dxa" w:w="60"/>
              <w:right w:type="dxa" w:w="90"/>
            </w:tcMar>
          </w:tcPr>
          <w:p>
            <w:pPr>
              <w:spacing w:after="20" w:line="240"/>
            </w:pPr>
            <w:r>
              <w:rPr>
                <w:b w:val="false"/>
                <w:bCs w:val="false"/>
                <w:sz w:val="18"/>
                <w:szCs w:val="18"/>
              </w:rPr>
              <w:t xml:space="preserve">Guide l'inscription, détecte les informations manquantes, réutilise les données vérifiées</w:t>
            </w:r>
          </w:p>
        </w:tc>
        <w:tc>
          <w:tcPr>
            <w:tcW w:type="dxa" w:w="2808"/>
            <w:tcMar>
              <w:top w:type="dxa" w:w="60"/>
              <w:left w:type="dxa" w:w="90"/>
              <w:bottom w:type="dxa" w:w="60"/>
              <w:right w:type="dxa" w:w="90"/>
            </w:tcMar>
          </w:tcPr>
          <w:p>
            <w:pPr>
              <w:spacing w:after="20" w:line="240"/>
            </w:pPr>
            <w:r>
              <w:rPr>
                <w:b w:val="false"/>
                <w:bCs w:val="false"/>
                <w:sz w:val="18"/>
                <w:szCs w:val="18"/>
              </w:rPr>
              <w:t xml:space="preserve">Ne valide pas une identité seul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Apprentissage utilisateur</w:t>
            </w:r>
          </w:p>
        </w:tc>
        <w:tc>
          <w:tcPr>
            <w:tcW w:type="dxa" w:w="4493"/>
            <w:tcMar>
              <w:top w:type="dxa" w:w="60"/>
              <w:left w:type="dxa" w:w="90"/>
              <w:bottom w:type="dxa" w:w="60"/>
              <w:right w:type="dxa" w:w="90"/>
            </w:tcMar>
          </w:tcPr>
          <w:p>
            <w:pPr>
              <w:spacing w:after="20" w:line="240"/>
            </w:pPr>
            <w:r>
              <w:rPr>
                <w:b w:val="false"/>
                <w:bCs w:val="false"/>
                <w:sz w:val="18"/>
                <w:szCs w:val="18"/>
              </w:rPr>
              <w:t xml:space="preserve">Explique obligations, échéances, pièces, canaux et recours en français et en lingala</w:t>
            </w:r>
          </w:p>
        </w:tc>
        <w:tc>
          <w:tcPr>
            <w:tcW w:type="dxa" w:w="2808"/>
            <w:tcMar>
              <w:top w:type="dxa" w:w="60"/>
              <w:left w:type="dxa" w:w="90"/>
              <w:bottom w:type="dxa" w:w="60"/>
              <w:right w:type="dxa" w:w="90"/>
            </w:tcMar>
          </w:tcPr>
          <w:p>
            <w:pPr>
              <w:spacing w:after="20" w:line="240"/>
            </w:pPr>
            <w:r>
              <w:rPr>
                <w:b w:val="false"/>
                <w:bCs w:val="false"/>
                <w:sz w:val="18"/>
                <w:szCs w:val="18"/>
              </w:rPr>
              <w:t xml:space="preserve">Ne donne pas de conseil juridique opposable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Copilote agent public</w:t>
            </w:r>
          </w:p>
        </w:tc>
        <w:tc>
          <w:tcPr>
            <w:tcW w:type="dxa" w:w="4493"/>
            <w:tcMar>
              <w:top w:type="dxa" w:w="60"/>
              <w:left w:type="dxa" w:w="90"/>
              <w:bottom w:type="dxa" w:w="60"/>
              <w:right w:type="dxa" w:w="90"/>
            </w:tcMar>
          </w:tcPr>
          <w:p>
            <w:pPr>
              <w:spacing w:after="20" w:line="240"/>
            </w:pPr>
            <w:r>
              <w:rPr>
                <w:b w:val="false"/>
                <w:bCs w:val="false"/>
                <w:sz w:val="18"/>
                <w:szCs w:val="18"/>
              </w:rPr>
              <w:t xml:space="preserve">Résume un dossier, propose l'étape suivante, prépare un document, priorise la charge</w:t>
            </w:r>
          </w:p>
        </w:tc>
        <w:tc>
          <w:tcPr>
            <w:tcW w:type="dxa" w:w="2808"/>
            <w:tcMar>
              <w:top w:type="dxa" w:w="60"/>
              <w:left w:type="dxa" w:w="90"/>
              <w:bottom w:type="dxa" w:w="60"/>
              <w:right w:type="dxa" w:w="90"/>
            </w:tcMar>
          </w:tcPr>
          <w:p>
            <w:pPr>
              <w:spacing w:after="20" w:line="240"/>
            </w:pPr>
            <w:r>
              <w:rPr>
                <w:b w:val="false"/>
                <w:bCs w:val="false"/>
                <w:sz w:val="18"/>
                <w:szCs w:val="18"/>
              </w:rPr>
              <w:t xml:space="preserve">Ne signe ni ne notifie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Veille juridique</w:t>
            </w:r>
          </w:p>
        </w:tc>
        <w:tc>
          <w:tcPr>
            <w:tcW w:type="dxa" w:w="4493"/>
            <w:tcMar>
              <w:top w:type="dxa" w:w="60"/>
              <w:left w:type="dxa" w:w="90"/>
              <w:bottom w:type="dxa" w:w="60"/>
              <w:right w:type="dxa" w:w="90"/>
            </w:tcMar>
          </w:tcPr>
          <w:p>
            <w:pPr>
              <w:spacing w:after="20" w:line="240"/>
            </w:pPr>
            <w:r>
              <w:rPr>
                <w:b w:val="false"/>
                <w:bCs w:val="false"/>
                <w:sz w:val="18"/>
                <w:szCs w:val="18"/>
              </w:rPr>
              <w:t xml:space="preserve">Signale les textes nouveaux, les règles expirées et les conflits de normes</w:t>
            </w:r>
          </w:p>
        </w:tc>
        <w:tc>
          <w:tcPr>
            <w:tcW w:type="dxa" w:w="2808"/>
            <w:tcMar>
              <w:top w:type="dxa" w:w="60"/>
              <w:left w:type="dxa" w:w="90"/>
              <w:bottom w:type="dxa" w:w="60"/>
              <w:right w:type="dxa" w:w="90"/>
            </w:tcMar>
          </w:tcPr>
          <w:p>
            <w:pPr>
              <w:spacing w:after="20" w:line="240"/>
            </w:pPr>
            <w:r>
              <w:rPr>
                <w:b w:val="false"/>
                <w:bCs w:val="false"/>
                <w:sz w:val="18"/>
                <w:szCs w:val="18"/>
              </w:rPr>
              <w:t xml:space="preserve">Ne publie aucune règle sans validation juridique humaine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Intelligence locative</w:t>
            </w:r>
          </w:p>
        </w:tc>
        <w:tc>
          <w:tcPr>
            <w:tcW w:type="dxa" w:w="4493"/>
            <w:tcMar>
              <w:top w:type="dxa" w:w="60"/>
              <w:left w:type="dxa" w:w="90"/>
              <w:bottom w:type="dxa" w:w="60"/>
              <w:right w:type="dxa" w:w="90"/>
            </w:tcMar>
          </w:tcPr>
          <w:p>
            <w:pPr>
              <w:spacing w:after="20" w:line="240"/>
            </w:pPr>
            <w:r>
              <w:rPr>
                <w:b w:val="false"/>
                <w:bCs w:val="false"/>
                <w:sz w:val="18"/>
                <w:szCs w:val="18"/>
              </w:rPr>
              <w:t xml:space="preserve">Classe les zones et les biens à vérifier</w:t>
            </w:r>
          </w:p>
        </w:tc>
        <w:tc>
          <w:tcPr>
            <w:tcW w:type="dxa" w:w="2808"/>
            <w:tcMar>
              <w:top w:type="dxa" w:w="60"/>
              <w:left w:type="dxa" w:w="90"/>
              <w:bottom w:type="dxa" w:w="60"/>
              <w:right w:type="dxa" w:w="90"/>
            </w:tcMar>
          </w:tcPr>
          <w:p>
            <w:pPr>
              <w:spacing w:after="20" w:line="240"/>
            </w:pPr>
            <w:r>
              <w:rPr>
                <w:b w:val="false"/>
                <w:bCs w:val="false"/>
                <w:sz w:val="18"/>
                <w:szCs w:val="18"/>
              </w:rPr>
              <w:t xml:space="preserve">Ne conclut ni à la propriété ni à la fraude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Mission terrain</w:t>
            </w:r>
          </w:p>
        </w:tc>
        <w:tc>
          <w:tcPr>
            <w:tcW w:type="dxa" w:w="4493"/>
            <w:tcMar>
              <w:top w:type="dxa" w:w="60"/>
              <w:left w:type="dxa" w:w="90"/>
              <w:bottom w:type="dxa" w:w="60"/>
              <w:right w:type="dxa" w:w="90"/>
            </w:tcMar>
          </w:tcPr>
          <w:p>
            <w:pPr>
              <w:spacing w:after="20" w:line="240"/>
            </w:pPr>
            <w:r>
              <w:rPr>
                <w:b w:val="false"/>
                <w:bCs w:val="false"/>
                <w:sz w:val="18"/>
                <w:szCs w:val="18"/>
              </w:rPr>
              <w:t xml:space="preserve">Optimise les tournées et prépare les dossiers d'inspection</w:t>
            </w:r>
          </w:p>
        </w:tc>
        <w:tc>
          <w:tcPr>
            <w:tcW w:type="dxa" w:w="2808"/>
            <w:tcMar>
              <w:top w:type="dxa" w:w="60"/>
              <w:left w:type="dxa" w:w="90"/>
              <w:bottom w:type="dxa" w:w="60"/>
              <w:right w:type="dxa" w:w="90"/>
            </w:tcMar>
          </w:tcPr>
          <w:p>
            <w:pPr>
              <w:spacing w:after="20" w:line="240"/>
            </w:pPr>
            <w:r>
              <w:rPr>
                <w:b w:val="false"/>
                <w:bCs w:val="false"/>
                <w:sz w:val="18"/>
                <w:szCs w:val="18"/>
              </w:rPr>
              <w:t xml:space="preserve">N'affecte pas un agent hors de son périmètre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Rapprochement</w:t>
            </w:r>
          </w:p>
        </w:tc>
        <w:tc>
          <w:tcPr>
            <w:tcW w:type="dxa" w:w="4493"/>
            <w:tcMar>
              <w:top w:type="dxa" w:w="60"/>
              <w:left w:type="dxa" w:w="90"/>
              <w:bottom w:type="dxa" w:w="60"/>
              <w:right w:type="dxa" w:w="90"/>
            </w:tcMar>
          </w:tcPr>
          <w:p>
            <w:pPr>
              <w:spacing w:after="20" w:line="240"/>
            </w:pPr>
            <w:r>
              <w:rPr>
                <w:b w:val="false"/>
                <w:bCs w:val="false"/>
                <w:sz w:val="18"/>
                <w:szCs w:val="18"/>
              </w:rPr>
              <w:t xml:space="preserve">Apparie obligations, confirmations et règlements</w:t>
            </w:r>
          </w:p>
        </w:tc>
        <w:tc>
          <w:tcPr>
            <w:tcW w:type="dxa" w:w="2808"/>
            <w:tcMar>
              <w:top w:type="dxa" w:w="60"/>
              <w:left w:type="dxa" w:w="90"/>
              <w:bottom w:type="dxa" w:w="60"/>
              <w:right w:type="dxa" w:w="90"/>
            </w:tcMar>
          </w:tcPr>
          <w:p>
            <w:pPr>
              <w:spacing w:after="20" w:line="240"/>
            </w:pPr>
            <w:r>
              <w:rPr>
                <w:b w:val="false"/>
                <w:bCs w:val="false"/>
                <w:sz w:val="18"/>
                <w:szCs w:val="18"/>
              </w:rPr>
              <w:t xml:space="preserve">Ne corrige pas une écriture sans validation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Détection de fraude</w:t>
            </w:r>
          </w:p>
        </w:tc>
        <w:tc>
          <w:tcPr>
            <w:tcW w:type="dxa" w:w="4493"/>
            <w:tcMar>
              <w:top w:type="dxa" w:w="60"/>
              <w:left w:type="dxa" w:w="90"/>
              <w:bottom w:type="dxa" w:w="60"/>
              <w:right w:type="dxa" w:w="90"/>
            </w:tcMar>
          </w:tcPr>
          <w:p>
            <w:pPr>
              <w:spacing w:after="20" w:line="240"/>
            </w:pPr>
            <w:r>
              <w:rPr>
                <w:b w:val="false"/>
                <w:bCs w:val="false"/>
                <w:sz w:val="18"/>
                <w:szCs w:val="18"/>
              </w:rPr>
              <w:t xml:space="preserve">Repère doublons, exonérations anormales, annulations suspectes, collusion, anomalies géographiques, réutilisation d'appareils, manipulation de quittances</w:t>
            </w:r>
          </w:p>
        </w:tc>
        <w:tc>
          <w:tcPr>
            <w:tcW w:type="dxa" w:w="2808"/>
            <w:tcMar>
              <w:top w:type="dxa" w:w="60"/>
              <w:left w:type="dxa" w:w="90"/>
              <w:bottom w:type="dxa" w:w="60"/>
              <w:right w:type="dxa" w:w="90"/>
            </w:tcMar>
          </w:tcPr>
          <w:p>
            <w:pPr>
              <w:spacing w:after="20" w:line="240"/>
            </w:pPr>
            <w:r>
              <w:rPr>
                <w:b w:val="false"/>
                <w:bCs w:val="false"/>
                <w:sz w:val="18"/>
                <w:szCs w:val="18"/>
              </w:rPr>
              <w:t xml:space="preserve">N'accuse personne ; ouvre un dossier d'enquête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Prévision</w:t>
            </w:r>
          </w:p>
        </w:tc>
        <w:tc>
          <w:tcPr>
            <w:tcW w:type="dxa" w:w="4493"/>
            <w:tcMar>
              <w:top w:type="dxa" w:w="60"/>
              <w:left w:type="dxa" w:w="90"/>
              <w:bottom w:type="dxa" w:w="60"/>
              <w:right w:type="dxa" w:w="90"/>
            </w:tcMar>
          </w:tcPr>
          <w:p>
            <w:pPr>
              <w:spacing w:after="20" w:line="240"/>
            </w:pPr>
            <w:r>
              <w:rPr>
                <w:b w:val="false"/>
                <w:bCs w:val="false"/>
                <w:sz w:val="18"/>
                <w:szCs w:val="18"/>
              </w:rPr>
              <w:t xml:space="preserve">Produit des scénarios prudent, attendu et ambitieux avec hypothèses explicites</w:t>
            </w:r>
          </w:p>
        </w:tc>
        <w:tc>
          <w:tcPr>
            <w:tcW w:type="dxa" w:w="2808"/>
            <w:tcMar>
              <w:top w:type="dxa" w:w="60"/>
              <w:left w:type="dxa" w:w="90"/>
              <w:bottom w:type="dxa" w:w="60"/>
              <w:right w:type="dxa" w:w="90"/>
            </w:tcMar>
          </w:tcPr>
          <w:p>
            <w:pPr>
              <w:spacing w:after="20" w:line="240"/>
            </w:pPr>
            <w:r>
              <w:rPr>
                <w:b w:val="false"/>
                <w:bCs w:val="false"/>
                <w:sz w:val="18"/>
                <w:szCs w:val="18"/>
              </w:rPr>
              <w:t xml:space="preserve">Ne fixe pas d'assignation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Décision exécutive</w:t>
            </w:r>
          </w:p>
        </w:tc>
        <w:tc>
          <w:tcPr>
            <w:tcW w:type="dxa" w:w="4493"/>
            <w:tcMar>
              <w:top w:type="dxa" w:w="60"/>
              <w:left w:type="dxa" w:w="90"/>
              <w:bottom w:type="dxa" w:w="60"/>
              <w:right w:type="dxa" w:w="90"/>
            </w:tcMar>
          </w:tcPr>
          <w:p>
            <w:pPr>
              <w:spacing w:after="20" w:line="240"/>
            </w:pPr>
            <w:r>
              <w:rPr>
                <w:b w:val="false"/>
                <w:bCs w:val="false"/>
                <w:sz w:val="18"/>
                <w:szCs w:val="18"/>
              </w:rPr>
              <w:t xml:space="preserve">Transforme les données en options d'action pour l'autorité</w:t>
            </w:r>
          </w:p>
        </w:tc>
        <w:tc>
          <w:tcPr>
            <w:tcW w:type="dxa" w:w="2808"/>
            <w:tcMar>
              <w:top w:type="dxa" w:w="60"/>
              <w:left w:type="dxa" w:w="90"/>
              <w:bottom w:type="dxa" w:w="60"/>
              <w:right w:type="dxa" w:w="90"/>
            </w:tcMar>
          </w:tcPr>
          <w:p>
            <w:pPr>
              <w:spacing w:after="20" w:line="240"/>
            </w:pPr>
            <w:r>
              <w:rPr>
                <w:b w:val="false"/>
                <w:bCs w:val="false"/>
                <w:sz w:val="18"/>
                <w:szCs w:val="18"/>
              </w:rPr>
              <w:t xml:space="preserve">Ne décide pas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Affectation des ressources</w:t>
            </w:r>
          </w:p>
        </w:tc>
        <w:tc>
          <w:tcPr>
            <w:tcW w:type="dxa" w:w="4493"/>
            <w:tcMar>
              <w:top w:type="dxa" w:w="60"/>
              <w:left w:type="dxa" w:w="90"/>
              <w:bottom w:type="dxa" w:w="60"/>
              <w:right w:type="dxa" w:w="90"/>
            </w:tcMar>
          </w:tcPr>
          <w:p>
            <w:pPr>
              <w:spacing w:after="20" w:line="240"/>
            </w:pPr>
            <w:r>
              <w:rPr>
                <w:b w:val="false"/>
                <w:bCs w:val="false"/>
                <w:sz w:val="18"/>
                <w:szCs w:val="18"/>
              </w:rPr>
              <w:t xml:space="preserve">Propose des scénarios d'emploi des fonds disponibles</w:t>
            </w:r>
          </w:p>
        </w:tc>
        <w:tc>
          <w:tcPr>
            <w:tcW w:type="dxa" w:w="2808"/>
            <w:tcMar>
              <w:top w:type="dxa" w:w="60"/>
              <w:left w:type="dxa" w:w="90"/>
              <w:bottom w:type="dxa" w:w="60"/>
              <w:right w:type="dxa" w:w="90"/>
            </w:tcMar>
          </w:tcPr>
          <w:p>
            <w:pPr>
              <w:spacing w:after="20" w:line="240"/>
            </w:pPr>
            <w:r>
              <w:rPr>
                <w:b w:val="false"/>
                <w:bCs w:val="false"/>
                <w:sz w:val="18"/>
                <w:szCs w:val="18"/>
              </w:rPr>
              <w:t xml:space="preserve">N'engage aucune dépense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Apprentissage continu</w:t>
            </w:r>
          </w:p>
        </w:tc>
        <w:tc>
          <w:tcPr>
            <w:tcW w:type="dxa" w:w="4493"/>
            <w:tcMar>
              <w:top w:type="dxa" w:w="60"/>
              <w:left w:type="dxa" w:w="90"/>
              <w:bottom w:type="dxa" w:w="60"/>
              <w:right w:type="dxa" w:w="90"/>
            </w:tcMar>
          </w:tcPr>
          <w:p>
            <w:pPr>
              <w:spacing w:after="20" w:line="240"/>
            </w:pPr>
            <w:r>
              <w:rPr>
                <w:b w:val="false"/>
                <w:bCs w:val="false"/>
                <w:sz w:val="18"/>
                <w:szCs w:val="18"/>
              </w:rPr>
              <w:t xml:space="preserve">Apprend des corrections validées et des résultats de terrain</w:t>
            </w:r>
          </w:p>
        </w:tc>
        <w:tc>
          <w:tcPr>
            <w:tcW w:type="dxa" w:w="2808"/>
            <w:tcMar>
              <w:top w:type="dxa" w:w="60"/>
              <w:left w:type="dxa" w:w="90"/>
              <w:bottom w:type="dxa" w:w="60"/>
              <w:right w:type="dxa" w:w="90"/>
            </w:tcMar>
          </w:tcPr>
          <w:p>
            <w:pPr>
              <w:spacing w:after="20" w:line="240"/>
            </w:pPr>
            <w:r>
              <w:rPr>
                <w:b w:val="false"/>
                <w:bCs w:val="false"/>
                <w:sz w:val="18"/>
                <w:szCs w:val="18"/>
              </w:rPr>
              <w:t xml:space="preserve">Ne se réentraîne pas silencieusement sur des données non approuvées</w:t>
            </w:r>
          </w:p>
        </w:tc>
      </w:tr>
    </w:tbl>
    <w:p>
      <w:pPr>
        <w:pStyle w:val="Heading2"/>
        <w:spacing w:after="120" w:before="260"/>
      </w:pPr>
      <w:r>
        <w:t xml:space="preserve">24.1 Gouvernance des modèles</w:t>
      </w:r>
    </w:p>
    <w:p>
      <w:pPr>
        <w:pStyle w:val="ListItem"/>
        <w:numPr>
          <w:ilvl w:val="0"/>
          <w:numId w:val="1"/>
        </w:numPr>
        <w:spacing w:after="60" w:line="264"/>
      </w:pPr>
      <w:r>
        <w:t xml:space="preserve">Jeux d'entraînement approuvés, datés et documentés ; interdiction d'utiliser des données sensibles non autorisées.</w:t>
      </w:r>
    </w:p>
    <w:p>
      <w:pPr>
        <w:pStyle w:val="ListItem"/>
        <w:numPr>
          <w:ilvl w:val="0"/>
          <w:numId w:val="1"/>
        </w:numPr>
        <w:spacing w:after="60" w:line="264"/>
      </w:pPr>
      <w:r>
        <w:t xml:space="preserve">Versionnage des modèles, validation humaine avant mise en service, tests de biais, suivi de dérive, explicabilité et possibilité de retour arrière.</w:t>
      </w:r>
    </w:p>
    <w:p>
      <w:pPr>
        <w:pStyle w:val="ListItem"/>
        <w:numPr>
          <w:ilvl w:val="0"/>
          <w:numId w:val="1"/>
        </w:numPr>
        <w:spacing w:after="60" w:line="264"/>
      </w:pPr>
      <w:r>
        <w:t xml:space="preserve">Journal intégral des décisions assistées : entrée, version du modèle, sortie, agent humain qui a tranché.</w:t>
      </w:r>
    </w:p>
    <w:p>
      <w:pPr>
        <w:pStyle w:val="ListItem"/>
        <w:numPr>
          <w:ilvl w:val="0"/>
          <w:numId w:val="1"/>
        </w:numPr>
        <w:spacing w:after="60" w:line="264"/>
      </w:pPr>
      <w:r>
        <w:t xml:space="preserve">Interdictions absolues : créer un impôt, infliger une pénalité, établir une propriété, saisir un bien, suspendre un droit, accorder une exonération, clore un recours, transférer des fonds, modifier un compte bénéficiaire, détruire une preuve.</w:t>
      </w:r>
    </w:p>
    <w:p>
      <w:pPr>
        <w:pStyle w:val="Heading1"/>
        <w:spacing w:after="160" w:before="360"/>
      </w:pPr>
      <w:r>
        <w:t xml:space="preserve">25. Apprentissage des utilisateurs et environnement de travail</w:t>
      </w:r>
    </w:p>
    <w:p>
      <w:pPr>
        <w:spacing w:after="120" w:line="276"/>
        <w:jc w:val="both"/>
      </w:pPr>
      <w:r>
        <w:rPr>
          <w:b w:val="false"/>
          <w:bCs w:val="false"/>
          <w:i w:val="false"/>
          <w:iCs w:val="false"/>
          <w:sz w:val="21"/>
          <w:szCs w:val="21"/>
        </w:rPr>
        <w:t xml:space="preserve">La performance du système dépend autant de la compétence des agents que du logiciel. Le module d'apprentissage est intégré au poste de travail, non séparé de lui.</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4493"/>
        <w:gridCol w:w="280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Public</w:t>
            </w:r>
          </w:p>
        </w:tc>
        <w:tc>
          <w:tcPr>
            <w:tcW w:type="dxa" w:w="4493"/>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Validation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Contribuables</w:t>
            </w:r>
          </w:p>
        </w:tc>
        <w:tc>
          <w:tcPr>
            <w:tcW w:type="dxa" w:w="4493"/>
            <w:tcMar>
              <w:top w:type="dxa" w:w="60"/>
              <w:left w:type="dxa" w:w="90"/>
              <w:bottom w:type="dxa" w:w="60"/>
              <w:right w:type="dxa" w:w="90"/>
            </w:tcMar>
          </w:tcPr>
          <w:p>
            <w:pPr>
              <w:spacing w:after="20" w:line="240"/>
            </w:pPr>
            <w:r>
              <w:rPr>
                <w:b w:val="false"/>
                <w:bCs w:val="false"/>
                <w:sz w:val="18"/>
                <w:szCs w:val="18"/>
              </w:rPr>
              <w:t xml:space="preserve">Explications courtes en français et en lingala, guides de paiement, droits et recours</w:t>
            </w:r>
          </w:p>
        </w:tc>
        <w:tc>
          <w:tcPr>
            <w:tcW w:type="dxa" w:w="2808"/>
            <w:tcMar>
              <w:top w:type="dxa" w:w="60"/>
              <w:left w:type="dxa" w:w="90"/>
              <w:bottom w:type="dxa" w:w="60"/>
              <w:right w:type="dxa" w:w="90"/>
            </w:tcMar>
          </w:tcPr>
          <w:p>
            <w:pPr>
              <w:spacing w:after="20" w:line="240"/>
            </w:pPr>
            <w:r>
              <w:rPr>
                <w:b w:val="false"/>
                <w:bCs w:val="false"/>
                <w:sz w:val="18"/>
                <w:szCs w:val="18"/>
              </w:rPr>
              <w:t xml:space="preserve">Compréhension mesurée par le taux de dossiers complets du premier coup</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Agents recenseurs</w:t>
            </w:r>
          </w:p>
        </w:tc>
        <w:tc>
          <w:tcPr>
            <w:tcW w:type="dxa" w:w="4493"/>
            <w:tcMar>
              <w:top w:type="dxa" w:w="60"/>
              <w:left w:type="dxa" w:w="90"/>
              <w:bottom w:type="dxa" w:w="60"/>
              <w:right w:type="dxa" w:w="90"/>
            </w:tcMar>
          </w:tcPr>
          <w:p>
            <w:pPr>
              <w:spacing w:after="20" w:line="240"/>
            </w:pPr>
            <w:r>
              <w:rPr>
                <w:b w:val="false"/>
                <w:bCs w:val="false"/>
                <w:sz w:val="18"/>
                <w:szCs w:val="18"/>
              </w:rPr>
              <w:t xml:space="preserve">Protocole de recensement, photographie, géolocalisation, déontologie</w:t>
            </w:r>
          </w:p>
        </w:tc>
        <w:tc>
          <w:tcPr>
            <w:tcW w:type="dxa" w:w="2808"/>
            <w:tcMar>
              <w:top w:type="dxa" w:w="60"/>
              <w:left w:type="dxa" w:w="90"/>
              <w:bottom w:type="dxa" w:w="60"/>
              <w:right w:type="dxa" w:w="90"/>
            </w:tcMar>
          </w:tcPr>
          <w:p>
            <w:pPr>
              <w:spacing w:after="20" w:line="240"/>
            </w:pPr>
            <w:r>
              <w:rPr>
                <w:b w:val="false"/>
                <w:bCs w:val="false"/>
                <w:sz w:val="18"/>
                <w:szCs w:val="18"/>
              </w:rPr>
              <w:t xml:space="preserve">Certification avant affectation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Contrôleurs</w:t>
            </w:r>
          </w:p>
        </w:tc>
        <w:tc>
          <w:tcPr>
            <w:tcW w:type="dxa" w:w="4493"/>
            <w:tcMar>
              <w:top w:type="dxa" w:w="60"/>
              <w:left w:type="dxa" w:w="90"/>
              <w:bottom w:type="dxa" w:w="60"/>
              <w:right w:type="dxa" w:w="90"/>
            </w:tcMar>
          </w:tcPr>
          <w:p>
            <w:pPr>
              <w:spacing w:after="20" w:line="240"/>
            </w:pPr>
            <w:r>
              <w:rPr>
                <w:b w:val="false"/>
                <w:bCs w:val="false"/>
                <w:sz w:val="18"/>
                <w:szCs w:val="18"/>
              </w:rPr>
              <w:t xml:space="preserve">Procédure de constat, rédaction, droits du contribuable, usage de la preuve</w:t>
            </w:r>
          </w:p>
        </w:tc>
        <w:tc>
          <w:tcPr>
            <w:tcW w:type="dxa" w:w="2808"/>
            <w:tcMar>
              <w:top w:type="dxa" w:w="60"/>
              <w:left w:type="dxa" w:w="90"/>
              <w:bottom w:type="dxa" w:w="60"/>
              <w:right w:type="dxa" w:w="90"/>
            </w:tcMar>
          </w:tcPr>
          <w:p>
            <w:pPr>
              <w:spacing w:after="20" w:line="240"/>
            </w:pPr>
            <w:r>
              <w:rPr>
                <w:b w:val="false"/>
                <w:bCs w:val="false"/>
                <w:sz w:val="18"/>
                <w:szCs w:val="18"/>
              </w:rPr>
              <w:t xml:space="preserve">Certification et recertification annuelle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Agents de guichet</w:t>
            </w:r>
          </w:p>
        </w:tc>
        <w:tc>
          <w:tcPr>
            <w:tcW w:type="dxa" w:w="4493"/>
            <w:tcMar>
              <w:top w:type="dxa" w:w="60"/>
              <w:left w:type="dxa" w:w="90"/>
              <w:bottom w:type="dxa" w:w="60"/>
              <w:right w:type="dxa" w:w="90"/>
            </w:tcMar>
          </w:tcPr>
          <w:p>
            <w:pPr>
              <w:spacing w:after="20" w:line="240"/>
            </w:pPr>
            <w:r>
              <w:rPr>
                <w:b w:val="false"/>
                <w:bCs w:val="false"/>
                <w:sz w:val="18"/>
                <w:szCs w:val="18"/>
              </w:rPr>
              <w:t xml:space="preserve">Accompagnement sans manipulation d'espèces, assistance au paiement</w:t>
            </w:r>
          </w:p>
        </w:tc>
        <w:tc>
          <w:tcPr>
            <w:tcW w:type="dxa" w:w="2808"/>
            <w:tcMar>
              <w:top w:type="dxa" w:w="60"/>
              <w:left w:type="dxa" w:w="90"/>
              <w:bottom w:type="dxa" w:w="60"/>
              <w:right w:type="dxa" w:w="90"/>
            </w:tcMar>
          </w:tcPr>
          <w:p>
            <w:pPr>
              <w:spacing w:after="20" w:line="240"/>
            </w:pPr>
            <w:r>
              <w:rPr>
                <w:b w:val="false"/>
                <w:bCs w:val="false"/>
                <w:sz w:val="18"/>
                <w:szCs w:val="18"/>
              </w:rPr>
              <w:t xml:space="preserve">Évaluation continue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Cadres et superviseurs</w:t>
            </w:r>
          </w:p>
        </w:tc>
        <w:tc>
          <w:tcPr>
            <w:tcW w:type="dxa" w:w="4493"/>
            <w:tcMar>
              <w:top w:type="dxa" w:w="60"/>
              <w:left w:type="dxa" w:w="90"/>
              <w:bottom w:type="dxa" w:w="60"/>
              <w:right w:type="dxa" w:w="90"/>
            </w:tcMar>
          </w:tcPr>
          <w:p>
            <w:pPr>
              <w:spacing w:after="20" w:line="240"/>
            </w:pPr>
            <w:r>
              <w:rPr>
                <w:b w:val="false"/>
                <w:bCs w:val="false"/>
                <w:sz w:val="18"/>
                <w:szCs w:val="18"/>
              </w:rPr>
              <w:t xml:space="preserve">Pilotage par indicateurs, traitement des exceptions, éthique</w:t>
            </w:r>
          </w:p>
        </w:tc>
        <w:tc>
          <w:tcPr>
            <w:tcW w:type="dxa" w:w="2808"/>
            <w:tcMar>
              <w:top w:type="dxa" w:w="60"/>
              <w:left w:type="dxa" w:w="90"/>
              <w:bottom w:type="dxa" w:w="60"/>
              <w:right w:type="dxa" w:w="90"/>
            </w:tcMar>
          </w:tcPr>
          <w:p>
            <w:pPr>
              <w:spacing w:after="20" w:line="240"/>
            </w:pPr>
            <w:r>
              <w:rPr>
                <w:b w:val="false"/>
                <w:bCs w:val="false"/>
                <w:sz w:val="18"/>
                <w:szCs w:val="18"/>
              </w:rPr>
              <w:t xml:space="preserve">Évaluation par résultats vérifiés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Finances et trésorerie</w:t>
            </w:r>
          </w:p>
        </w:tc>
        <w:tc>
          <w:tcPr>
            <w:tcW w:type="dxa" w:w="4493"/>
            <w:tcMar>
              <w:top w:type="dxa" w:w="60"/>
              <w:left w:type="dxa" w:w="90"/>
              <w:bottom w:type="dxa" w:w="60"/>
              <w:right w:type="dxa" w:w="90"/>
            </w:tcMar>
          </w:tcPr>
          <w:p>
            <w:pPr>
              <w:spacing w:after="20" w:line="240"/>
            </w:pPr>
            <w:r>
              <w:rPr>
                <w:b w:val="false"/>
                <w:bCs w:val="false"/>
                <w:sz w:val="18"/>
                <w:szCs w:val="18"/>
              </w:rPr>
              <w:t xml:space="preserve">Rapprochement, imputation, gestion des écarts</w:t>
            </w:r>
          </w:p>
        </w:tc>
        <w:tc>
          <w:tcPr>
            <w:tcW w:type="dxa" w:w="2808"/>
            <w:tcMar>
              <w:top w:type="dxa" w:w="60"/>
              <w:left w:type="dxa" w:w="90"/>
              <w:bottom w:type="dxa" w:w="60"/>
              <w:right w:type="dxa" w:w="90"/>
            </w:tcMar>
          </w:tcPr>
          <w:p>
            <w:pPr>
              <w:spacing w:after="20" w:line="240"/>
            </w:pPr>
            <w:r>
              <w:rPr>
                <w:b w:val="false"/>
                <w:bCs w:val="false"/>
                <w:sz w:val="18"/>
                <w:szCs w:val="18"/>
              </w:rPr>
              <w:t xml:space="preserve">Contrôle par échantillon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Administrateurs</w:t>
            </w:r>
          </w:p>
        </w:tc>
        <w:tc>
          <w:tcPr>
            <w:tcW w:type="dxa" w:w="4493"/>
            <w:tcMar>
              <w:top w:type="dxa" w:w="60"/>
              <w:left w:type="dxa" w:w="90"/>
              <w:bottom w:type="dxa" w:w="60"/>
              <w:right w:type="dxa" w:w="90"/>
            </w:tcMar>
          </w:tcPr>
          <w:p>
            <w:pPr>
              <w:spacing w:after="20" w:line="240"/>
            </w:pPr>
            <w:r>
              <w:rPr>
                <w:b w:val="false"/>
                <w:bCs w:val="false"/>
                <w:sz w:val="18"/>
                <w:szCs w:val="18"/>
              </w:rPr>
              <w:t xml:space="preserve">Sécurité, gestion des accès, gestion des incidents</w:t>
            </w:r>
          </w:p>
        </w:tc>
        <w:tc>
          <w:tcPr>
            <w:tcW w:type="dxa" w:w="2808"/>
            <w:tcMar>
              <w:top w:type="dxa" w:w="60"/>
              <w:left w:type="dxa" w:w="90"/>
              <w:bottom w:type="dxa" w:w="60"/>
              <w:right w:type="dxa" w:w="90"/>
            </w:tcMar>
          </w:tcPr>
          <w:p>
            <w:pPr>
              <w:spacing w:after="20" w:line="240"/>
            </w:pPr>
            <w:r>
              <w:rPr>
                <w:b w:val="false"/>
                <w:bCs w:val="false"/>
                <w:sz w:val="18"/>
                <w:szCs w:val="18"/>
              </w:rPr>
              <w:t xml:space="preserve">Habilitation renouvelable</w:t>
            </w:r>
          </w:p>
        </w:tc>
      </w:tr>
    </w:tbl>
    <w:p>
      <w:pPr>
        <w:spacing w:after="120" w:line="276"/>
        <w:jc w:val="both"/>
      </w:pPr>
      <w:r>
        <w:rPr>
          <w:b w:val="false"/>
          <w:bCs w:val="false"/>
          <w:i w:val="false"/>
          <w:iCs w:val="false"/>
          <w:sz w:val="21"/>
          <w:szCs w:val="21"/>
        </w:rPr>
        <w:t xml:space="preserve">Le suivi d'activité est limité à ce qui est nécessaire à la sécurité et à l'exploitation : traçabilité des actes professionnels, pas surveillance permanente des personnes. Les indicateurs individuels portent sur des résultats vérifiables, pas sur des mesures intrusives.</w:t>
      </w:r>
    </w:p>
    <w:p>
      <w:pPr>
        <w:pStyle w:val="Heading1"/>
        <w:spacing w:after="160" w:before="360"/>
      </w:pPr>
      <w:r>
        <w:t xml:space="preserve">26. Prévention de la fraude et de la déperdition</w:t>
      </w:r>
    </w:p>
    <w:p>
      <w:pPr>
        <w:spacing w:after="120" w:line="276"/>
        <w:jc w:val="both"/>
      </w:pPr>
      <w:r>
        <w:rPr>
          <w:b w:val="false"/>
          <w:bCs w:val="false"/>
          <w:i w:val="false"/>
          <w:iCs w:val="false"/>
          <w:sz w:val="21"/>
          <w:szCs w:val="21"/>
        </w:rPr>
        <w:t xml:space="preserve">L'objectif n'est pas d'annoncer l'élimination de la fraude, ce qui serait faux, mais de la rendre difficile à exécuter, coûteuse à dissimuler, rapide à détecter et impossible à effacer.</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2434"/>
        <w:gridCol w:w="2434"/>
        <w:gridCol w:w="2434"/>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Vecteur de fraude</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Prévention</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Détection</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Preuve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Encaissement en espèces non déclaré</w:t>
            </w:r>
          </w:p>
        </w:tc>
        <w:tc>
          <w:tcPr>
            <w:tcW w:type="dxa" w:w="2434"/>
            <w:tcMar>
              <w:top w:type="dxa" w:w="60"/>
              <w:left w:type="dxa" w:w="90"/>
              <w:bottom w:type="dxa" w:w="60"/>
              <w:right w:type="dxa" w:w="90"/>
            </w:tcMar>
          </w:tcPr>
          <w:p>
            <w:pPr>
              <w:spacing w:after="20" w:line="240"/>
            </w:pPr>
            <w:r>
              <w:rPr>
                <w:b w:val="false"/>
                <w:bCs w:val="false"/>
                <w:sz w:val="18"/>
                <w:szCs w:val="18"/>
              </w:rPr>
              <w:t xml:space="preserve">Aucune fonction d'encaissement pour l'agent</w:t>
            </w:r>
          </w:p>
        </w:tc>
        <w:tc>
          <w:tcPr>
            <w:tcW w:type="dxa" w:w="2434"/>
            <w:tcMar>
              <w:top w:type="dxa" w:w="60"/>
              <w:left w:type="dxa" w:w="90"/>
              <w:bottom w:type="dxa" w:w="60"/>
              <w:right w:type="dxa" w:w="90"/>
            </w:tcMar>
          </w:tcPr>
          <w:p>
            <w:pPr>
              <w:spacing w:after="20" w:line="240"/>
            </w:pPr>
            <w:r>
              <w:rPr>
                <w:b w:val="false"/>
                <w:bCs w:val="false"/>
                <w:sz w:val="18"/>
                <w:szCs w:val="18"/>
              </w:rPr>
              <w:t xml:space="preserve">Écart entre constats et paiements dans une zone</w:t>
            </w:r>
          </w:p>
        </w:tc>
        <w:tc>
          <w:tcPr>
            <w:tcW w:type="dxa" w:w="2434"/>
            <w:tcMar>
              <w:top w:type="dxa" w:w="60"/>
              <w:left w:type="dxa" w:w="90"/>
              <w:bottom w:type="dxa" w:w="60"/>
              <w:right w:type="dxa" w:w="90"/>
            </w:tcMar>
          </w:tcPr>
          <w:p>
            <w:pPr>
              <w:spacing w:after="20" w:line="240"/>
            </w:pPr>
            <w:r>
              <w:rPr>
                <w:b w:val="false"/>
                <w:bCs w:val="false"/>
                <w:sz w:val="18"/>
                <w:szCs w:val="18"/>
              </w:rPr>
              <w:t xml:space="preserve">Journal des constats et absence de quittance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Fausse quittance</w:t>
            </w:r>
          </w:p>
        </w:tc>
        <w:tc>
          <w:tcPr>
            <w:tcW w:type="dxa" w:w="2434"/>
            <w:tcMar>
              <w:top w:type="dxa" w:w="60"/>
              <w:left w:type="dxa" w:w="90"/>
              <w:bottom w:type="dxa" w:w="60"/>
              <w:right w:type="dxa" w:w="90"/>
            </w:tcMar>
          </w:tcPr>
          <w:p>
            <w:pPr>
              <w:spacing w:after="20" w:line="240"/>
            </w:pPr>
            <w:r>
              <w:rPr>
                <w:b w:val="false"/>
                <w:bCs w:val="false"/>
                <w:sz w:val="18"/>
                <w:szCs w:val="18"/>
              </w:rPr>
              <w:t xml:space="preserve">Signature électronique et QR</w:t>
            </w:r>
          </w:p>
        </w:tc>
        <w:tc>
          <w:tcPr>
            <w:tcW w:type="dxa" w:w="2434"/>
            <w:tcMar>
              <w:top w:type="dxa" w:w="60"/>
              <w:left w:type="dxa" w:w="90"/>
              <w:bottom w:type="dxa" w:w="60"/>
              <w:right w:type="dxa" w:w="90"/>
            </w:tcMar>
          </w:tcPr>
          <w:p>
            <w:pPr>
              <w:spacing w:after="20" w:line="240"/>
            </w:pPr>
            <w:r>
              <w:rPr>
                <w:b w:val="false"/>
                <w:bCs w:val="false"/>
                <w:sz w:val="18"/>
                <w:szCs w:val="18"/>
              </w:rPr>
              <w:t xml:space="preserve">Vérification publique instantanée</w:t>
            </w:r>
          </w:p>
        </w:tc>
        <w:tc>
          <w:tcPr>
            <w:tcW w:type="dxa" w:w="2434"/>
            <w:tcMar>
              <w:top w:type="dxa" w:w="60"/>
              <w:left w:type="dxa" w:w="90"/>
              <w:bottom w:type="dxa" w:w="60"/>
              <w:right w:type="dxa" w:w="90"/>
            </w:tcMar>
          </w:tcPr>
          <w:p>
            <w:pPr>
              <w:spacing w:after="20" w:line="240"/>
            </w:pPr>
            <w:r>
              <w:rPr>
                <w:b w:val="false"/>
                <w:bCs w:val="false"/>
                <w:sz w:val="18"/>
                <w:szCs w:val="18"/>
              </w:rPr>
              <w:t xml:space="preserve">Registre des quittances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Changement de compte bénéficiaire</w:t>
            </w:r>
          </w:p>
        </w:tc>
        <w:tc>
          <w:tcPr>
            <w:tcW w:type="dxa" w:w="2434"/>
            <w:tcMar>
              <w:top w:type="dxa" w:w="60"/>
              <w:left w:type="dxa" w:w="90"/>
              <w:bottom w:type="dxa" w:w="60"/>
              <w:right w:type="dxa" w:w="90"/>
            </w:tcMar>
          </w:tcPr>
          <w:p>
            <w:pPr>
              <w:spacing w:after="20" w:line="240"/>
            </w:pPr>
            <w:r>
              <w:rPr>
                <w:b w:val="false"/>
                <w:bCs w:val="false"/>
                <w:sz w:val="18"/>
                <w:szCs w:val="18"/>
              </w:rPr>
              <w:t xml:space="preserve">Compte verrouillé, double validation</w:t>
            </w:r>
          </w:p>
        </w:tc>
        <w:tc>
          <w:tcPr>
            <w:tcW w:type="dxa" w:w="2434"/>
            <w:tcMar>
              <w:top w:type="dxa" w:w="60"/>
              <w:left w:type="dxa" w:w="90"/>
              <w:bottom w:type="dxa" w:w="60"/>
              <w:right w:type="dxa" w:w="90"/>
            </w:tcMar>
          </w:tcPr>
          <w:p>
            <w:pPr>
              <w:spacing w:after="20" w:line="240"/>
            </w:pPr>
            <w:r>
              <w:rPr>
                <w:b w:val="false"/>
                <w:bCs w:val="false"/>
                <w:sz w:val="18"/>
                <w:szCs w:val="18"/>
              </w:rPr>
              <w:t xml:space="preserve">Alerte immédiate au comité</w:t>
            </w:r>
          </w:p>
        </w:tc>
        <w:tc>
          <w:tcPr>
            <w:tcW w:type="dxa" w:w="2434"/>
            <w:tcMar>
              <w:top w:type="dxa" w:w="60"/>
              <w:left w:type="dxa" w:w="90"/>
              <w:bottom w:type="dxa" w:w="60"/>
              <w:right w:type="dxa" w:w="90"/>
            </w:tcMar>
          </w:tcPr>
          <w:p>
            <w:pPr>
              <w:spacing w:after="20" w:line="240"/>
            </w:pPr>
            <w:r>
              <w:rPr>
                <w:b w:val="false"/>
                <w:bCs w:val="false"/>
                <w:sz w:val="18"/>
                <w:szCs w:val="18"/>
              </w:rPr>
              <w:t xml:space="preserve">Journal d'audit en ajout seul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Annulation ou dégrèvement irrégulier</w:t>
            </w:r>
          </w:p>
        </w:tc>
        <w:tc>
          <w:tcPr>
            <w:tcW w:type="dxa" w:w="2434"/>
            <w:tcMar>
              <w:top w:type="dxa" w:w="60"/>
              <w:left w:type="dxa" w:w="90"/>
              <w:bottom w:type="dxa" w:w="60"/>
              <w:right w:type="dxa" w:w="90"/>
            </w:tcMar>
          </w:tcPr>
          <w:p>
            <w:pPr>
              <w:spacing w:after="20" w:line="240"/>
            </w:pPr>
            <w:r>
              <w:rPr>
                <w:b w:val="false"/>
                <w:bCs w:val="false"/>
                <w:sz w:val="18"/>
                <w:szCs w:val="18"/>
              </w:rPr>
              <w:t xml:space="preserve">Motif obligatoire, quatre yeux</w:t>
            </w:r>
          </w:p>
        </w:tc>
        <w:tc>
          <w:tcPr>
            <w:tcW w:type="dxa" w:w="2434"/>
            <w:tcMar>
              <w:top w:type="dxa" w:w="60"/>
              <w:left w:type="dxa" w:w="90"/>
              <w:bottom w:type="dxa" w:w="60"/>
              <w:right w:type="dxa" w:w="90"/>
            </w:tcMar>
          </w:tcPr>
          <w:p>
            <w:pPr>
              <w:spacing w:after="20" w:line="240"/>
            </w:pPr>
            <w:r>
              <w:rPr>
                <w:b w:val="false"/>
                <w:bCs w:val="false"/>
                <w:sz w:val="18"/>
                <w:szCs w:val="18"/>
              </w:rPr>
              <w:t xml:space="preserve">Statistiques d'annulation par agent et par service</w:t>
            </w:r>
          </w:p>
        </w:tc>
        <w:tc>
          <w:tcPr>
            <w:tcW w:type="dxa" w:w="2434"/>
            <w:tcMar>
              <w:top w:type="dxa" w:w="60"/>
              <w:left w:type="dxa" w:w="90"/>
              <w:bottom w:type="dxa" w:w="60"/>
              <w:right w:type="dxa" w:w="90"/>
            </w:tcMar>
          </w:tcPr>
          <w:p>
            <w:pPr>
              <w:spacing w:after="20" w:line="240"/>
            </w:pPr>
            <w:r>
              <w:rPr>
                <w:b w:val="false"/>
                <w:bCs w:val="false"/>
                <w:sz w:val="18"/>
                <w:szCs w:val="18"/>
              </w:rPr>
              <w:t xml:space="preserve">Écriture contraire liée à l'original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Exonération indue</w:t>
            </w:r>
          </w:p>
        </w:tc>
        <w:tc>
          <w:tcPr>
            <w:tcW w:type="dxa" w:w="2434"/>
            <w:tcMar>
              <w:top w:type="dxa" w:w="60"/>
              <w:left w:type="dxa" w:w="90"/>
              <w:bottom w:type="dxa" w:w="60"/>
              <w:right w:type="dxa" w:w="90"/>
            </w:tcMar>
          </w:tcPr>
          <w:p>
            <w:pPr>
              <w:spacing w:after="20" w:line="240"/>
            </w:pPr>
            <w:r>
              <w:rPr>
                <w:b w:val="false"/>
                <w:bCs w:val="false"/>
                <w:sz w:val="18"/>
                <w:szCs w:val="18"/>
              </w:rPr>
              <w:t xml:space="preserve">Registre des exonérations avec preuve et durée</w:t>
            </w:r>
          </w:p>
        </w:tc>
        <w:tc>
          <w:tcPr>
            <w:tcW w:type="dxa" w:w="2434"/>
            <w:tcMar>
              <w:top w:type="dxa" w:w="60"/>
              <w:left w:type="dxa" w:w="90"/>
              <w:bottom w:type="dxa" w:w="60"/>
              <w:right w:type="dxa" w:w="90"/>
            </w:tcMar>
          </w:tcPr>
          <w:p>
            <w:pPr>
              <w:spacing w:after="20" w:line="240"/>
            </w:pPr>
            <w:r>
              <w:rPr>
                <w:b w:val="false"/>
                <w:bCs w:val="false"/>
                <w:sz w:val="18"/>
                <w:szCs w:val="18"/>
              </w:rPr>
              <w:t xml:space="preserve">Revue périodique et alerte d'anomalie</w:t>
            </w:r>
          </w:p>
        </w:tc>
        <w:tc>
          <w:tcPr>
            <w:tcW w:type="dxa" w:w="2434"/>
            <w:tcMar>
              <w:top w:type="dxa" w:w="60"/>
              <w:left w:type="dxa" w:w="90"/>
              <w:bottom w:type="dxa" w:w="60"/>
              <w:right w:type="dxa" w:w="90"/>
            </w:tcMar>
          </w:tcPr>
          <w:p>
            <w:pPr>
              <w:spacing w:after="20" w:line="240"/>
            </w:pPr>
            <w:r>
              <w:rPr>
                <w:b w:val="false"/>
                <w:bCs w:val="false"/>
                <w:sz w:val="18"/>
                <w:szCs w:val="18"/>
              </w:rPr>
              <w:t xml:space="preserve">Dossier d'exonération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Doublon d'identité</w:t>
            </w:r>
          </w:p>
        </w:tc>
        <w:tc>
          <w:tcPr>
            <w:tcW w:type="dxa" w:w="2434"/>
            <w:tcMar>
              <w:top w:type="dxa" w:w="60"/>
              <w:left w:type="dxa" w:w="90"/>
              <w:bottom w:type="dxa" w:w="60"/>
              <w:right w:type="dxa" w:w="90"/>
            </w:tcMar>
          </w:tcPr>
          <w:p>
            <w:pPr>
              <w:spacing w:after="20" w:line="240"/>
            </w:pPr>
            <w:r>
              <w:rPr>
                <w:b w:val="false"/>
                <w:bCs w:val="false"/>
                <w:sz w:val="18"/>
                <w:szCs w:val="18"/>
              </w:rPr>
              <w:t xml:space="preserve">Anti-doublon à l'enrôlement</w:t>
            </w:r>
          </w:p>
        </w:tc>
        <w:tc>
          <w:tcPr>
            <w:tcW w:type="dxa" w:w="2434"/>
            <w:tcMar>
              <w:top w:type="dxa" w:w="60"/>
              <w:left w:type="dxa" w:w="90"/>
              <w:bottom w:type="dxa" w:w="60"/>
              <w:right w:type="dxa" w:w="90"/>
            </w:tcMar>
          </w:tcPr>
          <w:p>
            <w:pPr>
              <w:spacing w:after="20" w:line="240"/>
            </w:pPr>
            <w:r>
              <w:rPr>
                <w:b w:val="false"/>
                <w:bCs w:val="false"/>
                <w:sz w:val="18"/>
                <w:szCs w:val="18"/>
              </w:rPr>
              <w:t xml:space="preserve">Rapprochement contrôlé, jamais automatique</w:t>
            </w:r>
          </w:p>
        </w:tc>
        <w:tc>
          <w:tcPr>
            <w:tcW w:type="dxa" w:w="2434"/>
            <w:tcMar>
              <w:top w:type="dxa" w:w="60"/>
              <w:left w:type="dxa" w:w="90"/>
              <w:bottom w:type="dxa" w:w="60"/>
              <w:right w:type="dxa" w:w="90"/>
            </w:tcMar>
          </w:tcPr>
          <w:p>
            <w:pPr>
              <w:spacing w:after="20" w:line="240"/>
            </w:pPr>
            <w:r>
              <w:rPr>
                <w:b w:val="false"/>
                <w:bCs w:val="false"/>
                <w:sz w:val="18"/>
                <w:szCs w:val="18"/>
              </w:rPr>
              <w:t xml:space="preserve">Historique de fusion réversible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Collusion agent–contribuable</w:t>
            </w:r>
          </w:p>
        </w:tc>
        <w:tc>
          <w:tcPr>
            <w:tcW w:type="dxa" w:w="2434"/>
            <w:tcMar>
              <w:top w:type="dxa" w:w="60"/>
              <w:left w:type="dxa" w:w="90"/>
              <w:bottom w:type="dxa" w:w="60"/>
              <w:right w:type="dxa" w:w="90"/>
            </w:tcMar>
          </w:tcPr>
          <w:p>
            <w:pPr>
              <w:spacing w:after="20" w:line="240"/>
            </w:pPr>
            <w:r>
              <w:rPr>
                <w:b w:val="false"/>
                <w:bCs w:val="false"/>
                <w:sz w:val="18"/>
                <w:szCs w:val="18"/>
              </w:rPr>
              <w:t xml:space="preserve">Rotation des zones, séparation des rôles</w:t>
            </w:r>
          </w:p>
        </w:tc>
        <w:tc>
          <w:tcPr>
            <w:tcW w:type="dxa" w:w="2434"/>
            <w:tcMar>
              <w:top w:type="dxa" w:w="60"/>
              <w:left w:type="dxa" w:w="90"/>
              <w:bottom w:type="dxa" w:w="60"/>
              <w:right w:type="dxa" w:w="90"/>
            </w:tcMar>
          </w:tcPr>
          <w:p>
            <w:pPr>
              <w:spacing w:after="20" w:line="240"/>
            </w:pPr>
            <w:r>
              <w:rPr>
                <w:b w:val="false"/>
                <w:bCs w:val="false"/>
                <w:sz w:val="18"/>
                <w:szCs w:val="18"/>
              </w:rPr>
              <w:t xml:space="preserve">Analyse de proximité récurrente agent–objet</w:t>
            </w:r>
          </w:p>
        </w:tc>
        <w:tc>
          <w:tcPr>
            <w:tcW w:type="dxa" w:w="2434"/>
            <w:tcMar>
              <w:top w:type="dxa" w:w="60"/>
              <w:left w:type="dxa" w:w="90"/>
              <w:bottom w:type="dxa" w:w="60"/>
              <w:right w:type="dxa" w:w="90"/>
            </w:tcMar>
          </w:tcPr>
          <w:p>
            <w:pPr>
              <w:spacing w:after="20" w:line="240"/>
            </w:pPr>
            <w:r>
              <w:rPr>
                <w:b w:val="false"/>
                <w:bCs w:val="false"/>
                <w:sz w:val="18"/>
                <w:szCs w:val="18"/>
              </w:rPr>
              <w:t xml:space="preserve">Journal géolocalisé des interventions</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Faux constat hors zone</w:t>
            </w:r>
          </w:p>
        </w:tc>
        <w:tc>
          <w:tcPr>
            <w:tcW w:type="dxa" w:w="2434"/>
            <w:tcMar>
              <w:top w:type="dxa" w:w="60"/>
              <w:left w:type="dxa" w:w="90"/>
              <w:bottom w:type="dxa" w:w="60"/>
              <w:right w:type="dxa" w:w="90"/>
            </w:tcMar>
          </w:tcPr>
          <w:p>
            <w:pPr>
              <w:spacing w:after="20" w:line="240"/>
            </w:pPr>
            <w:r>
              <w:rPr>
                <w:b w:val="false"/>
                <w:bCs w:val="false"/>
                <w:sz w:val="18"/>
                <w:szCs w:val="18"/>
              </w:rPr>
              <w:t xml:space="preserve">Géorepérage et horodatage</w:t>
            </w:r>
          </w:p>
        </w:tc>
        <w:tc>
          <w:tcPr>
            <w:tcW w:type="dxa" w:w="2434"/>
            <w:tcMar>
              <w:top w:type="dxa" w:w="60"/>
              <w:left w:type="dxa" w:w="90"/>
              <w:bottom w:type="dxa" w:w="60"/>
              <w:right w:type="dxa" w:w="90"/>
            </w:tcMar>
          </w:tcPr>
          <w:p>
            <w:pPr>
              <w:spacing w:after="20" w:line="240"/>
            </w:pPr>
            <w:r>
              <w:rPr>
                <w:b w:val="false"/>
                <w:bCs w:val="false"/>
                <w:sz w:val="18"/>
                <w:szCs w:val="18"/>
              </w:rPr>
              <w:t xml:space="preserve">Alerte de distance anormale</w:t>
            </w:r>
          </w:p>
        </w:tc>
        <w:tc>
          <w:tcPr>
            <w:tcW w:type="dxa" w:w="2434"/>
            <w:tcMar>
              <w:top w:type="dxa" w:w="60"/>
              <w:left w:type="dxa" w:w="90"/>
              <w:bottom w:type="dxa" w:w="60"/>
              <w:right w:type="dxa" w:w="90"/>
            </w:tcMar>
          </w:tcPr>
          <w:p>
            <w:pPr>
              <w:spacing w:after="20" w:line="240"/>
            </w:pPr>
            <w:r>
              <w:rPr>
                <w:b w:val="false"/>
                <w:bCs w:val="false"/>
                <w:sz w:val="18"/>
                <w:szCs w:val="18"/>
              </w:rPr>
              <w:t xml:space="preserve">Photo, GPS, appareil, utilisateur</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Manipulation de rappel de paiement</w:t>
            </w:r>
          </w:p>
        </w:tc>
        <w:tc>
          <w:tcPr>
            <w:tcW w:type="dxa" w:w="2434"/>
            <w:tcMar>
              <w:top w:type="dxa" w:w="60"/>
              <w:left w:type="dxa" w:w="90"/>
              <w:bottom w:type="dxa" w:w="60"/>
              <w:right w:type="dxa" w:w="90"/>
            </w:tcMar>
          </w:tcPr>
          <w:p>
            <w:pPr>
              <w:spacing w:after="20" w:line="240"/>
            </w:pPr>
            <w:r>
              <w:rPr>
                <w:b w:val="false"/>
                <w:bCs w:val="false"/>
                <w:sz w:val="18"/>
                <w:szCs w:val="18"/>
              </w:rPr>
              <w:t xml:space="preserve">Signature et anti-rejeu</w:t>
            </w:r>
          </w:p>
        </w:tc>
        <w:tc>
          <w:tcPr>
            <w:tcW w:type="dxa" w:w="2434"/>
            <w:tcMar>
              <w:top w:type="dxa" w:w="60"/>
              <w:left w:type="dxa" w:w="90"/>
              <w:bottom w:type="dxa" w:w="60"/>
              <w:right w:type="dxa" w:w="90"/>
            </w:tcMar>
          </w:tcPr>
          <w:p>
            <w:pPr>
              <w:spacing w:after="20" w:line="240"/>
            </w:pPr>
            <w:r>
              <w:rPr>
                <w:b w:val="false"/>
                <w:bCs w:val="false"/>
                <w:sz w:val="18"/>
                <w:szCs w:val="18"/>
              </w:rPr>
              <w:t xml:space="preserve">Rejet et alerte</w:t>
            </w:r>
          </w:p>
        </w:tc>
        <w:tc>
          <w:tcPr>
            <w:tcW w:type="dxa" w:w="2434"/>
            <w:tcMar>
              <w:top w:type="dxa" w:w="60"/>
              <w:left w:type="dxa" w:w="90"/>
              <w:bottom w:type="dxa" w:w="60"/>
              <w:right w:type="dxa" w:w="90"/>
            </w:tcMar>
          </w:tcPr>
          <w:p>
            <w:pPr>
              <w:spacing w:after="20" w:line="240"/>
            </w:pPr>
            <w:r>
              <w:rPr>
                <w:b w:val="false"/>
                <w:bCs w:val="false"/>
                <w:sz w:val="18"/>
                <w:szCs w:val="18"/>
              </w:rPr>
              <w:t xml:space="preserve">Historique des appels d'API</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Effacement de trace</w:t>
            </w:r>
          </w:p>
        </w:tc>
        <w:tc>
          <w:tcPr>
            <w:tcW w:type="dxa" w:w="2434"/>
            <w:tcMar>
              <w:top w:type="dxa" w:w="60"/>
              <w:left w:type="dxa" w:w="90"/>
              <w:bottom w:type="dxa" w:w="60"/>
              <w:right w:type="dxa" w:w="90"/>
            </w:tcMar>
          </w:tcPr>
          <w:p>
            <w:pPr>
              <w:spacing w:after="20" w:line="240"/>
            </w:pPr>
            <w:r>
              <w:rPr>
                <w:b w:val="false"/>
                <w:bCs w:val="false"/>
                <w:sz w:val="18"/>
                <w:szCs w:val="18"/>
              </w:rPr>
              <w:t xml:space="preserve">Stockage en écriture unique, sauvegarde indépendante</w:t>
            </w:r>
          </w:p>
        </w:tc>
        <w:tc>
          <w:tcPr>
            <w:tcW w:type="dxa" w:w="2434"/>
            <w:tcMar>
              <w:top w:type="dxa" w:w="60"/>
              <w:left w:type="dxa" w:w="90"/>
              <w:bottom w:type="dxa" w:w="60"/>
              <w:right w:type="dxa" w:w="90"/>
            </w:tcMar>
          </w:tcPr>
          <w:p>
            <w:pPr>
              <w:spacing w:after="20" w:line="240"/>
            </w:pPr>
            <w:r>
              <w:rPr>
                <w:b w:val="false"/>
                <w:bCs w:val="false"/>
                <w:sz w:val="18"/>
                <w:szCs w:val="18"/>
              </w:rPr>
              <w:t xml:space="preserve">Contrôle d'intégrité par empreinte cryptographique</w:t>
            </w:r>
          </w:p>
        </w:tc>
        <w:tc>
          <w:tcPr>
            <w:tcW w:type="dxa" w:w="2434"/>
            <w:tcMar>
              <w:top w:type="dxa" w:w="60"/>
              <w:left w:type="dxa" w:w="90"/>
              <w:bottom w:type="dxa" w:w="60"/>
              <w:right w:type="dxa" w:w="90"/>
            </w:tcMar>
          </w:tcPr>
          <w:p>
            <w:pPr>
              <w:spacing w:after="20" w:line="240"/>
            </w:pPr>
            <w:r>
              <w:rPr>
                <w:b w:val="false"/>
                <w:bCs w:val="false"/>
                <w:sz w:val="18"/>
                <w:szCs w:val="18"/>
              </w:rPr>
              <w:t xml:space="preserve">Copie d'audit hors périmètre d'exploitation</w:t>
            </w:r>
          </w:p>
        </w:tc>
      </w:tr>
    </w:tbl>
    <w:p>
      <w:pPr>
        <w:pStyle w:val="Heading2"/>
        <w:spacing w:after="120" w:before="260"/>
      </w:pPr>
      <w:r>
        <w:t xml:space="preserve">26.1 Socle technique d'intégrité</w:t>
      </w:r>
    </w:p>
    <w:p>
      <w:pPr>
        <w:spacing w:after="120" w:line="276"/>
        <w:jc w:val="both"/>
      </w:pPr>
      <w:r>
        <w:rPr>
          <w:b w:val="false"/>
          <w:bCs w:val="false"/>
          <w:i w:val="false"/>
          <w:iCs w:val="false"/>
          <w:sz w:val="21"/>
          <w:szCs w:val="21"/>
        </w:rPr>
        <w:t xml:space="preserve">Historique d'événements immuable ; empreintes cryptographiques chaînées ; signatures électroniques ; horodatage de confiance ; registre financier en ajout seul ; comptabilité en partie double ; stockage d'audit en écriture unique ; sauvegarde indépendante des preuves ; double validation ; plafonds ; verrouillage des bénéficiaires ; détection d'anomalies ; empreinte d'appareil ; géorepérage ; contrôle de plausibilité GPS ; intégrité des photographies et documents ; surveillance des accès privilégiés ; prévention de la fuite de données ; accès indépendant de l'auditeur.</w:t>
      </w:r>
    </w:p>
    <w:p>
      <w:pPr>
        <w:pStyle w:val="Heading1"/>
        <w:spacing w:after="160" w:before="360"/>
      </w:pPr>
      <w:r>
        <w:t xml:space="preserve">27. Tableaux de bord</w:t>
      </w:r>
    </w:p>
    <w:p>
      <w:pPr>
        <w:pStyle w:val="Heading2"/>
        <w:spacing w:after="120" w:before="260"/>
      </w:pPr>
      <w:r>
        <w:t xml:space="preserve">27.1 Tableau de bord du Gouverneur</w:t>
      </w:r>
    </w:p>
    <w:p>
      <w:pPr>
        <w:spacing w:after="120" w:line="276"/>
        <w:jc w:val="both"/>
      </w:pPr>
      <w:r>
        <w:rPr>
          <w:b w:val="false"/>
          <w:bCs w:val="false"/>
          <w:i w:val="false"/>
          <w:iCs w:val="false"/>
          <w:sz w:val="21"/>
          <w:szCs w:val="21"/>
        </w:rPr>
        <w:t xml:space="preserve">Une distinction structure l'ensemble des écrans : potentiel estimé ; recette constatée ; recette échue ; paiement initié ; paiement confirmé ; somme réglée en compte public ; recette rapprochée ; disponible pour affectation budgétaire. Confondre ces états est la première source d'illusion budgétaire.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4306"/>
        <w:gridCol w:w="2808"/>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Bloc</w:t>
            </w:r>
          </w:p>
        </w:tc>
        <w:tc>
          <w:tcPr>
            <w:tcW w:type="dxa" w:w="4306"/>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Action possible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Encaissement du jour</w:t>
            </w:r>
          </w:p>
        </w:tc>
        <w:tc>
          <w:tcPr>
            <w:tcW w:type="dxa" w:w="4306"/>
            <w:tcMar>
              <w:top w:type="dxa" w:w="60"/>
              <w:left w:type="dxa" w:w="90"/>
              <w:bottom w:type="dxa" w:w="60"/>
              <w:right w:type="dxa" w:w="90"/>
            </w:tcMar>
          </w:tcPr>
          <w:p>
            <w:pPr>
              <w:spacing w:after="20" w:line="240"/>
            </w:pPr>
            <w:r>
              <w:rPr>
                <w:b w:val="false"/>
                <w:bCs w:val="false"/>
                <w:sz w:val="18"/>
                <w:szCs w:val="18"/>
              </w:rPr>
              <w:t xml:space="preserve">Initié, confirmé, réglé, rapproché</w:t>
            </w:r>
          </w:p>
        </w:tc>
        <w:tc>
          <w:tcPr>
            <w:tcW w:type="dxa" w:w="2808"/>
            <w:tcMar>
              <w:top w:type="dxa" w:w="60"/>
              <w:left w:type="dxa" w:w="90"/>
              <w:bottom w:type="dxa" w:w="60"/>
              <w:right w:type="dxa" w:w="90"/>
            </w:tcMar>
          </w:tcPr>
          <w:p>
            <w:pPr>
              <w:spacing w:after="20" w:line="240"/>
            </w:pPr>
            <w:r>
              <w:rPr>
                <w:b w:val="false"/>
                <w:bCs w:val="false"/>
                <w:sz w:val="18"/>
                <w:szCs w:val="18"/>
              </w:rPr>
              <w:t xml:space="preserve">Ouvrir les exceptions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Par commune</w:t>
            </w:r>
          </w:p>
        </w:tc>
        <w:tc>
          <w:tcPr>
            <w:tcW w:type="dxa" w:w="4306"/>
            <w:tcMar>
              <w:top w:type="dxa" w:w="60"/>
              <w:left w:type="dxa" w:w="90"/>
              <w:bottom w:type="dxa" w:w="60"/>
              <w:right w:type="dxa" w:w="90"/>
            </w:tcMar>
          </w:tcPr>
          <w:p>
            <w:pPr>
              <w:spacing w:after="20" w:line="240"/>
            </w:pPr>
            <w:r>
              <w:rPr>
                <w:b w:val="false"/>
                <w:bCs w:val="false"/>
                <w:sz w:val="18"/>
                <w:szCs w:val="18"/>
              </w:rPr>
              <w:t xml:space="preserve">Carte de chaleur, écart à l'assignation, couverture du recensement</w:t>
            </w:r>
          </w:p>
        </w:tc>
        <w:tc>
          <w:tcPr>
            <w:tcW w:type="dxa" w:w="2808"/>
            <w:tcMar>
              <w:top w:type="dxa" w:w="60"/>
              <w:left w:type="dxa" w:w="90"/>
              <w:bottom w:type="dxa" w:w="60"/>
              <w:right w:type="dxa" w:w="90"/>
            </w:tcMar>
          </w:tcPr>
          <w:p>
            <w:pPr>
              <w:spacing w:after="20" w:line="240"/>
            </w:pPr>
            <w:r>
              <w:rPr>
                <w:b w:val="false"/>
                <w:bCs w:val="false"/>
                <w:sz w:val="18"/>
                <w:szCs w:val="18"/>
              </w:rPr>
              <w:t xml:space="preserve">Interpeller un responsable de centre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Par catégorie de recette</w:t>
            </w:r>
          </w:p>
        </w:tc>
        <w:tc>
          <w:tcPr>
            <w:tcW w:type="dxa" w:w="4306"/>
            <w:tcMar>
              <w:top w:type="dxa" w:w="60"/>
              <w:left w:type="dxa" w:w="90"/>
              <w:bottom w:type="dxa" w:w="60"/>
              <w:right w:type="dxa" w:w="90"/>
            </w:tcMar>
          </w:tcPr>
          <w:p>
            <w:pPr>
              <w:spacing w:after="20" w:line="240"/>
            </w:pPr>
            <w:r>
              <w:rPr>
                <w:b w:val="false"/>
                <w:bCs w:val="false"/>
                <w:sz w:val="18"/>
                <w:szCs w:val="18"/>
              </w:rPr>
              <w:t xml:space="preserve">IF, IRL, véhicules, patente, publicité, domaine public</w:t>
            </w:r>
          </w:p>
        </w:tc>
        <w:tc>
          <w:tcPr>
            <w:tcW w:type="dxa" w:w="2808"/>
            <w:tcMar>
              <w:top w:type="dxa" w:w="60"/>
              <w:left w:type="dxa" w:w="90"/>
              <w:bottom w:type="dxa" w:w="60"/>
              <w:right w:type="dxa" w:w="90"/>
            </w:tcMar>
          </w:tcPr>
          <w:p>
            <w:pPr>
              <w:spacing w:after="20" w:line="240"/>
            </w:pPr>
            <w:r>
              <w:rPr>
                <w:b w:val="false"/>
                <w:bCs w:val="false"/>
                <w:sz w:val="18"/>
                <w:szCs w:val="18"/>
              </w:rPr>
              <w:t xml:space="preserve">Comparer au potentiel estimé</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Par régie et par ministère</w:t>
            </w:r>
          </w:p>
        </w:tc>
        <w:tc>
          <w:tcPr>
            <w:tcW w:type="dxa" w:w="4306"/>
            <w:tcMar>
              <w:top w:type="dxa" w:w="60"/>
              <w:left w:type="dxa" w:w="90"/>
              <w:bottom w:type="dxa" w:w="60"/>
              <w:right w:type="dxa" w:w="90"/>
            </w:tcMar>
          </w:tcPr>
          <w:p>
            <w:pPr>
              <w:spacing w:after="20" w:line="240"/>
            </w:pPr>
            <w:r>
              <w:rPr>
                <w:b w:val="false"/>
                <w:bCs w:val="false"/>
                <w:sz w:val="18"/>
                <w:szCs w:val="18"/>
              </w:rPr>
              <w:t xml:space="preserve">Performance, délais, contentieux</w:t>
            </w:r>
          </w:p>
        </w:tc>
        <w:tc>
          <w:tcPr>
            <w:tcW w:type="dxa" w:w="2808"/>
            <w:tcMar>
              <w:top w:type="dxa" w:w="60"/>
              <w:left w:type="dxa" w:w="90"/>
              <w:bottom w:type="dxa" w:w="60"/>
              <w:right w:type="dxa" w:w="90"/>
            </w:tcMar>
          </w:tcPr>
          <w:p>
            <w:pPr>
              <w:spacing w:after="20" w:line="240"/>
            </w:pPr>
            <w:r>
              <w:rPr>
                <w:b w:val="false"/>
                <w:bCs w:val="false"/>
                <w:sz w:val="18"/>
                <w:szCs w:val="18"/>
              </w:rPr>
              <w:t xml:space="preserve">Demander un plan d'action</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Couverture locative</w:t>
            </w:r>
          </w:p>
        </w:tc>
        <w:tc>
          <w:tcPr>
            <w:tcW w:type="dxa" w:w="4306"/>
            <w:tcMar>
              <w:top w:type="dxa" w:w="60"/>
              <w:left w:type="dxa" w:w="90"/>
              <w:bottom w:type="dxa" w:w="60"/>
              <w:right w:type="dxa" w:w="90"/>
            </w:tcMar>
          </w:tcPr>
          <w:p>
            <w:pPr>
              <w:spacing w:after="20" w:line="240"/>
            </w:pPr>
            <w:r>
              <w:rPr>
                <w:b w:val="false"/>
                <w:bCs w:val="false"/>
                <w:sz w:val="18"/>
                <w:szCs w:val="18"/>
              </w:rPr>
              <w:t xml:space="preserve">Unités recensées, baux enregistrés, taux de conformité</w:t>
            </w:r>
          </w:p>
        </w:tc>
        <w:tc>
          <w:tcPr>
            <w:tcW w:type="dxa" w:w="2808"/>
            <w:tcMar>
              <w:top w:type="dxa" w:w="60"/>
              <w:left w:type="dxa" w:w="90"/>
              <w:bottom w:type="dxa" w:w="60"/>
              <w:right w:type="dxa" w:w="90"/>
            </w:tcMar>
          </w:tcPr>
          <w:p>
            <w:pPr>
              <w:spacing w:after="20" w:line="240"/>
            </w:pPr>
            <w:r>
              <w:rPr>
                <w:b w:val="false"/>
                <w:bCs w:val="false"/>
                <w:sz w:val="18"/>
                <w:szCs w:val="18"/>
              </w:rPr>
              <w:t xml:space="preserve">Lancer une campagne ciblée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Risque et fraude</w:t>
            </w:r>
          </w:p>
        </w:tc>
        <w:tc>
          <w:tcPr>
            <w:tcW w:type="dxa" w:w="4306"/>
            <w:tcMar>
              <w:top w:type="dxa" w:w="60"/>
              <w:left w:type="dxa" w:w="90"/>
              <w:bottom w:type="dxa" w:w="60"/>
              <w:right w:type="dxa" w:w="90"/>
            </w:tcMar>
          </w:tcPr>
          <w:p>
            <w:pPr>
              <w:spacing w:after="20" w:line="240"/>
            </w:pPr>
            <w:r>
              <w:rPr>
                <w:b w:val="false"/>
                <w:bCs w:val="false"/>
                <w:sz w:val="18"/>
                <w:szCs w:val="18"/>
              </w:rPr>
              <w:t xml:space="preserve">Alertes ouvertes, anomalies, délais d'instruction</w:t>
            </w:r>
          </w:p>
        </w:tc>
        <w:tc>
          <w:tcPr>
            <w:tcW w:type="dxa" w:w="2808"/>
            <w:tcMar>
              <w:top w:type="dxa" w:w="60"/>
              <w:left w:type="dxa" w:w="90"/>
              <w:bottom w:type="dxa" w:w="60"/>
              <w:right w:type="dxa" w:w="90"/>
            </w:tcMar>
          </w:tcPr>
          <w:p>
            <w:pPr>
              <w:spacing w:after="20" w:line="240"/>
            </w:pPr>
            <w:r>
              <w:rPr>
                <w:b w:val="false"/>
                <w:bCs w:val="false"/>
                <w:sz w:val="18"/>
                <w:szCs w:val="18"/>
              </w:rPr>
              <w:t xml:space="preserve">Saisir l'audit ou l'inspection</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Prévision</w:t>
            </w:r>
          </w:p>
        </w:tc>
        <w:tc>
          <w:tcPr>
            <w:tcW w:type="dxa" w:w="4306"/>
            <w:tcMar>
              <w:top w:type="dxa" w:w="60"/>
              <w:left w:type="dxa" w:w="90"/>
              <w:bottom w:type="dxa" w:w="60"/>
              <w:right w:type="dxa" w:w="90"/>
            </w:tcMar>
          </w:tcPr>
          <w:p>
            <w:pPr>
              <w:spacing w:after="20" w:line="240"/>
            </w:pPr>
            <w:r>
              <w:rPr>
                <w:b w:val="false"/>
                <w:bCs w:val="false"/>
                <w:sz w:val="18"/>
                <w:szCs w:val="18"/>
              </w:rPr>
              <w:t xml:space="preserve">Scénarios et hypothèses</w:t>
            </w:r>
          </w:p>
        </w:tc>
        <w:tc>
          <w:tcPr>
            <w:tcW w:type="dxa" w:w="2808"/>
            <w:tcMar>
              <w:top w:type="dxa" w:w="60"/>
              <w:left w:type="dxa" w:w="90"/>
              <w:bottom w:type="dxa" w:w="60"/>
              <w:right w:type="dxa" w:w="90"/>
            </w:tcMar>
          </w:tcPr>
          <w:p>
            <w:pPr>
              <w:spacing w:after="20" w:line="240"/>
            </w:pPr>
            <w:r>
              <w:rPr>
                <w:b w:val="false"/>
                <w:bCs w:val="false"/>
                <w:sz w:val="18"/>
                <w:szCs w:val="18"/>
              </w:rPr>
              <w:t xml:space="preserve">Arbitrer les assignations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Capacité d'affectation</w:t>
            </w:r>
          </w:p>
        </w:tc>
        <w:tc>
          <w:tcPr>
            <w:tcW w:type="dxa" w:w="4306"/>
            <w:tcMar>
              <w:top w:type="dxa" w:w="60"/>
              <w:left w:type="dxa" w:w="90"/>
              <w:bottom w:type="dxa" w:w="60"/>
              <w:right w:type="dxa" w:w="90"/>
            </w:tcMar>
          </w:tcPr>
          <w:p>
            <w:pPr>
              <w:spacing w:after="20" w:line="240"/>
            </w:pPr>
            <w:r>
              <w:rPr>
                <w:b w:val="false"/>
                <w:bCs w:val="false"/>
                <w:sz w:val="18"/>
                <w:szCs w:val="18"/>
              </w:rPr>
              <w:t xml:space="preserve">Fonds rapprochés et disponibles selon le budget voté</w:t>
            </w:r>
          </w:p>
        </w:tc>
        <w:tc>
          <w:tcPr>
            <w:tcW w:type="dxa" w:w="2808"/>
            <w:tcMar>
              <w:top w:type="dxa" w:w="60"/>
              <w:left w:type="dxa" w:w="90"/>
              <w:bottom w:type="dxa" w:w="60"/>
              <w:right w:type="dxa" w:w="90"/>
            </w:tcMar>
          </w:tcPr>
          <w:p>
            <w:pPr>
              <w:spacing w:after="20" w:line="240"/>
            </w:pPr>
            <w:r>
              <w:rPr>
                <w:b w:val="false"/>
                <w:bCs w:val="false"/>
                <w:sz w:val="18"/>
                <w:szCs w:val="18"/>
              </w:rPr>
              <w:t xml:space="preserve">Ouvrir le module d'affectation</w:t>
            </w:r>
          </w:p>
        </w:tc>
      </w:tr>
    </w:tbl>
    <w:p>
      <w:pPr>
        <w:pStyle w:val="Heading2"/>
        <w:spacing w:after="120" w:before="260"/>
      </w:pPr>
      <w:r>
        <w:t xml:space="preserve">27.2 Autres tableaux de bord</w:t>
      </w:r>
    </w:p>
    <w:p>
      <w:pPr>
        <w:spacing w:after="120" w:line="276"/>
        <w:jc w:val="both"/>
      </w:pPr>
      <w:r>
        <w:rPr>
          <w:b w:val="false"/>
          <w:bCs w:val="false"/>
          <w:i w:val="false"/>
          <w:iCs w:val="false"/>
          <w:sz w:val="21"/>
          <w:szCs w:val="21"/>
        </w:rPr>
        <w:t xml:space="preserve">Directeur de cabinet : coordination et suivi des instructions. Secrétaire du Gouvernement : décisions et mise en œuvre. Ministre : périmètre légal propre. Directeurs de régie : assiette, recouvrement, contentieux, performance des agents. Trésorerie : encaissements, écarts, files d'exception. Juristes : état du référentiel, règles expirant, conflits. Superviseurs : charge, productivité, qualité. Auditeurs : pistes, échantillons, extractions. Enquêteurs : dossiers et liens. Agents : missions et résultats. Contribuables : situation personnelle. Administrateurs : santé technique. Public : recettes agrégées et réalisations, sans aucune donnée personnelle.</w:t>
      </w:r>
    </w:p>
    <w:p>
      <w:pPr>
        <w:pStyle w:val="Heading1"/>
        <w:spacing w:after="160" w:before="360"/>
      </w:pPr>
      <w:r>
        <w:t xml:space="preserve">28. Affectation des recettes et planification de l'investissement public</w:t>
      </w:r>
    </w:p>
    <w:p>
      <w:pPr>
        <w:spacing w:after="120" w:line="276"/>
        <w:jc w:val="both"/>
      </w:pPr>
      <w:r>
        <w:rPr>
          <w:b w:val="false"/>
          <w:bCs w:val="false"/>
          <w:i w:val="false"/>
          <w:iCs w:val="false"/>
          <w:sz w:val="21"/>
          <w:szCs w:val="21"/>
        </w:rPr>
        <w:t xml:space="preserve">Le module sépare rigoureusement la collecte, la comptabilisation, la répartition légale, la gestion de trésorerie, l'ouverture de crédits budgétaires, l'autorisation de dépense, la planification d'investissement et la dépense effective. Aucune recette ne peut être répartie discrétionnairement entre le Gouvernement provincial, les ministères, les régies, les agents, les administrateurs ou un partenaire privé.</w:t>
      </w:r>
    </w:p>
    <w:p>
      <w:pPr>
        <w:pStyle w:val="Heading2"/>
        <w:spacing w:after="120" w:before="260"/>
      </w:pPr>
      <w:r>
        <w:t xml:space="preserve">28.1 Règles d'affectation</w:t>
      </w:r>
    </w:p>
    <w:p>
      <w:pPr>
        <w:pStyle w:val="ListItem"/>
        <w:numPr>
          <w:ilvl w:val="0"/>
          <w:numId w:val="1"/>
        </w:numPr>
        <w:spacing w:after="60" w:line="264"/>
      </w:pPr>
      <w:r>
        <w:t xml:space="preserve">Toute affectation suit la loi applicable, le budget provincial voté, les règles de trésorerie et la comptabilité publique.</w:t>
      </w:r>
    </w:p>
    <w:p>
      <w:pPr>
        <w:pStyle w:val="ListItem"/>
        <w:numPr>
          <w:ilvl w:val="0"/>
          <w:numId w:val="1"/>
        </w:numPr>
        <w:spacing w:after="60" w:line="264"/>
      </w:pPr>
      <w:r>
        <w:t xml:space="preserve">Les clés de répartition légales entre province et entités territoriales décentralisées sont paramétrées et versionnées.</w:t>
      </w:r>
    </w:p>
    <w:p>
      <w:pPr>
        <w:pStyle w:val="ListItem"/>
        <w:numPr>
          <w:ilvl w:val="0"/>
          <w:numId w:val="1"/>
        </w:numPr>
        <w:spacing w:after="60" w:line="264"/>
      </w:pPr>
      <w:r>
        <w:t xml:space="preserve">Les incitations de performance éventuellement autorisées comportent : base légale, formule approuvée, conditions, plafond, contrôle anti-optimisation, traitement fiscal, circuit d'approbation et comptabilisation.</w:t>
      </w:r>
    </w:p>
    <w:p>
      <w:pPr>
        <w:pStyle w:val="ListItem"/>
        <w:numPr>
          <w:ilvl w:val="0"/>
          <w:numId w:val="1"/>
        </w:numPr>
        <w:spacing w:after="60" w:line="264"/>
      </w:pPr>
      <w:r>
        <w:t xml:space="preserve">L'administrateur de la plateforme ne perçoit aucune part automatique de recette publique du fait qu'il administre le système.</w:t>
      </w:r>
    </w:p>
    <w:p>
      <w:pPr>
        <w:pStyle w:val="Heading2"/>
        <w:spacing w:after="120" w:before="260"/>
      </w:pPr>
      <w:r>
        <w:t xml:space="preserve">28.2 Recommandation d'emploi des fonds</w:t>
      </w:r>
    </w:p>
    <w:p>
      <w:pPr>
        <w:spacing w:after="120" w:line="276"/>
        <w:jc w:val="both"/>
      </w:pPr>
      <w:r>
        <w:rPr>
          <w:b w:val="false"/>
          <w:bCs w:val="false"/>
          <w:i w:val="false"/>
          <w:iCs w:val="false"/>
          <w:sz w:val="21"/>
          <w:szCs w:val="21"/>
        </w:rPr>
        <w:t xml:space="preserve">Le module présente à l'autorité ce que les fonds rapprochés permettraient de financer : voirie, drainage, assainissement, gestion des déchets, éclairage public, transport, modernisation des marchés, écoles, centres de santé, services numériques, protection contre les inondations, programmes d'emploi, sécurité publique. Chaque scénario indique : montant disponible, source légale des fonds, affectation proposée, bénéficiaires, impact géographique, résultat attendu, maturité du projet, coût récurrent, exigence de passation de marché, risques et autorité d'approbation.</w:t>
      </w:r>
    </w:p>
    <w:p>
      <w:pPr>
        <w:pBdr>
          <w:left w:val="single" w:color="1BA996" w:sz="18" w:space="8"/>
        </w:pBdr>
        <w:spacing w:after="160" w:before="120" w:line="264"/>
        <w:ind w:left="180"/>
      </w:pPr>
      <w:r>
        <w:rPr>
          <w:b/>
          <w:bCs/>
          <w:color w:val="10262C"/>
          <w:sz w:val="20"/>
          <w:szCs w:val="20"/>
        </w:rPr>
        <w:t xml:space="preserve">Limite de l'IA d'affectation. </w:t>
      </w:r>
      <w:r>
        <w:rPr>
          <w:sz w:val="20"/>
          <w:szCs w:val="20"/>
        </w:rPr>
        <w:t xml:space="preserve">L'agent d'affectation propose des scénarios classés ; il n'approuve aucune dépense et ne déplace aucun franc. La décision appartient aux autorités budgétaires, selon les procédures publiques.</w:t>
      </w:r>
    </w:p>
    <w:p>
      <w:pPr>
        <w:pStyle w:val="Heading2"/>
        <w:spacing w:after="120" w:before="260"/>
      </w:pPr>
      <w:r>
        <w:t xml:space="preserve">28.3 Transparence</w:t>
      </w:r>
    </w:p>
    <w:p>
      <w:pPr>
        <w:spacing w:after="120" w:line="276"/>
        <w:jc w:val="both"/>
      </w:pPr>
      <w:r>
        <w:rPr>
          <w:b w:val="false"/>
          <w:bCs w:val="false"/>
          <w:i w:val="false"/>
          <w:iCs w:val="false"/>
          <w:sz w:val="21"/>
          <w:szCs w:val="21"/>
        </w:rPr>
        <w:t xml:space="preserve">Un tableau public présente, par commune, les recettes agrégées et les réalisations financées, sans aucune donnée individuelle. Le lien visible entre impôt payé et service rendu est le principal levier durable de civisme fiscal.</w:t>
      </w:r>
    </w:p>
    <w:p>
      <w:pPr>
        <w:pStyle w:val="Heading1"/>
        <w:spacing w:after="160" w:before="360"/>
      </w:pPr>
      <w:r>
        <w:t xml:space="preserve">29. Architecture technique</w:t>
      </w:r>
    </w:p>
    <w:p>
      <w:pPr>
        <w:pStyle w:val="Heading2"/>
        <w:spacing w:after="120" w:before="260"/>
      </w:pPr>
      <w:r>
        <w:t xml:space="preserve">29.1 Recommandation d'architecture</w:t>
      </w:r>
    </w:p>
    <w:p>
      <w:pPr>
        <w:spacing w:after="120" w:line="276"/>
        <w:jc w:val="both"/>
      </w:pPr>
      <w:r>
        <w:rPr>
          <w:b w:val="false"/>
          <w:bCs w:val="false"/>
          <w:i w:val="false"/>
          <w:iCs w:val="false"/>
          <w:sz w:val="21"/>
          <w:szCs w:val="21"/>
        </w:rPr>
        <w:t xml:space="preserve">La recommandation est un monolithe modulaire orienté domaines, avec deux exceptions événementielles : le domaine des paiements et le journal d'audit, traités en flux d'événements avec séparation lecture-écriture et sourcing d'événements. Ce choix est dicté par le contexte : connectivité irrégulière, équipes d'exploitation à construire, exigence de preuve inaltérable, budget contrôlé et nécessité de livrer un pilote en moins de six mois.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2434"/>
        <w:gridCol w:w="2995"/>
        <w:gridCol w:w="1872"/>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Option</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Avantage</w:t>
            </w:r>
          </w:p>
        </w:tc>
        <w:tc>
          <w:tcPr>
            <w:tcW w:type="dxa" w:w="2995"/>
            <w:shd w:fill="E6F4F1" w:color="auto" w:val="clear"/>
            <w:tcMar>
              <w:top w:type="dxa" w:w="60"/>
              <w:left w:type="dxa" w:w="90"/>
              <w:bottom w:type="dxa" w:w="60"/>
              <w:right w:type="dxa" w:w="90"/>
            </w:tcMar>
          </w:tcPr>
          <w:p>
            <w:pPr>
              <w:spacing w:after="20" w:line="240"/>
            </w:pPr>
            <w:r>
              <w:rPr>
                <w:b/>
                <w:bCs/>
                <w:sz w:val="18"/>
                <w:szCs w:val="18"/>
              </w:rPr>
              <w:t xml:space="preserve">Risque à Kinshasa</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Décision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Monolithe modulaire</w:t>
            </w:r>
          </w:p>
        </w:tc>
        <w:tc>
          <w:tcPr>
            <w:tcW w:type="dxa" w:w="2434"/>
            <w:tcMar>
              <w:top w:type="dxa" w:w="60"/>
              <w:left w:type="dxa" w:w="90"/>
              <w:bottom w:type="dxa" w:w="60"/>
              <w:right w:type="dxa" w:w="90"/>
            </w:tcMar>
          </w:tcPr>
          <w:p>
            <w:pPr>
              <w:spacing w:after="20" w:line="240"/>
            </w:pPr>
            <w:r>
              <w:rPr>
                <w:b w:val="false"/>
                <w:bCs w:val="false"/>
                <w:sz w:val="18"/>
                <w:szCs w:val="18"/>
              </w:rPr>
              <w:t xml:space="preserve">Livraison rapide, exploitation simple, coût maîtrisé</w:t>
            </w:r>
          </w:p>
        </w:tc>
        <w:tc>
          <w:tcPr>
            <w:tcW w:type="dxa" w:w="2995"/>
            <w:tcMar>
              <w:top w:type="dxa" w:w="60"/>
              <w:left w:type="dxa" w:w="90"/>
              <w:bottom w:type="dxa" w:w="60"/>
              <w:right w:type="dxa" w:w="90"/>
            </w:tcMar>
          </w:tcPr>
          <w:p>
            <w:pPr>
              <w:spacing w:after="20" w:line="240"/>
            </w:pPr>
            <w:r>
              <w:rPr>
                <w:b w:val="false"/>
                <w:bCs w:val="false"/>
                <w:sz w:val="18"/>
                <w:szCs w:val="18"/>
              </w:rPr>
              <w:t xml:space="preserve">Couplage si la discipline de modules n'est pas tenue</w:t>
            </w:r>
          </w:p>
        </w:tc>
        <w:tc>
          <w:tcPr>
            <w:tcW w:type="dxa" w:w="1872"/>
            <w:tcMar>
              <w:top w:type="dxa" w:w="60"/>
              <w:left w:type="dxa" w:w="90"/>
              <w:bottom w:type="dxa" w:w="60"/>
              <w:right w:type="dxa" w:w="90"/>
            </w:tcMar>
          </w:tcPr>
          <w:p>
            <w:pPr>
              <w:spacing w:after="20" w:line="240"/>
            </w:pPr>
            <w:r>
              <w:rPr>
                <w:b w:val="false"/>
                <w:bCs w:val="false"/>
                <w:sz w:val="18"/>
                <w:szCs w:val="18"/>
              </w:rPr>
              <w:t xml:space="preserve">Retenu pour le socle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Microservices complets</w:t>
            </w:r>
          </w:p>
        </w:tc>
        <w:tc>
          <w:tcPr>
            <w:tcW w:type="dxa" w:w="2434"/>
            <w:tcMar>
              <w:top w:type="dxa" w:w="60"/>
              <w:left w:type="dxa" w:w="90"/>
              <w:bottom w:type="dxa" w:w="60"/>
              <w:right w:type="dxa" w:w="90"/>
            </w:tcMar>
          </w:tcPr>
          <w:p>
            <w:pPr>
              <w:spacing w:after="20" w:line="240"/>
            </w:pPr>
            <w:r>
              <w:rPr>
                <w:b w:val="false"/>
                <w:bCs w:val="false"/>
                <w:sz w:val="18"/>
                <w:szCs w:val="18"/>
              </w:rPr>
              <w:t xml:space="preserve">Découplage fort</w:t>
            </w:r>
          </w:p>
        </w:tc>
        <w:tc>
          <w:tcPr>
            <w:tcW w:type="dxa" w:w="2995"/>
            <w:tcMar>
              <w:top w:type="dxa" w:w="60"/>
              <w:left w:type="dxa" w:w="90"/>
              <w:bottom w:type="dxa" w:w="60"/>
              <w:right w:type="dxa" w:w="90"/>
            </w:tcMar>
          </w:tcPr>
          <w:p>
            <w:pPr>
              <w:spacing w:after="20" w:line="240"/>
            </w:pPr>
            <w:r>
              <w:rPr>
                <w:b w:val="false"/>
                <w:bCs w:val="false"/>
                <w:sz w:val="18"/>
                <w:szCs w:val="18"/>
              </w:rPr>
              <w:t xml:space="preserve">Complexité d'exploitation disproportionnée, coût réseau, risque de panne systémique</w:t>
            </w:r>
          </w:p>
        </w:tc>
        <w:tc>
          <w:tcPr>
            <w:tcW w:type="dxa" w:w="1872"/>
            <w:tcMar>
              <w:top w:type="dxa" w:w="60"/>
              <w:left w:type="dxa" w:w="90"/>
              <w:bottom w:type="dxa" w:w="60"/>
              <w:right w:type="dxa" w:w="90"/>
            </w:tcMar>
          </w:tcPr>
          <w:p>
            <w:pPr>
              <w:spacing w:after="20" w:line="240"/>
            </w:pPr>
            <w:r>
              <w:rPr>
                <w:b w:val="false"/>
                <w:bCs w:val="false"/>
                <w:sz w:val="18"/>
                <w:szCs w:val="18"/>
              </w:rPr>
              <w:t xml:space="preserve">Écarté au démarrage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Événementiel + CQRS</w:t>
            </w:r>
          </w:p>
        </w:tc>
        <w:tc>
          <w:tcPr>
            <w:tcW w:type="dxa" w:w="2434"/>
            <w:tcMar>
              <w:top w:type="dxa" w:w="60"/>
              <w:left w:type="dxa" w:w="90"/>
              <w:bottom w:type="dxa" w:w="60"/>
              <w:right w:type="dxa" w:w="90"/>
            </w:tcMar>
          </w:tcPr>
          <w:p>
            <w:pPr>
              <w:spacing w:after="20" w:line="240"/>
            </w:pPr>
            <w:r>
              <w:rPr>
                <w:b w:val="false"/>
                <w:bCs w:val="false"/>
                <w:sz w:val="18"/>
                <w:szCs w:val="18"/>
              </w:rPr>
              <w:t xml:space="preserve">Traçabilité, pics de paiement, rapprochement</w:t>
            </w:r>
          </w:p>
        </w:tc>
        <w:tc>
          <w:tcPr>
            <w:tcW w:type="dxa" w:w="2995"/>
            <w:tcMar>
              <w:top w:type="dxa" w:w="60"/>
              <w:left w:type="dxa" w:w="90"/>
              <w:bottom w:type="dxa" w:w="60"/>
              <w:right w:type="dxa" w:w="90"/>
            </w:tcMar>
          </w:tcPr>
          <w:p>
            <w:pPr>
              <w:spacing w:after="20" w:line="240"/>
            </w:pPr>
            <w:r>
              <w:rPr>
                <w:b w:val="false"/>
                <w:bCs w:val="false"/>
                <w:sz w:val="18"/>
                <w:szCs w:val="18"/>
              </w:rPr>
              <w:t xml:space="preserve">Courbe d'apprentissage</w:t>
            </w:r>
          </w:p>
        </w:tc>
        <w:tc>
          <w:tcPr>
            <w:tcW w:type="dxa" w:w="1872"/>
            <w:tcMar>
              <w:top w:type="dxa" w:w="60"/>
              <w:left w:type="dxa" w:w="90"/>
              <w:bottom w:type="dxa" w:w="60"/>
              <w:right w:type="dxa" w:w="90"/>
            </w:tcMar>
          </w:tcPr>
          <w:p>
            <w:pPr>
              <w:spacing w:after="20" w:line="240"/>
            </w:pPr>
            <w:r>
              <w:rPr>
                <w:b w:val="false"/>
                <w:bCs w:val="false"/>
                <w:sz w:val="18"/>
                <w:szCs w:val="18"/>
              </w:rPr>
              <w:t xml:space="preserve">Retenu pour paiements, quittances et audit</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Sourcing d'événements</w:t>
            </w:r>
          </w:p>
        </w:tc>
        <w:tc>
          <w:tcPr>
            <w:tcW w:type="dxa" w:w="2434"/>
            <w:tcMar>
              <w:top w:type="dxa" w:w="60"/>
              <w:left w:type="dxa" w:w="90"/>
              <w:bottom w:type="dxa" w:w="60"/>
              <w:right w:type="dxa" w:w="90"/>
            </w:tcMar>
          </w:tcPr>
          <w:p>
            <w:pPr>
              <w:spacing w:after="20" w:line="240"/>
            </w:pPr>
            <w:r>
              <w:rPr>
                <w:b w:val="false"/>
                <w:bCs w:val="false"/>
                <w:sz w:val="18"/>
                <w:szCs w:val="18"/>
              </w:rPr>
              <w:t xml:space="preserve">Historique inaltérable, reconstitution intégrale</w:t>
            </w:r>
          </w:p>
        </w:tc>
        <w:tc>
          <w:tcPr>
            <w:tcW w:type="dxa" w:w="2995"/>
            <w:tcMar>
              <w:top w:type="dxa" w:w="60"/>
              <w:left w:type="dxa" w:w="90"/>
              <w:bottom w:type="dxa" w:w="60"/>
              <w:right w:type="dxa" w:w="90"/>
            </w:tcMar>
          </w:tcPr>
          <w:p>
            <w:pPr>
              <w:spacing w:after="20" w:line="240"/>
            </w:pPr>
            <w:r>
              <w:rPr>
                <w:b w:val="false"/>
                <w:bCs w:val="false"/>
                <w:sz w:val="18"/>
                <w:szCs w:val="18"/>
              </w:rPr>
              <w:t xml:space="preserve">Volume et gouvernance des schémas</w:t>
            </w:r>
          </w:p>
        </w:tc>
        <w:tc>
          <w:tcPr>
            <w:tcW w:type="dxa" w:w="1872"/>
            <w:tcMar>
              <w:top w:type="dxa" w:w="60"/>
              <w:left w:type="dxa" w:w="90"/>
              <w:bottom w:type="dxa" w:w="60"/>
              <w:right w:type="dxa" w:w="90"/>
            </w:tcMar>
          </w:tcPr>
          <w:p>
            <w:pPr>
              <w:spacing w:after="20" w:line="240"/>
            </w:pPr>
            <w:r>
              <w:rPr>
                <w:b w:val="false"/>
                <w:bCs w:val="false"/>
                <w:sz w:val="18"/>
                <w:szCs w:val="18"/>
              </w:rPr>
              <w:t xml:space="preserve">Retenu pour l'audit et le registre financier</w:t>
            </w:r>
          </w:p>
        </w:tc>
      </w:tr>
    </w:tbl>
    <w:p>
      <w:pPr>
        <w:pStyle w:val="Heading2"/>
        <w:spacing w:after="120" w:before="260"/>
      </w:pPr>
      <w:r>
        <w:t xml:space="preserve">29.2 Composants cibles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7862"/>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Couche</w:t>
            </w:r>
          </w:p>
        </w:tc>
        <w:tc>
          <w:tcPr>
            <w:tcW w:type="dxa" w:w="7862"/>
            <w:shd w:fill="E6F4F1" w:color="auto" w:val="clear"/>
            <w:tcMar>
              <w:top w:type="dxa" w:w="60"/>
              <w:left w:type="dxa" w:w="90"/>
              <w:bottom w:type="dxa" w:w="60"/>
              <w:right w:type="dxa" w:w="90"/>
            </w:tcMar>
          </w:tcPr>
          <w:p>
            <w:pPr>
              <w:spacing w:after="20" w:line="240"/>
            </w:pPr>
            <w:r>
              <w:rPr>
                <w:b/>
                <w:bCs/>
                <w:sz w:val="18"/>
                <w:szCs w:val="18"/>
              </w:rPr>
              <w:t xml:space="preserve">Composants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Accès</w:t>
            </w:r>
          </w:p>
        </w:tc>
        <w:tc>
          <w:tcPr>
            <w:tcW w:type="dxa" w:w="7862"/>
            <w:tcMar>
              <w:top w:type="dxa" w:w="60"/>
              <w:left w:type="dxa" w:w="90"/>
              <w:bottom w:type="dxa" w:w="60"/>
              <w:right w:type="dxa" w:w="90"/>
            </w:tcMar>
          </w:tcPr>
          <w:p>
            <w:pPr>
              <w:spacing w:after="20" w:line="240"/>
            </w:pPr>
            <w:r>
              <w:rPr>
                <w:b w:val="false"/>
                <w:bCs w:val="false"/>
                <w:sz w:val="18"/>
                <w:szCs w:val="18"/>
              </w:rPr>
              <w:t xml:space="preserve">Application Android citoyenne, application terrain Android hors ligne, portail web, USSD et SMS, passerelle d'API</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Identité</w:t>
            </w:r>
          </w:p>
        </w:tc>
        <w:tc>
          <w:tcPr>
            <w:tcW w:type="dxa" w:w="7862"/>
            <w:tcMar>
              <w:top w:type="dxa" w:w="60"/>
              <w:left w:type="dxa" w:w="90"/>
              <w:bottom w:type="dxa" w:w="60"/>
              <w:right w:type="dxa" w:w="90"/>
            </w:tcMar>
          </w:tcPr>
          <w:p>
            <w:pPr>
              <w:spacing w:after="20" w:line="240"/>
            </w:pPr>
            <w:r>
              <w:rPr>
                <w:b w:val="false"/>
                <w:bCs w:val="false"/>
                <w:sz w:val="18"/>
                <w:szCs w:val="18"/>
              </w:rPr>
              <w:t xml:space="preserve">Gestion des identités et des accès, authentification multifacteur, clés d'accès résistantes au hameçonnage, gestion des appareils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Domaines</w:t>
            </w:r>
          </w:p>
        </w:tc>
        <w:tc>
          <w:tcPr>
            <w:tcW w:type="dxa" w:w="7862"/>
            <w:tcMar>
              <w:top w:type="dxa" w:w="60"/>
              <w:left w:type="dxa" w:w="90"/>
              <w:bottom w:type="dxa" w:w="60"/>
              <w:right w:type="dxa" w:w="90"/>
            </w:tcMar>
          </w:tcPr>
          <w:p>
            <w:pPr>
              <w:spacing w:after="20" w:line="240"/>
            </w:pPr>
            <w:r>
              <w:rPr>
                <w:b w:val="false"/>
                <w:bCs w:val="false"/>
                <w:sz w:val="18"/>
                <w:szCs w:val="18"/>
              </w:rPr>
              <w:t xml:space="preserve">Registre des contribuables, registre des objets fiscaux, base spatiale, moteur de règles, moteur de liquidation, orchestration des paiements, registre financier, rapprochement, quittances, contrôle et contentieux</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Données</w:t>
            </w:r>
          </w:p>
        </w:tc>
        <w:tc>
          <w:tcPr>
            <w:tcW w:type="dxa" w:w="7862"/>
            <w:tcMar>
              <w:top w:type="dxa" w:w="60"/>
              <w:left w:type="dxa" w:w="90"/>
              <w:bottom w:type="dxa" w:w="60"/>
              <w:right w:type="dxa" w:w="90"/>
            </w:tcMar>
          </w:tcPr>
          <w:p>
            <w:pPr>
              <w:spacing w:after="20" w:line="240"/>
            </w:pPr>
            <w:r>
              <w:rPr>
                <w:b w:val="false"/>
                <w:bCs w:val="false"/>
                <w:sz w:val="18"/>
                <w:szCs w:val="18"/>
              </w:rPr>
              <w:t xml:space="preserve">Base relationnelle transactionnelle avec extension spatiale, entrepôt analytique, stockage documentaire chiffré, magasin d'événements d'audit en écriture unique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Intelligence</w:t>
            </w:r>
          </w:p>
        </w:tc>
        <w:tc>
          <w:tcPr>
            <w:tcW w:type="dxa" w:w="7862"/>
            <w:tcMar>
              <w:top w:type="dxa" w:w="60"/>
              <w:left w:type="dxa" w:w="90"/>
              <w:bottom w:type="dxa" w:w="60"/>
              <w:right w:type="dxa" w:w="90"/>
            </w:tcMar>
          </w:tcPr>
          <w:p>
            <w:pPr>
              <w:spacing w:after="20" w:line="240"/>
            </w:pPr>
            <w:r>
              <w:rPr>
                <w:b w:val="false"/>
                <w:bCs w:val="false"/>
                <w:sz w:val="18"/>
                <w:szCs w:val="18"/>
              </w:rPr>
              <w:t xml:space="preserve">Orchestration des agents, passerelle IA mesurée, registre des modèles, journal des décisions assistées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Exploitation</w:t>
            </w:r>
          </w:p>
        </w:tc>
        <w:tc>
          <w:tcPr>
            <w:tcW w:type="dxa" w:w="7862"/>
            <w:tcMar>
              <w:top w:type="dxa" w:w="60"/>
              <w:left w:type="dxa" w:w="90"/>
              <w:bottom w:type="dxa" w:w="60"/>
              <w:right w:type="dxa" w:w="90"/>
            </w:tcMar>
          </w:tcPr>
          <w:p>
            <w:pPr>
              <w:spacing w:after="20" w:line="240"/>
            </w:pPr>
            <w:r>
              <w:rPr>
                <w:b w:val="false"/>
                <w:bCs w:val="false"/>
                <w:sz w:val="18"/>
                <w:szCs w:val="18"/>
              </w:rPr>
              <w:t xml:space="preserve">Supervision, journalisation centralisée, détection de sécurité, sauvegarde, reprise après sinistre</w:t>
            </w:r>
          </w:p>
        </w:tc>
      </w:tr>
    </w:tbl>
    <w:p>
      <w:pPr>
        <w:pStyle w:val="Heading2"/>
        <w:spacing w:after="120" w:before="260"/>
      </w:pPr>
      <w:r>
        <w:t xml:space="preserve">29.3 Séquences critiques</w:t>
      </w:r>
    </w:p>
    <w:p>
      <w:pPr>
        <w:spacing w:after="120" w:line="276"/>
        <w:jc w:val="both"/>
      </w:pPr>
      <w:r>
        <w:rPr>
          <w:b w:val="false"/>
          <w:bCs w:val="false"/>
          <w:i w:val="false"/>
          <w:iCs w:val="false"/>
          <w:sz w:val="21"/>
          <w:szCs w:val="21"/>
        </w:rPr>
        <w:t xml:space="preserve">Paiement : avis de paiement → référence unique → initiation par le canal → confirmation signée du prestataire → règlement en compte public → rapprochement → quittance → comptabilisation. Chaque transition produit un événement immuable ; l'idempotence est garantie par la référence unique.</w:t>
      </w:r>
    </w:p>
    <w:p>
      <w:pPr>
        <w:spacing w:after="120" w:line="276"/>
        <w:jc w:val="both"/>
      </w:pPr>
      <w:r>
        <w:rPr>
          <w:b w:val="false"/>
          <w:bCs w:val="false"/>
          <w:i w:val="false"/>
          <w:iCs w:val="false"/>
          <w:sz w:val="21"/>
          <w:szCs w:val="21"/>
        </w:rPr>
        <w:t xml:space="preserve">Synchronisation terrain : attribution de mission → téléchargement chiffré et borné → travail hors ligne → file locale d'événements → reconnexion → transmission → résolution de conflits selon règles → confirmation et purge locale à expiration.</w:t>
      </w:r>
    </w:p>
    <w:p>
      <w:pPr>
        <w:spacing w:after="120" w:line="276"/>
        <w:jc w:val="both"/>
      </w:pPr>
      <w:r>
        <w:rPr>
          <w:b w:val="false"/>
          <w:bCs w:val="false"/>
          <w:i w:val="false"/>
          <w:iCs w:val="false"/>
          <w:sz w:val="21"/>
          <w:szCs w:val="21"/>
        </w:rPr>
        <w:t xml:space="preserve">Contrôle d'accès : demande → vérification du rôle et des attributs (territoire, dossier, horaire, appareil, sensibilité) → élévation temporaire éventuelle avec motif → journalisation de la consultation → expiration automatique.</w:t>
      </w:r>
    </w:p>
    <w:p>
      <w:pPr>
        <w:pStyle w:val="Heading2"/>
        <w:spacing w:after="120" w:before="260"/>
      </w:pPr>
      <w:r>
        <w:t xml:space="preserve">29.4 Diagrammes à produire au démarrage</w:t>
      </w:r>
    </w:p>
    <w:p>
      <w:pPr>
        <w:spacing w:after="120" w:line="276"/>
        <w:jc w:val="both"/>
      </w:pPr>
      <w:r>
        <w:rPr>
          <w:b w:val="false"/>
          <w:bCs w:val="false"/>
          <w:i w:val="false"/>
          <w:iCs w:val="false"/>
          <w:sz w:val="21"/>
          <w:szCs w:val="21"/>
        </w:rPr>
        <w:t xml:space="preserve">Diagramme de contexte ; diagramme de conteneurs ; architecture de domaines ; flux de données ; séquence de paiement ; séquence de synchronisation terrain ; flux d'habilitation ; chaîne de décision assistée par IA ; architecture de reprise après sinistre. Ces artefacts font partie des livrables de la phase 1 et conditionnent le passage à la phase 2.</w:t>
      </w:r>
    </w:p>
    <w:p>
      <w:pPr>
        <w:pStyle w:val="Heading1"/>
        <w:spacing w:after="160" w:before="360"/>
      </w:pPr>
      <w:r>
        <w:t xml:space="preserve">30. Modèle de données conceptuel</w:t>
      </w:r>
    </w:p>
    <w:p>
      <w:pPr>
        <w:spacing w:after="120" w:line="276"/>
        <w:jc w:val="both"/>
      </w:pPr>
      <w:r>
        <w:rPr>
          <w:b w:val="false"/>
          <w:bCs w:val="false"/>
          <w:i w:val="false"/>
          <w:iCs w:val="false"/>
          <w:sz w:val="21"/>
          <w:szCs w:val="21"/>
        </w:rPr>
        <w:t xml:space="preserve">Chaque entité porte : finalité ; champs principaux ; relations ; règles de validation ; cycle de vie ; exigences d'audit ; durée de conservation ; classification de confidentialité. Le tableau ci-dessous fixe le noyau ; le dictionnaire de données détaillé est un livrable de la phase 1.</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2246"/>
        <w:gridCol w:w="3557"/>
        <w:gridCol w:w="1498"/>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Entité</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Finalité</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Relations et cycle de vie</w:t>
            </w:r>
          </w:p>
        </w:tc>
        <w:tc>
          <w:tcPr>
            <w:tcW w:type="dxa" w:w="1498"/>
            <w:shd w:fill="E6F4F1" w:color="auto" w:val="clear"/>
            <w:tcMar>
              <w:top w:type="dxa" w:w="60"/>
              <w:left w:type="dxa" w:w="90"/>
              <w:bottom w:type="dxa" w:w="60"/>
              <w:right w:type="dxa" w:w="90"/>
            </w:tcMar>
          </w:tcPr>
          <w:p>
            <w:pPr>
              <w:spacing w:after="20" w:line="240"/>
            </w:pPr>
            <w:r>
              <w:rPr>
                <w:b/>
                <w:bCs/>
                <w:sz w:val="18"/>
                <w:szCs w:val="18"/>
              </w:rPr>
              <w:t xml:space="preserve">Confidentialité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Utilisateur</w:t>
            </w:r>
          </w:p>
        </w:tc>
        <w:tc>
          <w:tcPr>
            <w:tcW w:type="dxa" w:w="2246"/>
            <w:tcMar>
              <w:top w:type="dxa" w:w="60"/>
              <w:left w:type="dxa" w:w="90"/>
              <w:bottom w:type="dxa" w:w="60"/>
              <w:right w:type="dxa" w:w="90"/>
            </w:tcMar>
          </w:tcPr>
          <w:p>
            <w:pPr>
              <w:spacing w:after="20" w:line="240"/>
            </w:pPr>
            <w:r>
              <w:rPr>
                <w:b w:val="false"/>
                <w:bCs w:val="false"/>
                <w:sz w:val="18"/>
                <w:szCs w:val="18"/>
              </w:rPr>
              <w:t xml:space="preserve">Accès au système</w:t>
            </w:r>
          </w:p>
        </w:tc>
        <w:tc>
          <w:tcPr>
            <w:tcW w:type="dxa" w:w="3557"/>
            <w:tcMar>
              <w:top w:type="dxa" w:w="60"/>
              <w:left w:type="dxa" w:w="90"/>
              <w:bottom w:type="dxa" w:w="60"/>
              <w:right w:type="dxa" w:w="90"/>
            </w:tcMar>
          </w:tcPr>
          <w:p>
            <w:pPr>
              <w:spacing w:after="20" w:line="240"/>
            </w:pPr>
            <w:r>
              <w:rPr>
                <w:b w:val="false"/>
                <w:bCs w:val="false"/>
                <w:sz w:val="18"/>
                <w:szCs w:val="18"/>
              </w:rPr>
              <w:t xml:space="preserve">Lié à Identité, Rôles, Appareils ; actif, suspendu, clos</w:t>
            </w:r>
          </w:p>
        </w:tc>
        <w:tc>
          <w:tcPr>
            <w:tcW w:type="dxa" w:w="1498"/>
            <w:tcMar>
              <w:top w:type="dxa" w:w="60"/>
              <w:left w:type="dxa" w:w="90"/>
              <w:bottom w:type="dxa" w:w="60"/>
              <w:right w:type="dxa" w:w="90"/>
            </w:tcMar>
          </w:tcPr>
          <w:p>
            <w:pPr>
              <w:spacing w:after="20" w:line="240"/>
            </w:pPr>
            <w:r>
              <w:rPr>
                <w:b w:val="false"/>
                <w:bCs w:val="false"/>
                <w:sz w:val="18"/>
                <w:szCs w:val="18"/>
              </w:rPr>
              <w:t xml:space="preserve">Personnel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Contribuable</w:t>
            </w:r>
          </w:p>
        </w:tc>
        <w:tc>
          <w:tcPr>
            <w:tcW w:type="dxa" w:w="2246"/>
            <w:tcMar>
              <w:top w:type="dxa" w:w="60"/>
              <w:left w:type="dxa" w:w="90"/>
              <w:bottom w:type="dxa" w:w="60"/>
              <w:right w:type="dxa" w:w="90"/>
            </w:tcMar>
          </w:tcPr>
          <w:p>
            <w:pPr>
              <w:spacing w:after="20" w:line="240"/>
            </w:pPr>
            <w:r>
              <w:rPr>
                <w:b w:val="false"/>
                <w:bCs w:val="false"/>
                <w:sz w:val="18"/>
                <w:szCs w:val="18"/>
              </w:rPr>
              <w:t xml:space="preserve">Sujet fiscal unique</w:t>
            </w:r>
          </w:p>
        </w:tc>
        <w:tc>
          <w:tcPr>
            <w:tcW w:type="dxa" w:w="3557"/>
            <w:tcMar>
              <w:top w:type="dxa" w:w="60"/>
              <w:left w:type="dxa" w:w="90"/>
              <w:bottom w:type="dxa" w:w="60"/>
              <w:right w:type="dxa" w:w="90"/>
            </w:tcMar>
          </w:tcPr>
          <w:p>
            <w:pPr>
              <w:spacing w:after="20" w:line="240"/>
            </w:pPr>
            <w:r>
              <w:rPr>
                <w:b w:val="false"/>
                <w:bCs w:val="false"/>
                <w:sz w:val="18"/>
                <w:szCs w:val="18"/>
              </w:rPr>
              <w:t xml:space="preserve">Lié à Identité, Objets, Obligations ; provisoire, vérifié, fusionné</w:t>
            </w:r>
          </w:p>
        </w:tc>
        <w:tc>
          <w:tcPr>
            <w:tcW w:type="dxa" w:w="1498"/>
            <w:tcMar>
              <w:top w:type="dxa" w:w="60"/>
              <w:left w:type="dxa" w:w="90"/>
              <w:bottom w:type="dxa" w:w="60"/>
              <w:right w:type="dxa" w:w="90"/>
            </w:tcMar>
          </w:tcPr>
          <w:p>
            <w:pPr>
              <w:spacing w:after="20" w:line="240"/>
            </w:pPr>
            <w:r>
              <w:rPr>
                <w:b w:val="false"/>
                <w:bCs w:val="false"/>
                <w:sz w:val="18"/>
                <w:szCs w:val="18"/>
              </w:rPr>
              <w:t xml:space="preserve">Fiscal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Identité</w:t>
            </w:r>
          </w:p>
        </w:tc>
        <w:tc>
          <w:tcPr>
            <w:tcW w:type="dxa" w:w="2246"/>
            <w:tcMar>
              <w:top w:type="dxa" w:w="60"/>
              <w:left w:type="dxa" w:w="90"/>
              <w:bottom w:type="dxa" w:w="60"/>
              <w:right w:type="dxa" w:w="90"/>
            </w:tcMar>
          </w:tcPr>
          <w:p>
            <w:pPr>
              <w:spacing w:after="20" w:line="240"/>
            </w:pPr>
            <w:r>
              <w:rPr>
                <w:b w:val="false"/>
                <w:bCs w:val="false"/>
                <w:sz w:val="18"/>
                <w:szCs w:val="18"/>
              </w:rPr>
              <w:t xml:space="preserve">Preuve d'identité</w:t>
            </w:r>
          </w:p>
        </w:tc>
        <w:tc>
          <w:tcPr>
            <w:tcW w:type="dxa" w:w="3557"/>
            <w:tcMar>
              <w:top w:type="dxa" w:w="60"/>
              <w:left w:type="dxa" w:w="90"/>
              <w:bottom w:type="dxa" w:w="60"/>
              <w:right w:type="dxa" w:w="90"/>
            </w:tcMar>
          </w:tcPr>
          <w:p>
            <w:pPr>
              <w:spacing w:after="20" w:line="240"/>
            </w:pPr>
            <w:r>
              <w:rPr>
                <w:b w:val="false"/>
                <w:bCs w:val="false"/>
                <w:sz w:val="18"/>
                <w:szCs w:val="18"/>
              </w:rPr>
              <w:t xml:space="preserve">Pièces, niveau de vérification ; N0 à N3</w:t>
            </w:r>
          </w:p>
        </w:tc>
        <w:tc>
          <w:tcPr>
            <w:tcW w:type="dxa" w:w="1498"/>
            <w:tcMar>
              <w:top w:type="dxa" w:w="60"/>
              <w:left w:type="dxa" w:w="90"/>
              <w:bottom w:type="dxa" w:w="60"/>
              <w:right w:type="dxa" w:w="90"/>
            </w:tcMar>
          </w:tcPr>
          <w:p>
            <w:pPr>
              <w:spacing w:after="20" w:line="240"/>
            </w:pPr>
            <w:r>
              <w:rPr>
                <w:b w:val="false"/>
                <w:bCs w:val="false"/>
                <w:sz w:val="18"/>
                <w:szCs w:val="18"/>
              </w:rPr>
              <w:t xml:space="preserve">Personnel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Organisation</w:t>
            </w:r>
          </w:p>
        </w:tc>
        <w:tc>
          <w:tcPr>
            <w:tcW w:type="dxa" w:w="2246"/>
            <w:tcMar>
              <w:top w:type="dxa" w:w="60"/>
              <w:left w:type="dxa" w:w="90"/>
              <w:bottom w:type="dxa" w:w="60"/>
              <w:right w:type="dxa" w:w="90"/>
            </w:tcMar>
          </w:tcPr>
          <w:p>
            <w:pPr>
              <w:spacing w:after="20" w:line="240"/>
            </w:pPr>
            <w:r>
              <w:rPr>
                <w:b w:val="false"/>
                <w:bCs w:val="false"/>
                <w:sz w:val="18"/>
                <w:szCs w:val="18"/>
              </w:rPr>
              <w:t xml:space="preserve">Personne morale</w:t>
            </w:r>
          </w:p>
        </w:tc>
        <w:tc>
          <w:tcPr>
            <w:tcW w:type="dxa" w:w="3557"/>
            <w:tcMar>
              <w:top w:type="dxa" w:w="60"/>
              <w:left w:type="dxa" w:w="90"/>
              <w:bottom w:type="dxa" w:w="60"/>
              <w:right w:type="dxa" w:w="90"/>
            </w:tcMar>
          </w:tcPr>
          <w:p>
            <w:pPr>
              <w:spacing w:after="20" w:line="240"/>
            </w:pPr>
            <w:r>
              <w:rPr>
                <w:b w:val="false"/>
                <w:bCs w:val="false"/>
                <w:sz w:val="18"/>
                <w:szCs w:val="18"/>
              </w:rPr>
              <w:t xml:space="preserve">NIF, registre, mandataires, établissements</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Adresse</w:t>
            </w:r>
          </w:p>
        </w:tc>
        <w:tc>
          <w:tcPr>
            <w:tcW w:type="dxa" w:w="2246"/>
            <w:tcMar>
              <w:top w:type="dxa" w:w="60"/>
              <w:left w:type="dxa" w:w="90"/>
              <w:bottom w:type="dxa" w:w="60"/>
              <w:right w:type="dxa" w:w="90"/>
            </w:tcMar>
          </w:tcPr>
          <w:p>
            <w:pPr>
              <w:spacing w:after="20" w:line="240"/>
            </w:pPr>
            <w:r>
              <w:rPr>
                <w:b w:val="false"/>
                <w:bCs w:val="false"/>
                <w:sz w:val="18"/>
                <w:szCs w:val="18"/>
              </w:rPr>
              <w:t xml:space="preserve">Localisation administrative</w:t>
            </w:r>
          </w:p>
        </w:tc>
        <w:tc>
          <w:tcPr>
            <w:tcW w:type="dxa" w:w="3557"/>
            <w:tcMar>
              <w:top w:type="dxa" w:w="60"/>
              <w:left w:type="dxa" w:w="90"/>
              <w:bottom w:type="dxa" w:w="60"/>
              <w:right w:type="dxa" w:w="90"/>
            </w:tcMar>
          </w:tcPr>
          <w:p>
            <w:pPr>
              <w:spacing w:after="20" w:line="240"/>
            </w:pPr>
            <w:r>
              <w:rPr>
                <w:b w:val="false"/>
                <w:bCs w:val="false"/>
                <w:sz w:val="18"/>
                <w:szCs w:val="18"/>
              </w:rPr>
              <w:t xml:space="preserve">Commune, quartier, avenue ; déclarée, vérifiée</w:t>
            </w:r>
          </w:p>
        </w:tc>
        <w:tc>
          <w:tcPr>
            <w:tcW w:type="dxa" w:w="1498"/>
            <w:tcMar>
              <w:top w:type="dxa" w:w="60"/>
              <w:left w:type="dxa" w:w="90"/>
              <w:bottom w:type="dxa" w:w="60"/>
              <w:right w:type="dxa" w:w="90"/>
            </w:tcMar>
          </w:tcPr>
          <w:p>
            <w:pPr>
              <w:spacing w:after="20" w:line="240"/>
            </w:pPr>
            <w:r>
              <w:rPr>
                <w:b w:val="false"/>
                <w:bCs w:val="false"/>
                <w:sz w:val="18"/>
                <w:szCs w:val="18"/>
              </w:rPr>
              <w:t xml:space="preserve">Personnel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Géolocalisation</w:t>
            </w:r>
          </w:p>
        </w:tc>
        <w:tc>
          <w:tcPr>
            <w:tcW w:type="dxa" w:w="2246"/>
            <w:tcMar>
              <w:top w:type="dxa" w:w="60"/>
              <w:left w:type="dxa" w:w="90"/>
              <w:bottom w:type="dxa" w:w="60"/>
              <w:right w:type="dxa" w:w="90"/>
            </w:tcMar>
          </w:tcPr>
          <w:p>
            <w:pPr>
              <w:spacing w:after="20" w:line="240"/>
            </w:pPr>
            <w:r>
              <w:rPr>
                <w:b w:val="false"/>
                <w:bCs w:val="false"/>
                <w:sz w:val="18"/>
                <w:szCs w:val="18"/>
              </w:rPr>
              <w:t xml:space="preserve">Point et emprise</w:t>
            </w:r>
          </w:p>
        </w:tc>
        <w:tc>
          <w:tcPr>
            <w:tcW w:type="dxa" w:w="3557"/>
            <w:tcMar>
              <w:top w:type="dxa" w:w="60"/>
              <w:left w:type="dxa" w:w="90"/>
              <w:bottom w:type="dxa" w:w="60"/>
              <w:right w:type="dxa" w:w="90"/>
            </w:tcMar>
          </w:tcPr>
          <w:p>
            <w:pPr>
              <w:spacing w:after="20" w:line="240"/>
            </w:pPr>
            <w:r>
              <w:rPr>
                <w:b w:val="false"/>
                <w:bCs w:val="false"/>
                <w:sz w:val="18"/>
                <w:szCs w:val="18"/>
              </w:rPr>
              <w:t xml:space="preserve">Objet, précision, source</w:t>
            </w:r>
          </w:p>
        </w:tc>
        <w:tc>
          <w:tcPr>
            <w:tcW w:type="dxa" w:w="1498"/>
            <w:tcMar>
              <w:top w:type="dxa" w:w="60"/>
              <w:left w:type="dxa" w:w="90"/>
              <w:bottom w:type="dxa" w:w="60"/>
              <w:right w:type="dxa" w:w="90"/>
            </w:tcMar>
          </w:tcPr>
          <w:p>
            <w:pPr>
              <w:spacing w:after="20" w:line="240"/>
            </w:pPr>
            <w:r>
              <w:rPr>
                <w:b w:val="false"/>
                <w:bCs w:val="false"/>
                <w:sz w:val="18"/>
                <w:szCs w:val="18"/>
              </w:rPr>
              <w:t xml:space="preserve">Interne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ObjetFiscal</w:t>
            </w:r>
          </w:p>
        </w:tc>
        <w:tc>
          <w:tcPr>
            <w:tcW w:type="dxa" w:w="2246"/>
            <w:tcMar>
              <w:top w:type="dxa" w:w="60"/>
              <w:left w:type="dxa" w:w="90"/>
              <w:bottom w:type="dxa" w:w="60"/>
              <w:right w:type="dxa" w:w="90"/>
            </w:tcMar>
          </w:tcPr>
          <w:p>
            <w:pPr>
              <w:spacing w:after="20" w:line="240"/>
            </w:pPr>
            <w:r>
              <w:rPr>
                <w:b w:val="false"/>
                <w:bCs w:val="false"/>
                <w:sz w:val="18"/>
                <w:szCs w:val="18"/>
              </w:rPr>
              <w:t xml:space="preserve">Toute chose imposable</w:t>
            </w:r>
          </w:p>
        </w:tc>
        <w:tc>
          <w:tcPr>
            <w:tcW w:type="dxa" w:w="3557"/>
            <w:tcMar>
              <w:top w:type="dxa" w:w="60"/>
              <w:left w:type="dxa" w:w="90"/>
              <w:bottom w:type="dxa" w:w="60"/>
              <w:right w:type="dxa" w:w="90"/>
            </w:tcMar>
          </w:tcPr>
          <w:p>
            <w:pPr>
              <w:spacing w:after="20" w:line="240"/>
            </w:pPr>
            <w:r>
              <w:rPr>
                <w:b w:val="false"/>
                <w:bCs w:val="false"/>
                <w:sz w:val="18"/>
                <w:szCs w:val="18"/>
              </w:rPr>
              <w:t xml:space="preserve">Parent de Parcelle, Unité, Activité, Véhicule, Panneau, Antenne, Embarcation, Concession ; provisoire, actif, suspendu, clos</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Parcelle / Bâtiment / UnitéLocative</w:t>
            </w:r>
          </w:p>
        </w:tc>
        <w:tc>
          <w:tcPr>
            <w:tcW w:type="dxa" w:w="2246"/>
            <w:tcMar>
              <w:top w:type="dxa" w:w="60"/>
              <w:left w:type="dxa" w:w="90"/>
              <w:bottom w:type="dxa" w:w="60"/>
              <w:right w:type="dxa" w:w="90"/>
            </w:tcMar>
          </w:tcPr>
          <w:p>
            <w:pPr>
              <w:spacing w:after="20" w:line="240"/>
            </w:pPr>
            <w:r>
              <w:rPr>
                <w:b w:val="false"/>
                <w:bCs w:val="false"/>
                <w:sz w:val="18"/>
                <w:szCs w:val="18"/>
              </w:rPr>
              <w:t xml:space="preserve">Assiette foncière et locative</w:t>
            </w:r>
          </w:p>
        </w:tc>
        <w:tc>
          <w:tcPr>
            <w:tcW w:type="dxa" w:w="3557"/>
            <w:tcMar>
              <w:top w:type="dxa" w:w="60"/>
              <w:left w:type="dxa" w:w="90"/>
              <w:bottom w:type="dxa" w:w="60"/>
              <w:right w:type="dxa" w:w="90"/>
            </w:tcMar>
          </w:tcPr>
          <w:p>
            <w:pPr>
              <w:spacing w:after="20" w:line="240"/>
            </w:pPr>
            <w:r>
              <w:rPr>
                <w:b w:val="false"/>
                <w:bCs w:val="false"/>
                <w:sz w:val="18"/>
                <w:szCs w:val="18"/>
              </w:rPr>
              <w:t xml:space="preserve">Hiérarchie parcelle → bâtiment → unité</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Bail</w:t>
            </w:r>
          </w:p>
        </w:tc>
        <w:tc>
          <w:tcPr>
            <w:tcW w:type="dxa" w:w="2246"/>
            <w:tcMar>
              <w:top w:type="dxa" w:w="60"/>
              <w:left w:type="dxa" w:w="90"/>
              <w:bottom w:type="dxa" w:w="60"/>
              <w:right w:type="dxa" w:w="90"/>
            </w:tcMar>
          </w:tcPr>
          <w:p>
            <w:pPr>
              <w:spacing w:after="20" w:line="240"/>
            </w:pPr>
            <w:r>
              <w:rPr>
                <w:b w:val="false"/>
                <w:bCs w:val="false"/>
                <w:sz w:val="18"/>
                <w:szCs w:val="18"/>
              </w:rPr>
              <w:t xml:space="preserve">Base de l'IRL</w:t>
            </w:r>
          </w:p>
        </w:tc>
        <w:tc>
          <w:tcPr>
            <w:tcW w:type="dxa" w:w="3557"/>
            <w:tcMar>
              <w:top w:type="dxa" w:w="60"/>
              <w:left w:type="dxa" w:w="90"/>
              <w:bottom w:type="dxa" w:w="60"/>
              <w:right w:type="dxa" w:w="90"/>
            </w:tcMar>
          </w:tcPr>
          <w:p>
            <w:pPr>
              <w:spacing w:after="20" w:line="240"/>
            </w:pPr>
            <w:r>
              <w:rPr>
                <w:b w:val="false"/>
                <w:bCs w:val="false"/>
                <w:sz w:val="18"/>
                <w:szCs w:val="18"/>
              </w:rPr>
              <w:t xml:space="preserve">Bailleur, locataire, unité, loyer, période ; déclaré, vérifié, résilié, contesté</w:t>
            </w:r>
          </w:p>
        </w:tc>
        <w:tc>
          <w:tcPr>
            <w:tcW w:type="dxa" w:w="1498"/>
            <w:tcMar>
              <w:top w:type="dxa" w:w="60"/>
              <w:left w:type="dxa" w:w="90"/>
              <w:bottom w:type="dxa" w:w="60"/>
              <w:right w:type="dxa" w:w="90"/>
            </w:tcMar>
          </w:tcPr>
          <w:p>
            <w:pPr>
              <w:spacing w:after="20" w:line="240"/>
            </w:pPr>
            <w:r>
              <w:rPr>
                <w:b w:val="false"/>
                <w:bCs w:val="false"/>
                <w:sz w:val="18"/>
                <w:szCs w:val="18"/>
              </w:rPr>
              <w:t xml:space="preserve">Fiscal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Activité / Établissement</w:t>
            </w:r>
          </w:p>
        </w:tc>
        <w:tc>
          <w:tcPr>
            <w:tcW w:type="dxa" w:w="2246"/>
            <w:tcMar>
              <w:top w:type="dxa" w:w="60"/>
              <w:left w:type="dxa" w:w="90"/>
              <w:bottom w:type="dxa" w:w="60"/>
              <w:right w:type="dxa" w:w="90"/>
            </w:tcMar>
          </w:tcPr>
          <w:p>
            <w:pPr>
              <w:spacing w:after="20" w:line="240"/>
            </w:pPr>
            <w:r>
              <w:rPr>
                <w:b w:val="false"/>
                <w:bCs w:val="false"/>
                <w:sz w:val="18"/>
                <w:szCs w:val="18"/>
              </w:rPr>
              <w:t xml:space="preserve">Base de la patente et des autorisations</w:t>
            </w:r>
          </w:p>
        </w:tc>
        <w:tc>
          <w:tcPr>
            <w:tcW w:type="dxa" w:w="3557"/>
            <w:tcMar>
              <w:top w:type="dxa" w:w="60"/>
              <w:left w:type="dxa" w:w="90"/>
              <w:bottom w:type="dxa" w:w="60"/>
              <w:right w:type="dxa" w:w="90"/>
            </w:tcMar>
          </w:tcPr>
          <w:p>
            <w:pPr>
              <w:spacing w:after="20" w:line="240"/>
            </w:pPr>
            <w:r>
              <w:rPr>
                <w:b w:val="false"/>
                <w:bCs w:val="false"/>
                <w:sz w:val="18"/>
                <w:szCs w:val="18"/>
              </w:rPr>
              <w:t xml:space="preserve">Contribuable, localisation, catégorie</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Véhicule</w:t>
            </w:r>
          </w:p>
        </w:tc>
        <w:tc>
          <w:tcPr>
            <w:tcW w:type="dxa" w:w="2246"/>
            <w:tcMar>
              <w:top w:type="dxa" w:w="60"/>
              <w:left w:type="dxa" w:w="90"/>
              <w:bottom w:type="dxa" w:w="60"/>
              <w:right w:type="dxa" w:w="90"/>
            </w:tcMar>
          </w:tcPr>
          <w:p>
            <w:pPr>
              <w:spacing w:after="20" w:line="240"/>
            </w:pPr>
            <w:r>
              <w:rPr>
                <w:b w:val="false"/>
                <w:bCs w:val="false"/>
                <w:sz w:val="18"/>
                <w:szCs w:val="18"/>
              </w:rPr>
              <w:t xml:space="preserve">Base vignette et circulation</w:t>
            </w:r>
          </w:p>
        </w:tc>
        <w:tc>
          <w:tcPr>
            <w:tcW w:type="dxa" w:w="3557"/>
            <w:tcMar>
              <w:top w:type="dxa" w:w="60"/>
              <w:left w:type="dxa" w:w="90"/>
              <w:bottom w:type="dxa" w:w="60"/>
              <w:right w:type="dxa" w:w="90"/>
            </w:tcMar>
          </w:tcPr>
          <w:p>
            <w:pPr>
              <w:spacing w:after="20" w:line="240"/>
            </w:pPr>
            <w:r>
              <w:rPr>
                <w:b w:val="false"/>
                <w:bCs w:val="false"/>
                <w:sz w:val="18"/>
                <w:szCs w:val="18"/>
              </w:rPr>
              <w:t xml:space="preserve">Plaque, propriétaire, mutations</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Panneau / Antenne / Embarcation / Concession</w:t>
            </w:r>
          </w:p>
        </w:tc>
        <w:tc>
          <w:tcPr>
            <w:tcW w:type="dxa" w:w="2246"/>
            <w:tcMar>
              <w:top w:type="dxa" w:w="60"/>
              <w:left w:type="dxa" w:w="90"/>
              <w:bottom w:type="dxa" w:w="60"/>
              <w:right w:type="dxa" w:w="90"/>
            </w:tcMar>
          </w:tcPr>
          <w:p>
            <w:pPr>
              <w:spacing w:after="20" w:line="240"/>
            </w:pPr>
            <w:r>
              <w:rPr>
                <w:b w:val="false"/>
                <w:bCs w:val="false"/>
                <w:sz w:val="18"/>
                <w:szCs w:val="18"/>
              </w:rPr>
              <w:t xml:space="preserve">Objets spécifiques</w:t>
            </w:r>
          </w:p>
        </w:tc>
        <w:tc>
          <w:tcPr>
            <w:tcW w:type="dxa" w:w="3557"/>
            <w:tcMar>
              <w:top w:type="dxa" w:w="60"/>
              <w:left w:type="dxa" w:w="90"/>
              <w:bottom w:type="dxa" w:w="60"/>
              <w:right w:type="dxa" w:w="90"/>
            </w:tcMar>
          </w:tcPr>
          <w:p>
            <w:pPr>
              <w:spacing w:after="20" w:line="240"/>
            </w:pPr>
            <w:r>
              <w:rPr>
                <w:b w:val="false"/>
                <w:bCs w:val="false"/>
                <w:sz w:val="18"/>
                <w:szCs w:val="18"/>
              </w:rPr>
              <w:t xml:space="preserve">Opérateur, surface, site, titre</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Licence / Permis</w:t>
            </w:r>
          </w:p>
        </w:tc>
        <w:tc>
          <w:tcPr>
            <w:tcW w:type="dxa" w:w="2246"/>
            <w:tcMar>
              <w:top w:type="dxa" w:w="60"/>
              <w:left w:type="dxa" w:w="90"/>
              <w:bottom w:type="dxa" w:w="60"/>
              <w:right w:type="dxa" w:w="90"/>
            </w:tcMar>
          </w:tcPr>
          <w:p>
            <w:pPr>
              <w:spacing w:after="20" w:line="240"/>
            </w:pPr>
            <w:r>
              <w:rPr>
                <w:b w:val="false"/>
                <w:bCs w:val="false"/>
                <w:sz w:val="18"/>
                <w:szCs w:val="18"/>
              </w:rPr>
              <w:t xml:space="preserve">Autorisation administrative</w:t>
            </w:r>
          </w:p>
        </w:tc>
        <w:tc>
          <w:tcPr>
            <w:tcW w:type="dxa" w:w="3557"/>
            <w:tcMar>
              <w:top w:type="dxa" w:w="60"/>
              <w:left w:type="dxa" w:w="90"/>
              <w:bottom w:type="dxa" w:w="60"/>
              <w:right w:type="dxa" w:w="90"/>
            </w:tcMar>
          </w:tcPr>
          <w:p>
            <w:pPr>
              <w:spacing w:after="20" w:line="240"/>
            </w:pPr>
            <w:r>
              <w:rPr>
                <w:b w:val="false"/>
                <w:bCs w:val="false"/>
                <w:sz w:val="18"/>
                <w:szCs w:val="18"/>
              </w:rPr>
              <w:t xml:space="preserve">Objet, validité, conditions</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TexteLégal</w:t>
            </w:r>
          </w:p>
        </w:tc>
        <w:tc>
          <w:tcPr>
            <w:tcW w:type="dxa" w:w="2246"/>
            <w:tcMar>
              <w:top w:type="dxa" w:w="60"/>
              <w:left w:type="dxa" w:w="90"/>
              <w:bottom w:type="dxa" w:w="60"/>
              <w:right w:type="dxa" w:w="90"/>
            </w:tcMar>
          </w:tcPr>
          <w:p>
            <w:pPr>
              <w:spacing w:after="20" w:line="240"/>
            </w:pPr>
            <w:r>
              <w:rPr>
                <w:b w:val="false"/>
                <w:bCs w:val="false"/>
                <w:sz w:val="18"/>
                <w:szCs w:val="18"/>
              </w:rPr>
              <w:t xml:space="preserve">Fondement juridique</w:t>
            </w:r>
          </w:p>
        </w:tc>
        <w:tc>
          <w:tcPr>
            <w:tcW w:type="dxa" w:w="3557"/>
            <w:tcMar>
              <w:top w:type="dxa" w:w="60"/>
              <w:left w:type="dxa" w:w="90"/>
              <w:bottom w:type="dxa" w:w="60"/>
              <w:right w:type="dxa" w:w="90"/>
            </w:tcMar>
          </w:tcPr>
          <w:p>
            <w:pPr>
              <w:spacing w:after="20" w:line="240"/>
            </w:pPr>
            <w:r>
              <w:rPr>
                <w:b w:val="false"/>
                <w:bCs w:val="false"/>
                <w:sz w:val="18"/>
                <w:szCs w:val="18"/>
              </w:rPr>
              <w:t xml:space="preserve">Lié aux Règles ; en vigueur, modifié, abrogé</w:t>
            </w:r>
          </w:p>
        </w:tc>
        <w:tc>
          <w:tcPr>
            <w:tcW w:type="dxa" w:w="1498"/>
            <w:tcMar>
              <w:top w:type="dxa" w:w="60"/>
              <w:left w:type="dxa" w:w="90"/>
              <w:bottom w:type="dxa" w:w="60"/>
              <w:right w:type="dxa" w:w="90"/>
            </w:tcMar>
          </w:tcPr>
          <w:p>
            <w:pPr>
              <w:spacing w:after="20" w:line="240"/>
            </w:pPr>
            <w:r>
              <w:rPr>
                <w:b w:val="false"/>
                <w:bCs w:val="false"/>
                <w:sz w:val="18"/>
                <w:szCs w:val="18"/>
              </w:rPr>
              <w:t xml:space="preserve">Public</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TypeDeRecette / RègleTarifaire</w:t>
            </w:r>
          </w:p>
        </w:tc>
        <w:tc>
          <w:tcPr>
            <w:tcW w:type="dxa" w:w="2246"/>
            <w:tcMar>
              <w:top w:type="dxa" w:w="60"/>
              <w:left w:type="dxa" w:w="90"/>
              <w:bottom w:type="dxa" w:w="60"/>
              <w:right w:type="dxa" w:w="90"/>
            </w:tcMar>
          </w:tcPr>
          <w:p>
            <w:pPr>
              <w:spacing w:after="20" w:line="240"/>
            </w:pPr>
            <w:r>
              <w:rPr>
                <w:b w:val="false"/>
                <w:bCs w:val="false"/>
                <w:sz w:val="18"/>
                <w:szCs w:val="18"/>
              </w:rPr>
              <w:t xml:space="preserve">Paramètre de liquidation</w:t>
            </w:r>
          </w:p>
        </w:tc>
        <w:tc>
          <w:tcPr>
            <w:tcW w:type="dxa" w:w="3557"/>
            <w:tcMar>
              <w:top w:type="dxa" w:w="60"/>
              <w:left w:type="dxa" w:w="90"/>
              <w:bottom w:type="dxa" w:w="60"/>
              <w:right w:type="dxa" w:w="90"/>
            </w:tcMar>
          </w:tcPr>
          <w:p>
            <w:pPr>
              <w:spacing w:after="20" w:line="240"/>
            </w:pPr>
            <w:r>
              <w:rPr>
                <w:b w:val="false"/>
                <w:bCs w:val="false"/>
                <w:sz w:val="18"/>
                <w:szCs w:val="18"/>
              </w:rPr>
              <w:t xml:space="preserve">Version, approbateur, dates, compte bénéficiaire</w:t>
            </w:r>
          </w:p>
        </w:tc>
        <w:tc>
          <w:tcPr>
            <w:tcW w:type="dxa" w:w="1498"/>
            <w:tcMar>
              <w:top w:type="dxa" w:w="60"/>
              <w:left w:type="dxa" w:w="90"/>
              <w:bottom w:type="dxa" w:w="60"/>
              <w:right w:type="dxa" w:w="90"/>
            </w:tcMar>
          </w:tcPr>
          <w:p>
            <w:pPr>
              <w:spacing w:after="20" w:line="240"/>
            </w:pPr>
            <w:r>
              <w:rPr>
                <w:b w:val="false"/>
                <w:bCs w:val="false"/>
                <w:sz w:val="18"/>
                <w:szCs w:val="18"/>
              </w:rPr>
              <w:t xml:space="preserve">Public après publication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Exonération</w:t>
            </w:r>
          </w:p>
        </w:tc>
        <w:tc>
          <w:tcPr>
            <w:tcW w:type="dxa" w:w="2246"/>
            <w:tcMar>
              <w:top w:type="dxa" w:w="60"/>
              <w:left w:type="dxa" w:w="90"/>
              <w:bottom w:type="dxa" w:w="60"/>
              <w:right w:type="dxa" w:w="90"/>
            </w:tcMar>
          </w:tcPr>
          <w:p>
            <w:pPr>
              <w:spacing w:after="20" w:line="240"/>
            </w:pPr>
            <w:r>
              <w:rPr>
                <w:b w:val="false"/>
                <w:bCs w:val="false"/>
                <w:sz w:val="18"/>
                <w:szCs w:val="18"/>
              </w:rPr>
              <w:t xml:space="preserve">Dérogation légale</w:t>
            </w:r>
          </w:p>
        </w:tc>
        <w:tc>
          <w:tcPr>
            <w:tcW w:type="dxa" w:w="3557"/>
            <w:tcMar>
              <w:top w:type="dxa" w:w="60"/>
              <w:left w:type="dxa" w:w="90"/>
              <w:bottom w:type="dxa" w:w="60"/>
              <w:right w:type="dxa" w:w="90"/>
            </w:tcMar>
          </w:tcPr>
          <w:p>
            <w:pPr>
              <w:spacing w:after="20" w:line="240"/>
            </w:pPr>
            <w:r>
              <w:rPr>
                <w:b w:val="false"/>
                <w:bCs w:val="false"/>
                <w:sz w:val="18"/>
                <w:szCs w:val="18"/>
              </w:rPr>
              <w:t xml:space="preserve">Bénéficiaire, preuve, durée, révision</w:t>
            </w:r>
          </w:p>
        </w:tc>
        <w:tc>
          <w:tcPr>
            <w:tcW w:type="dxa" w:w="1498"/>
            <w:tcMar>
              <w:top w:type="dxa" w:w="60"/>
              <w:left w:type="dxa" w:w="90"/>
              <w:bottom w:type="dxa" w:w="60"/>
              <w:right w:type="dxa" w:w="90"/>
            </w:tcMar>
          </w:tcPr>
          <w:p>
            <w:pPr>
              <w:spacing w:after="20" w:line="240"/>
            </w:pPr>
            <w:r>
              <w:rPr>
                <w:b w:val="false"/>
                <w:bCs w:val="false"/>
                <w:sz w:val="18"/>
                <w:szCs w:val="18"/>
              </w:rPr>
              <w:t xml:space="preserve">Fiscal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Déclaration</w:t>
            </w:r>
          </w:p>
        </w:tc>
        <w:tc>
          <w:tcPr>
            <w:tcW w:type="dxa" w:w="2246"/>
            <w:tcMar>
              <w:top w:type="dxa" w:w="60"/>
              <w:left w:type="dxa" w:w="90"/>
              <w:bottom w:type="dxa" w:w="60"/>
              <w:right w:type="dxa" w:w="90"/>
            </w:tcMar>
          </w:tcPr>
          <w:p>
            <w:pPr>
              <w:spacing w:after="20" w:line="240"/>
            </w:pPr>
            <w:r>
              <w:rPr>
                <w:b w:val="false"/>
                <w:bCs w:val="false"/>
                <w:sz w:val="18"/>
                <w:szCs w:val="18"/>
              </w:rPr>
              <w:t xml:space="preserve">Fait déclaré</w:t>
            </w:r>
          </w:p>
        </w:tc>
        <w:tc>
          <w:tcPr>
            <w:tcW w:type="dxa" w:w="3557"/>
            <w:tcMar>
              <w:top w:type="dxa" w:w="60"/>
              <w:left w:type="dxa" w:w="90"/>
              <w:bottom w:type="dxa" w:w="60"/>
              <w:right w:type="dxa" w:w="90"/>
            </w:tcMar>
          </w:tcPr>
          <w:p>
            <w:pPr>
              <w:spacing w:after="20" w:line="240"/>
            </w:pPr>
            <w:r>
              <w:rPr>
                <w:b w:val="false"/>
                <w:bCs w:val="false"/>
                <w:sz w:val="18"/>
                <w:szCs w:val="18"/>
              </w:rPr>
              <w:t xml:space="preserve">Contribuable, objet, période, pièces</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Liquidation / Obligation</w:t>
            </w:r>
          </w:p>
        </w:tc>
        <w:tc>
          <w:tcPr>
            <w:tcW w:type="dxa" w:w="2246"/>
            <w:tcMar>
              <w:top w:type="dxa" w:w="60"/>
              <w:left w:type="dxa" w:w="90"/>
              <w:bottom w:type="dxa" w:w="60"/>
              <w:right w:type="dxa" w:w="90"/>
            </w:tcMar>
          </w:tcPr>
          <w:p>
            <w:pPr>
              <w:spacing w:after="20" w:line="240"/>
            </w:pPr>
            <w:r>
              <w:rPr>
                <w:b w:val="false"/>
                <w:bCs w:val="false"/>
                <w:sz w:val="18"/>
                <w:szCs w:val="18"/>
              </w:rPr>
              <w:t xml:space="preserve">Dette liquidée</w:t>
            </w:r>
          </w:p>
        </w:tc>
        <w:tc>
          <w:tcPr>
            <w:tcW w:type="dxa" w:w="3557"/>
            <w:tcMar>
              <w:top w:type="dxa" w:w="60"/>
              <w:left w:type="dxa" w:w="90"/>
              <w:bottom w:type="dxa" w:w="60"/>
              <w:right w:type="dxa" w:w="90"/>
            </w:tcMar>
          </w:tcPr>
          <w:p>
            <w:pPr>
              <w:spacing w:after="20" w:line="240"/>
            </w:pPr>
            <w:r>
              <w:rPr>
                <w:b w:val="false"/>
                <w:bCs w:val="false"/>
                <w:sz w:val="18"/>
                <w:szCs w:val="18"/>
              </w:rPr>
              <w:t xml:space="preserve">Règle, objet, période, montant ; calculée, notifiée, payée, contestée, annulée</w:t>
            </w:r>
          </w:p>
        </w:tc>
        <w:tc>
          <w:tcPr>
            <w:tcW w:type="dxa" w:w="1498"/>
            <w:tcMar>
              <w:top w:type="dxa" w:w="60"/>
              <w:left w:type="dxa" w:w="90"/>
              <w:bottom w:type="dxa" w:w="60"/>
              <w:right w:type="dxa" w:w="90"/>
            </w:tcMar>
          </w:tcPr>
          <w:p>
            <w:pPr>
              <w:spacing w:after="20" w:line="240"/>
            </w:pPr>
            <w:r>
              <w:rPr>
                <w:b w:val="false"/>
                <w:bCs w:val="false"/>
                <w:sz w:val="18"/>
                <w:szCs w:val="18"/>
              </w:rPr>
              <w:t xml:space="preserve">Fiscal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AvisDePaiement</w:t>
            </w:r>
          </w:p>
        </w:tc>
        <w:tc>
          <w:tcPr>
            <w:tcW w:type="dxa" w:w="2246"/>
            <w:tcMar>
              <w:top w:type="dxa" w:w="60"/>
              <w:left w:type="dxa" w:w="90"/>
              <w:bottom w:type="dxa" w:w="60"/>
              <w:right w:type="dxa" w:w="90"/>
            </w:tcMar>
          </w:tcPr>
          <w:p>
            <w:pPr>
              <w:spacing w:after="20" w:line="240"/>
            </w:pPr>
            <w:r>
              <w:rPr>
                <w:b w:val="false"/>
                <w:bCs w:val="false"/>
                <w:sz w:val="18"/>
                <w:szCs w:val="18"/>
              </w:rPr>
              <w:t xml:space="preserve">Document de paiement</w:t>
            </w:r>
          </w:p>
        </w:tc>
        <w:tc>
          <w:tcPr>
            <w:tcW w:type="dxa" w:w="3557"/>
            <w:tcMar>
              <w:top w:type="dxa" w:w="60"/>
              <w:left w:type="dxa" w:w="90"/>
              <w:bottom w:type="dxa" w:w="60"/>
              <w:right w:type="dxa" w:w="90"/>
            </w:tcMar>
          </w:tcPr>
          <w:p>
            <w:pPr>
              <w:spacing w:after="20" w:line="240"/>
            </w:pPr>
            <w:r>
              <w:rPr>
                <w:b w:val="false"/>
                <w:bCs w:val="false"/>
                <w:sz w:val="18"/>
                <w:szCs w:val="18"/>
              </w:rPr>
              <w:t xml:space="preserve">Référence unique, échéance</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OrdreDePaiement / ÉvénementDePaiement</w:t>
            </w:r>
          </w:p>
        </w:tc>
        <w:tc>
          <w:tcPr>
            <w:tcW w:type="dxa" w:w="2246"/>
            <w:tcMar>
              <w:top w:type="dxa" w:w="60"/>
              <w:left w:type="dxa" w:w="90"/>
              <w:bottom w:type="dxa" w:w="60"/>
              <w:right w:type="dxa" w:w="90"/>
            </w:tcMar>
          </w:tcPr>
          <w:p>
            <w:pPr>
              <w:spacing w:after="20" w:line="240"/>
            </w:pPr>
            <w:r>
              <w:rPr>
                <w:b w:val="false"/>
                <w:bCs w:val="false"/>
                <w:sz w:val="18"/>
                <w:szCs w:val="18"/>
              </w:rPr>
              <w:t xml:space="preserve">Suivi du paiement</w:t>
            </w:r>
          </w:p>
        </w:tc>
        <w:tc>
          <w:tcPr>
            <w:tcW w:type="dxa" w:w="3557"/>
            <w:tcMar>
              <w:top w:type="dxa" w:w="60"/>
              <w:left w:type="dxa" w:w="90"/>
              <w:bottom w:type="dxa" w:w="60"/>
              <w:right w:type="dxa" w:w="90"/>
            </w:tcMar>
          </w:tcPr>
          <w:p>
            <w:pPr>
              <w:spacing w:after="20" w:line="240"/>
            </w:pPr>
            <w:r>
              <w:rPr>
                <w:b w:val="false"/>
                <w:bCs w:val="false"/>
                <w:sz w:val="18"/>
                <w:szCs w:val="18"/>
              </w:rPr>
              <w:t xml:space="preserve">Canal, prestataire, statut, horodatage</w:t>
            </w:r>
          </w:p>
        </w:tc>
        <w:tc>
          <w:tcPr>
            <w:tcW w:type="dxa" w:w="1498"/>
            <w:tcMar>
              <w:top w:type="dxa" w:w="60"/>
              <w:left w:type="dxa" w:w="90"/>
              <w:bottom w:type="dxa" w:w="60"/>
              <w:right w:type="dxa" w:w="90"/>
            </w:tcMar>
          </w:tcPr>
          <w:p>
            <w:pPr>
              <w:spacing w:after="20" w:line="240"/>
            </w:pPr>
            <w:r>
              <w:rPr>
                <w:b w:val="false"/>
                <w:bCs w:val="false"/>
                <w:sz w:val="18"/>
                <w:szCs w:val="18"/>
              </w:rPr>
              <w:t xml:space="preserve">Financier</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Règlement / Rapprochement</w:t>
            </w:r>
          </w:p>
        </w:tc>
        <w:tc>
          <w:tcPr>
            <w:tcW w:type="dxa" w:w="2246"/>
            <w:tcMar>
              <w:top w:type="dxa" w:w="60"/>
              <w:left w:type="dxa" w:w="90"/>
              <w:bottom w:type="dxa" w:w="60"/>
              <w:right w:type="dxa" w:w="90"/>
            </w:tcMar>
          </w:tcPr>
          <w:p>
            <w:pPr>
              <w:spacing w:after="20" w:line="240"/>
            </w:pPr>
            <w:r>
              <w:rPr>
                <w:b w:val="false"/>
                <w:bCs w:val="false"/>
                <w:sz w:val="18"/>
                <w:szCs w:val="18"/>
              </w:rPr>
              <w:t xml:space="preserve">Arrivée et appariement des fonds</w:t>
            </w:r>
          </w:p>
        </w:tc>
        <w:tc>
          <w:tcPr>
            <w:tcW w:type="dxa" w:w="3557"/>
            <w:tcMar>
              <w:top w:type="dxa" w:w="60"/>
              <w:left w:type="dxa" w:w="90"/>
              <w:bottom w:type="dxa" w:w="60"/>
              <w:right w:type="dxa" w:w="90"/>
            </w:tcMar>
          </w:tcPr>
          <w:p>
            <w:pPr>
              <w:spacing w:after="20" w:line="240"/>
            </w:pPr>
            <w:r>
              <w:rPr>
                <w:b w:val="false"/>
                <w:bCs w:val="false"/>
                <w:sz w:val="18"/>
                <w:szCs w:val="18"/>
              </w:rPr>
              <w:t xml:space="preserve">Compte public, relevé, écarts</w:t>
            </w:r>
          </w:p>
        </w:tc>
        <w:tc>
          <w:tcPr>
            <w:tcW w:type="dxa" w:w="1498"/>
            <w:tcMar>
              <w:top w:type="dxa" w:w="60"/>
              <w:left w:type="dxa" w:w="90"/>
              <w:bottom w:type="dxa" w:w="60"/>
              <w:right w:type="dxa" w:w="90"/>
            </w:tcMar>
          </w:tcPr>
          <w:p>
            <w:pPr>
              <w:spacing w:after="20" w:line="240"/>
            </w:pPr>
            <w:r>
              <w:rPr>
                <w:b w:val="false"/>
                <w:bCs w:val="false"/>
                <w:sz w:val="18"/>
                <w:szCs w:val="18"/>
              </w:rPr>
              <w:t xml:space="preserve">Financier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Quittance</w:t>
            </w:r>
          </w:p>
        </w:tc>
        <w:tc>
          <w:tcPr>
            <w:tcW w:type="dxa" w:w="2246"/>
            <w:tcMar>
              <w:top w:type="dxa" w:w="60"/>
              <w:left w:type="dxa" w:w="90"/>
              <w:bottom w:type="dxa" w:w="60"/>
              <w:right w:type="dxa" w:w="90"/>
            </w:tcMar>
          </w:tcPr>
          <w:p>
            <w:pPr>
              <w:spacing w:after="20" w:line="240"/>
            </w:pPr>
            <w:r>
              <w:rPr>
                <w:b w:val="false"/>
                <w:bCs w:val="false"/>
                <w:sz w:val="18"/>
                <w:szCs w:val="18"/>
              </w:rPr>
              <w:t xml:space="preserve">Preuve de paiement</w:t>
            </w:r>
          </w:p>
        </w:tc>
        <w:tc>
          <w:tcPr>
            <w:tcW w:type="dxa" w:w="3557"/>
            <w:tcMar>
              <w:top w:type="dxa" w:w="60"/>
              <w:left w:type="dxa" w:w="90"/>
              <w:bottom w:type="dxa" w:w="60"/>
              <w:right w:type="dxa" w:w="90"/>
            </w:tcMar>
          </w:tcPr>
          <w:p>
            <w:pPr>
              <w:spacing w:after="20" w:line="240"/>
            </w:pPr>
            <w:r>
              <w:rPr>
                <w:b w:val="false"/>
                <w:bCs w:val="false"/>
                <w:sz w:val="18"/>
                <w:szCs w:val="18"/>
              </w:rPr>
              <w:t xml:space="preserve">Signature, QR, statut</w:t>
            </w:r>
          </w:p>
        </w:tc>
        <w:tc>
          <w:tcPr>
            <w:tcW w:type="dxa" w:w="1498"/>
            <w:tcMar>
              <w:top w:type="dxa" w:w="60"/>
              <w:left w:type="dxa" w:w="90"/>
              <w:bottom w:type="dxa" w:w="60"/>
              <w:right w:type="dxa" w:w="90"/>
            </w:tcMar>
          </w:tcPr>
          <w:p>
            <w:pPr>
              <w:spacing w:after="20" w:line="240"/>
            </w:pPr>
            <w:r>
              <w:rPr>
                <w:b w:val="false"/>
                <w:bCs w:val="false"/>
                <w:sz w:val="18"/>
                <w:szCs w:val="18"/>
              </w:rPr>
              <w:t xml:space="preserve">Semi-public</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Inspection / MissionTerrain / Preuve</w:t>
            </w:r>
          </w:p>
        </w:tc>
        <w:tc>
          <w:tcPr>
            <w:tcW w:type="dxa" w:w="2246"/>
            <w:tcMar>
              <w:top w:type="dxa" w:w="60"/>
              <w:left w:type="dxa" w:w="90"/>
              <w:bottom w:type="dxa" w:w="60"/>
              <w:right w:type="dxa" w:w="90"/>
            </w:tcMar>
          </w:tcPr>
          <w:p>
            <w:pPr>
              <w:spacing w:after="20" w:line="240"/>
            </w:pPr>
            <w:r>
              <w:rPr>
                <w:b w:val="false"/>
                <w:bCs w:val="false"/>
                <w:sz w:val="18"/>
                <w:szCs w:val="18"/>
              </w:rPr>
              <w:t xml:space="preserve">Contrôle et preuve</w:t>
            </w:r>
          </w:p>
        </w:tc>
        <w:tc>
          <w:tcPr>
            <w:tcW w:type="dxa" w:w="3557"/>
            <w:tcMar>
              <w:top w:type="dxa" w:w="60"/>
              <w:left w:type="dxa" w:w="90"/>
              <w:bottom w:type="dxa" w:w="60"/>
              <w:right w:type="dxa" w:w="90"/>
            </w:tcMar>
          </w:tcPr>
          <w:p>
            <w:pPr>
              <w:spacing w:after="20" w:line="240"/>
            </w:pPr>
            <w:r>
              <w:rPr>
                <w:b w:val="false"/>
                <w:bCs w:val="false"/>
                <w:sz w:val="18"/>
                <w:szCs w:val="18"/>
              </w:rPr>
              <w:t xml:space="preserve">Agent, zone, objet, photos, GPS</w:t>
            </w:r>
          </w:p>
        </w:tc>
        <w:tc>
          <w:tcPr>
            <w:tcW w:type="dxa" w:w="1498"/>
            <w:tcMar>
              <w:top w:type="dxa" w:w="60"/>
              <w:left w:type="dxa" w:w="90"/>
              <w:bottom w:type="dxa" w:w="60"/>
              <w:right w:type="dxa" w:w="90"/>
            </w:tcMar>
          </w:tcPr>
          <w:p>
            <w:pPr>
              <w:spacing w:after="20" w:line="240"/>
            </w:pPr>
            <w:r>
              <w:rPr>
                <w:b w:val="false"/>
                <w:bCs w:val="false"/>
                <w:sz w:val="18"/>
                <w:szCs w:val="18"/>
              </w:rPr>
              <w:t xml:space="preserve">Interne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Notification</w:t>
            </w:r>
          </w:p>
        </w:tc>
        <w:tc>
          <w:tcPr>
            <w:tcW w:type="dxa" w:w="2246"/>
            <w:tcMar>
              <w:top w:type="dxa" w:w="60"/>
              <w:left w:type="dxa" w:w="90"/>
              <w:bottom w:type="dxa" w:w="60"/>
              <w:right w:type="dxa" w:w="90"/>
            </w:tcMar>
          </w:tcPr>
          <w:p>
            <w:pPr>
              <w:spacing w:after="20" w:line="240"/>
            </w:pPr>
            <w:r>
              <w:rPr>
                <w:b w:val="false"/>
                <w:bCs w:val="false"/>
                <w:sz w:val="18"/>
                <w:szCs w:val="18"/>
              </w:rPr>
              <w:t xml:space="preserve">Communication opposable</w:t>
            </w:r>
          </w:p>
        </w:tc>
        <w:tc>
          <w:tcPr>
            <w:tcW w:type="dxa" w:w="3557"/>
            <w:tcMar>
              <w:top w:type="dxa" w:w="60"/>
              <w:left w:type="dxa" w:w="90"/>
              <w:bottom w:type="dxa" w:w="60"/>
              <w:right w:type="dxa" w:w="90"/>
            </w:tcMar>
          </w:tcPr>
          <w:p>
            <w:pPr>
              <w:spacing w:after="20" w:line="240"/>
            </w:pPr>
            <w:r>
              <w:rPr>
                <w:b w:val="false"/>
                <w:bCs w:val="false"/>
                <w:sz w:val="18"/>
                <w:szCs w:val="18"/>
              </w:rPr>
              <w:t xml:space="preserve">Canal, contenu, accusé</w:t>
            </w:r>
          </w:p>
        </w:tc>
        <w:tc>
          <w:tcPr>
            <w:tcW w:type="dxa" w:w="1498"/>
            <w:tcMar>
              <w:top w:type="dxa" w:w="60"/>
              <w:left w:type="dxa" w:w="90"/>
              <w:bottom w:type="dxa" w:w="60"/>
              <w:right w:type="dxa" w:w="90"/>
            </w:tcMar>
          </w:tcPr>
          <w:p>
            <w:pPr>
              <w:spacing w:after="20" w:line="240"/>
            </w:pPr>
            <w:r>
              <w:rPr>
                <w:b w:val="false"/>
                <w:bCs w:val="false"/>
                <w:sz w:val="18"/>
                <w:szCs w:val="18"/>
              </w:rPr>
              <w:t xml:space="preserve">Fiscal</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Recours / Pénalité / DossierExécution</w:t>
            </w:r>
          </w:p>
        </w:tc>
        <w:tc>
          <w:tcPr>
            <w:tcW w:type="dxa" w:w="2246"/>
            <w:tcMar>
              <w:top w:type="dxa" w:w="60"/>
              <w:left w:type="dxa" w:w="90"/>
              <w:bottom w:type="dxa" w:w="60"/>
              <w:right w:type="dxa" w:w="90"/>
            </w:tcMar>
          </w:tcPr>
          <w:p>
            <w:pPr>
              <w:spacing w:after="20" w:line="240"/>
            </w:pPr>
            <w:r>
              <w:rPr>
                <w:b w:val="false"/>
                <w:bCs w:val="false"/>
                <w:sz w:val="18"/>
                <w:szCs w:val="18"/>
              </w:rPr>
              <w:t xml:space="preserve">Contentieux et recouvrement</w:t>
            </w:r>
          </w:p>
        </w:tc>
        <w:tc>
          <w:tcPr>
            <w:tcW w:type="dxa" w:w="3557"/>
            <w:tcMar>
              <w:top w:type="dxa" w:w="60"/>
              <w:left w:type="dxa" w:w="90"/>
              <w:bottom w:type="dxa" w:w="60"/>
              <w:right w:type="dxa" w:w="90"/>
            </w:tcMar>
          </w:tcPr>
          <w:p>
            <w:pPr>
              <w:spacing w:after="20" w:line="240"/>
            </w:pPr>
            <w:r>
              <w:rPr>
                <w:b w:val="false"/>
                <w:bCs w:val="false"/>
                <w:sz w:val="18"/>
                <w:szCs w:val="18"/>
              </w:rPr>
              <w:t xml:space="preserve">Décision, délai, voie de recours</w:t>
            </w:r>
          </w:p>
        </w:tc>
        <w:tc>
          <w:tcPr>
            <w:tcW w:type="dxa" w:w="1498"/>
            <w:tcMar>
              <w:top w:type="dxa" w:w="60"/>
              <w:left w:type="dxa" w:w="90"/>
              <w:bottom w:type="dxa" w:w="60"/>
              <w:right w:type="dxa" w:w="90"/>
            </w:tcMar>
          </w:tcPr>
          <w:p>
            <w:pPr>
              <w:spacing w:after="20" w:line="240"/>
            </w:pPr>
            <w:r>
              <w:rPr>
                <w:b w:val="false"/>
                <w:bCs w:val="false"/>
                <w:sz w:val="18"/>
                <w:szCs w:val="18"/>
              </w:rPr>
              <w:t xml:space="preserve">Fiscal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RègleAffectation / RecommandationBudgétaire / ProjetPublic</w:t>
            </w:r>
          </w:p>
        </w:tc>
        <w:tc>
          <w:tcPr>
            <w:tcW w:type="dxa" w:w="2246"/>
            <w:tcMar>
              <w:top w:type="dxa" w:w="60"/>
              <w:left w:type="dxa" w:w="90"/>
              <w:bottom w:type="dxa" w:w="60"/>
              <w:right w:type="dxa" w:w="90"/>
            </w:tcMar>
          </w:tcPr>
          <w:p>
            <w:pPr>
              <w:spacing w:after="20" w:line="240"/>
            </w:pPr>
            <w:r>
              <w:rPr>
                <w:b w:val="false"/>
                <w:bCs w:val="false"/>
                <w:sz w:val="18"/>
                <w:szCs w:val="18"/>
              </w:rPr>
              <w:t xml:space="preserve">Emploi des fonds</w:t>
            </w:r>
          </w:p>
        </w:tc>
        <w:tc>
          <w:tcPr>
            <w:tcW w:type="dxa" w:w="3557"/>
            <w:tcMar>
              <w:top w:type="dxa" w:w="60"/>
              <w:left w:type="dxa" w:w="90"/>
              <w:bottom w:type="dxa" w:w="60"/>
              <w:right w:type="dxa" w:w="90"/>
            </w:tcMar>
          </w:tcPr>
          <w:p>
            <w:pPr>
              <w:spacing w:after="20" w:line="240"/>
            </w:pPr>
            <w:r>
              <w:rPr>
                <w:b w:val="false"/>
                <w:bCs w:val="false"/>
                <w:sz w:val="18"/>
                <w:szCs w:val="18"/>
              </w:rPr>
              <w:t xml:space="preserve">Budget voté, projet, autorité</w:t>
            </w:r>
          </w:p>
        </w:tc>
        <w:tc>
          <w:tcPr>
            <w:tcW w:type="dxa" w:w="1498"/>
            <w:tcMar>
              <w:top w:type="dxa" w:w="60"/>
              <w:left w:type="dxa" w:w="90"/>
              <w:bottom w:type="dxa" w:w="60"/>
              <w:right w:type="dxa" w:w="90"/>
            </w:tcMar>
          </w:tcPr>
          <w:p>
            <w:pPr>
              <w:spacing w:after="20" w:line="240"/>
            </w:pPr>
            <w:r>
              <w:rPr>
                <w:b w:val="false"/>
                <w:bCs w:val="false"/>
                <w:sz w:val="18"/>
                <w:szCs w:val="18"/>
              </w:rPr>
              <w:t xml:space="preserve">Public agrégé</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Rôle / Permission / Délégation / Appareil</w:t>
            </w:r>
          </w:p>
        </w:tc>
        <w:tc>
          <w:tcPr>
            <w:tcW w:type="dxa" w:w="2246"/>
            <w:tcMar>
              <w:top w:type="dxa" w:w="60"/>
              <w:left w:type="dxa" w:w="90"/>
              <w:bottom w:type="dxa" w:w="60"/>
              <w:right w:type="dxa" w:w="90"/>
            </w:tcMar>
          </w:tcPr>
          <w:p>
            <w:pPr>
              <w:spacing w:after="20" w:line="240"/>
            </w:pPr>
            <w:r>
              <w:rPr>
                <w:b w:val="false"/>
                <w:bCs w:val="false"/>
                <w:sz w:val="18"/>
                <w:szCs w:val="18"/>
              </w:rPr>
              <w:t xml:space="preserve">Habilitations</w:t>
            </w:r>
          </w:p>
        </w:tc>
        <w:tc>
          <w:tcPr>
            <w:tcW w:type="dxa" w:w="3557"/>
            <w:tcMar>
              <w:top w:type="dxa" w:w="60"/>
              <w:left w:type="dxa" w:w="90"/>
              <w:bottom w:type="dxa" w:w="60"/>
              <w:right w:type="dxa" w:w="90"/>
            </w:tcMar>
          </w:tcPr>
          <w:p>
            <w:pPr>
              <w:spacing w:after="20" w:line="240"/>
            </w:pPr>
            <w:r>
              <w:rPr>
                <w:b w:val="false"/>
                <w:bCs w:val="false"/>
                <w:sz w:val="18"/>
                <w:szCs w:val="18"/>
              </w:rPr>
              <w:t xml:space="preserve">Portée, durée, expiration</w:t>
            </w:r>
          </w:p>
        </w:tc>
        <w:tc>
          <w:tcPr>
            <w:tcW w:type="dxa" w:w="1498"/>
            <w:tcMar>
              <w:top w:type="dxa" w:w="60"/>
              <w:left w:type="dxa" w:w="90"/>
              <w:bottom w:type="dxa" w:w="60"/>
              <w:right w:type="dxa" w:w="90"/>
            </w:tcMar>
          </w:tcPr>
          <w:p>
            <w:pPr>
              <w:spacing w:after="20" w:line="240"/>
            </w:pPr>
            <w:r>
              <w:rPr>
                <w:b w:val="false"/>
                <w:bCs w:val="false"/>
                <w:sz w:val="18"/>
                <w:szCs w:val="18"/>
              </w:rPr>
              <w:t xml:space="preserve">Interne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RecommandationIA / AlerteFraude</w:t>
            </w:r>
          </w:p>
        </w:tc>
        <w:tc>
          <w:tcPr>
            <w:tcW w:type="dxa" w:w="2246"/>
            <w:tcMar>
              <w:top w:type="dxa" w:w="60"/>
              <w:left w:type="dxa" w:w="90"/>
              <w:bottom w:type="dxa" w:w="60"/>
              <w:right w:type="dxa" w:w="90"/>
            </w:tcMar>
          </w:tcPr>
          <w:p>
            <w:pPr>
              <w:spacing w:after="20" w:line="240"/>
            </w:pPr>
            <w:r>
              <w:rPr>
                <w:b w:val="false"/>
                <w:bCs w:val="false"/>
                <w:sz w:val="18"/>
                <w:szCs w:val="18"/>
              </w:rPr>
              <w:t xml:space="preserve">Aide à la décision</w:t>
            </w:r>
          </w:p>
        </w:tc>
        <w:tc>
          <w:tcPr>
            <w:tcW w:type="dxa" w:w="3557"/>
            <w:tcMar>
              <w:top w:type="dxa" w:w="60"/>
              <w:left w:type="dxa" w:w="90"/>
              <w:bottom w:type="dxa" w:w="60"/>
              <w:right w:type="dxa" w:w="90"/>
            </w:tcMar>
          </w:tcPr>
          <w:p>
            <w:pPr>
              <w:spacing w:after="20" w:line="240"/>
            </w:pPr>
            <w:r>
              <w:rPr>
                <w:b w:val="false"/>
                <w:bCs w:val="false"/>
                <w:sz w:val="18"/>
                <w:szCs w:val="18"/>
              </w:rPr>
              <w:t xml:space="preserve">Modèle, version, entrée, sortie, décideur humain</w:t>
            </w:r>
          </w:p>
        </w:tc>
        <w:tc>
          <w:tcPr>
            <w:tcW w:type="dxa" w:w="1498"/>
            <w:tcMar>
              <w:top w:type="dxa" w:w="60"/>
              <w:left w:type="dxa" w:w="90"/>
              <w:bottom w:type="dxa" w:w="60"/>
              <w:right w:type="dxa" w:w="90"/>
            </w:tcMar>
          </w:tcPr>
          <w:p>
            <w:pPr>
              <w:spacing w:after="20" w:line="240"/>
            </w:pPr>
            <w:r>
              <w:rPr>
                <w:b w:val="false"/>
                <w:bCs w:val="false"/>
                <w:sz w:val="18"/>
                <w:szCs w:val="18"/>
              </w:rPr>
              <w:t xml:space="preserve">Interne sensible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ÉvénementAudit</w:t>
            </w:r>
          </w:p>
        </w:tc>
        <w:tc>
          <w:tcPr>
            <w:tcW w:type="dxa" w:w="2246"/>
            <w:tcMar>
              <w:top w:type="dxa" w:w="60"/>
              <w:left w:type="dxa" w:w="90"/>
              <w:bottom w:type="dxa" w:w="60"/>
              <w:right w:type="dxa" w:w="90"/>
            </w:tcMar>
          </w:tcPr>
          <w:p>
            <w:pPr>
              <w:spacing w:after="20" w:line="240"/>
            </w:pPr>
            <w:r>
              <w:rPr>
                <w:b w:val="false"/>
                <w:bCs w:val="false"/>
                <w:sz w:val="18"/>
                <w:szCs w:val="18"/>
              </w:rPr>
              <w:t xml:space="preserve">Preuve d'action</w:t>
            </w:r>
          </w:p>
        </w:tc>
        <w:tc>
          <w:tcPr>
            <w:tcW w:type="dxa" w:w="3557"/>
            <w:tcMar>
              <w:top w:type="dxa" w:w="60"/>
              <w:left w:type="dxa" w:w="90"/>
              <w:bottom w:type="dxa" w:w="60"/>
              <w:right w:type="dxa" w:w="90"/>
            </w:tcMar>
          </w:tcPr>
          <w:p>
            <w:pPr>
              <w:spacing w:after="20" w:line="240"/>
            </w:pPr>
            <w:r>
              <w:rPr>
                <w:b w:val="false"/>
                <w:bCs w:val="false"/>
                <w:sz w:val="18"/>
                <w:szCs w:val="18"/>
              </w:rPr>
              <w:t xml:space="preserve">Acteur, action, objet, horodatage, appareil, position ; ajout seul</w:t>
            </w:r>
          </w:p>
        </w:tc>
        <w:tc>
          <w:tcPr>
            <w:tcW w:type="dxa" w:w="1498"/>
            <w:tcMar>
              <w:top w:type="dxa" w:w="60"/>
              <w:left w:type="dxa" w:w="90"/>
              <w:bottom w:type="dxa" w:w="60"/>
              <w:right w:type="dxa" w:w="90"/>
            </w:tcMar>
          </w:tcPr>
          <w:p>
            <w:pPr>
              <w:spacing w:after="20" w:line="240"/>
            </w:pPr>
            <w:r>
              <w:rPr>
                <w:b w:val="false"/>
                <w:bCs w:val="false"/>
                <w:sz w:val="18"/>
                <w:szCs w:val="18"/>
              </w:rPr>
              <w:t xml:space="preserve">Audit, inaltérable</w:t>
            </w:r>
          </w:p>
        </w:tc>
      </w:tr>
    </w:tbl>
    <w:p>
      <w:pPr>
        <w:pStyle w:val="Heading1"/>
        <w:spacing w:after="160" w:before="360"/>
      </w:pPr>
      <w:r>
        <w:t xml:space="preserve">31. Catalogue des API</w:t>
      </w:r>
    </w:p>
    <w:p>
      <w:pPr>
        <w:spacing w:after="120" w:line="276"/>
        <w:jc w:val="both"/>
      </w:pPr>
      <w:r>
        <w:rPr>
          <w:b w:val="false"/>
          <w:bCs w:val="false"/>
          <w:i w:val="false"/>
          <w:iCs w:val="false"/>
          <w:sz w:val="21"/>
          <w:szCs w:val="21"/>
        </w:rPr>
        <w:t xml:space="preserve">Toutes les API sont authentifiées, journalisées, versionnées et soumises à quotas. Les appels créant un effet financier sont idempotents par clé fournie par l'appelant. Le tableau présente le noyau ; la spécification complète est un livrable de la phase 2.</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2059"/>
        <w:gridCol w:w="2059"/>
        <w:gridCol w:w="2808"/>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Méthode et route</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Objet</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Acteur autorisé</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Contrôles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/v1/comptes</w:t>
            </w:r>
          </w:p>
        </w:tc>
        <w:tc>
          <w:tcPr>
            <w:tcW w:type="dxa" w:w="2059"/>
            <w:tcMar>
              <w:top w:type="dxa" w:w="60"/>
              <w:left w:type="dxa" w:w="90"/>
              <w:bottom w:type="dxa" w:w="60"/>
              <w:right w:type="dxa" w:w="90"/>
            </w:tcMar>
          </w:tcPr>
          <w:p>
            <w:pPr>
              <w:spacing w:after="20" w:line="240"/>
            </w:pPr>
            <w:r>
              <w:rPr>
                <w:b w:val="false"/>
                <w:bCs w:val="false"/>
                <w:sz w:val="18"/>
                <w:szCs w:val="18"/>
              </w:rPr>
              <w:t xml:space="preserve">Créer un compte</w:t>
            </w:r>
          </w:p>
        </w:tc>
        <w:tc>
          <w:tcPr>
            <w:tcW w:type="dxa" w:w="2059"/>
            <w:tcMar>
              <w:top w:type="dxa" w:w="60"/>
              <w:left w:type="dxa" w:w="90"/>
              <w:bottom w:type="dxa" w:w="60"/>
              <w:right w:type="dxa" w:w="90"/>
            </w:tcMar>
          </w:tcPr>
          <w:p>
            <w:pPr>
              <w:spacing w:after="20" w:line="240"/>
            </w:pPr>
            <w:r>
              <w:rPr>
                <w:b w:val="false"/>
                <w:bCs w:val="false"/>
                <w:sz w:val="18"/>
                <w:szCs w:val="18"/>
              </w:rPr>
              <w:t xml:space="preserve">Public</w:t>
            </w:r>
          </w:p>
        </w:tc>
        <w:tc>
          <w:tcPr>
            <w:tcW w:type="dxa" w:w="2808"/>
            <w:tcMar>
              <w:top w:type="dxa" w:w="60"/>
              <w:left w:type="dxa" w:w="90"/>
              <w:bottom w:type="dxa" w:w="60"/>
              <w:right w:type="dxa" w:w="90"/>
            </w:tcMar>
          </w:tcPr>
          <w:p>
            <w:pPr>
              <w:spacing w:after="20" w:line="240"/>
            </w:pPr>
            <w:r>
              <w:rPr>
                <w:b w:val="false"/>
                <w:bCs w:val="false"/>
                <w:sz w:val="18"/>
                <w:szCs w:val="18"/>
              </w:rPr>
              <w:t xml:space="preserve">Vérification téléphone, anti-doublon, journal</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/v1/identites/verification</w:t>
            </w:r>
          </w:p>
        </w:tc>
        <w:tc>
          <w:tcPr>
            <w:tcW w:type="dxa" w:w="2059"/>
            <w:tcMar>
              <w:top w:type="dxa" w:w="60"/>
              <w:left w:type="dxa" w:w="90"/>
              <w:bottom w:type="dxa" w:w="60"/>
              <w:right w:type="dxa" w:w="90"/>
            </w:tcMar>
          </w:tcPr>
          <w:p>
            <w:pPr>
              <w:spacing w:after="20" w:line="240"/>
            </w:pPr>
            <w:r>
              <w:rPr>
                <w:b w:val="false"/>
                <w:bCs w:val="false"/>
                <w:sz w:val="18"/>
                <w:szCs w:val="18"/>
              </w:rPr>
              <w:t xml:space="preserve">Élever le niveau de vérification</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 agent</w:t>
            </w:r>
          </w:p>
        </w:tc>
        <w:tc>
          <w:tcPr>
            <w:tcW w:type="dxa" w:w="2808"/>
            <w:tcMar>
              <w:top w:type="dxa" w:w="60"/>
              <w:left w:type="dxa" w:w="90"/>
              <w:bottom w:type="dxa" w:w="60"/>
              <w:right w:type="dxa" w:w="90"/>
            </w:tcMar>
          </w:tcPr>
          <w:p>
            <w:pPr>
              <w:spacing w:after="20" w:line="240"/>
            </w:pPr>
            <w:r>
              <w:rPr>
                <w:b w:val="false"/>
                <w:bCs w:val="false"/>
                <w:sz w:val="18"/>
                <w:szCs w:val="18"/>
              </w:rPr>
              <w:t xml:space="preserve">Pièces, double validation N3</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/v1/objets</w:t>
            </w:r>
          </w:p>
        </w:tc>
        <w:tc>
          <w:tcPr>
            <w:tcW w:type="dxa" w:w="2059"/>
            <w:tcMar>
              <w:top w:type="dxa" w:w="60"/>
              <w:left w:type="dxa" w:w="90"/>
              <w:bottom w:type="dxa" w:w="60"/>
              <w:right w:type="dxa" w:w="90"/>
            </w:tcMar>
          </w:tcPr>
          <w:p>
            <w:pPr>
              <w:spacing w:after="20" w:line="240"/>
            </w:pPr>
            <w:r>
              <w:rPr>
                <w:b w:val="false"/>
                <w:bCs w:val="false"/>
                <w:sz w:val="18"/>
                <w:szCs w:val="18"/>
              </w:rPr>
              <w:t xml:space="preserve">Déclarer un objet</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 agent</w:t>
            </w:r>
          </w:p>
        </w:tc>
        <w:tc>
          <w:tcPr>
            <w:tcW w:type="dxa" w:w="2808"/>
            <w:tcMar>
              <w:top w:type="dxa" w:w="60"/>
              <w:left w:type="dxa" w:w="90"/>
              <w:bottom w:type="dxa" w:w="60"/>
              <w:right w:type="dxa" w:w="90"/>
            </w:tcMar>
          </w:tcPr>
          <w:p>
            <w:pPr>
              <w:spacing w:after="20" w:line="240"/>
            </w:pPr>
            <w:r>
              <w:rPr>
                <w:b w:val="false"/>
                <w:bCs w:val="false"/>
                <w:sz w:val="18"/>
                <w:szCs w:val="18"/>
              </w:rPr>
              <w:t xml:space="preserve">Géolocalisation, catégorie, preuve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/v1/baux</w:t>
            </w:r>
          </w:p>
        </w:tc>
        <w:tc>
          <w:tcPr>
            <w:tcW w:type="dxa" w:w="2059"/>
            <w:tcMar>
              <w:top w:type="dxa" w:w="60"/>
              <w:left w:type="dxa" w:w="90"/>
              <w:bottom w:type="dxa" w:w="60"/>
              <w:right w:type="dxa" w:w="90"/>
            </w:tcMar>
          </w:tcPr>
          <w:p>
            <w:pPr>
              <w:spacing w:after="20" w:line="240"/>
            </w:pPr>
            <w:r>
              <w:rPr>
                <w:b w:val="false"/>
                <w:bCs w:val="false"/>
                <w:sz w:val="18"/>
                <w:szCs w:val="18"/>
              </w:rPr>
              <w:t xml:space="preserve">Déclarer un bail</w:t>
            </w:r>
          </w:p>
        </w:tc>
        <w:tc>
          <w:tcPr>
            <w:tcW w:type="dxa" w:w="2059"/>
            <w:tcMar>
              <w:top w:type="dxa" w:w="60"/>
              <w:left w:type="dxa" w:w="90"/>
              <w:bottom w:type="dxa" w:w="60"/>
              <w:right w:type="dxa" w:w="90"/>
            </w:tcMar>
          </w:tcPr>
          <w:p>
            <w:pPr>
              <w:spacing w:after="20" w:line="240"/>
            </w:pPr>
            <w:r>
              <w:rPr>
                <w:b w:val="false"/>
                <w:bCs w:val="false"/>
                <w:sz w:val="18"/>
                <w:szCs w:val="18"/>
              </w:rPr>
              <w:t xml:space="preserve">Bailleur, locataire</w:t>
            </w:r>
          </w:p>
        </w:tc>
        <w:tc>
          <w:tcPr>
            <w:tcW w:type="dxa" w:w="2808"/>
            <w:tcMar>
              <w:top w:type="dxa" w:w="60"/>
              <w:left w:type="dxa" w:w="90"/>
              <w:bottom w:type="dxa" w:w="60"/>
              <w:right w:type="dxa" w:w="90"/>
            </w:tcMar>
          </w:tcPr>
          <w:p>
            <w:pPr>
              <w:spacing w:after="20" w:line="240"/>
            </w:pPr>
            <w:r>
              <w:rPr>
                <w:b w:val="false"/>
                <w:bCs w:val="false"/>
                <w:sz w:val="18"/>
                <w:szCs w:val="18"/>
              </w:rPr>
              <w:t xml:space="preserve">Cohérence loyer, unité, période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/v1/objets/{id}/obligations</w:t>
            </w:r>
          </w:p>
        </w:tc>
        <w:tc>
          <w:tcPr>
            <w:tcW w:type="dxa" w:w="2059"/>
            <w:tcMar>
              <w:top w:type="dxa" w:w="60"/>
              <w:left w:type="dxa" w:w="90"/>
              <w:bottom w:type="dxa" w:w="60"/>
              <w:right w:type="dxa" w:w="90"/>
            </w:tcMar>
          </w:tcPr>
          <w:p>
            <w:pPr>
              <w:spacing w:after="20" w:line="240"/>
            </w:pPr>
            <w:r>
              <w:rPr>
                <w:b w:val="false"/>
                <w:bCs w:val="false"/>
                <w:sz w:val="18"/>
                <w:szCs w:val="18"/>
              </w:rPr>
              <w:t xml:space="preserve">Obligations applicables</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 agent habilité</w:t>
            </w:r>
          </w:p>
        </w:tc>
        <w:tc>
          <w:tcPr>
            <w:tcW w:type="dxa" w:w="2808"/>
            <w:tcMar>
              <w:top w:type="dxa" w:w="60"/>
              <w:left w:type="dxa" w:w="90"/>
              <w:bottom w:type="dxa" w:w="60"/>
              <w:right w:type="dxa" w:w="90"/>
            </w:tcMar>
          </w:tcPr>
          <w:p>
            <w:pPr>
              <w:spacing w:after="20" w:line="240"/>
            </w:pPr>
            <w:r>
              <w:rPr>
                <w:b w:val="false"/>
                <w:bCs w:val="false"/>
                <w:sz w:val="18"/>
                <w:szCs w:val="18"/>
              </w:rPr>
              <w:t xml:space="preserve">Filtrage par rôle et territoire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/v1/liquidations/simulation</w:t>
            </w:r>
          </w:p>
        </w:tc>
        <w:tc>
          <w:tcPr>
            <w:tcW w:type="dxa" w:w="2059"/>
            <w:tcMar>
              <w:top w:type="dxa" w:w="60"/>
              <w:left w:type="dxa" w:w="90"/>
              <w:bottom w:type="dxa" w:w="60"/>
              <w:right w:type="dxa" w:w="90"/>
            </w:tcMar>
          </w:tcPr>
          <w:p>
            <w:pPr>
              <w:spacing w:after="20" w:line="240"/>
            </w:pPr>
            <w:r>
              <w:rPr>
                <w:b w:val="false"/>
                <w:bCs w:val="false"/>
                <w:sz w:val="18"/>
                <w:szCs w:val="18"/>
              </w:rPr>
              <w:t xml:space="preserve">Simuler une liquidation</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 agent</w:t>
            </w:r>
          </w:p>
        </w:tc>
        <w:tc>
          <w:tcPr>
            <w:tcW w:type="dxa" w:w="2808"/>
            <w:tcMar>
              <w:top w:type="dxa" w:w="60"/>
              <w:left w:type="dxa" w:w="90"/>
              <w:bottom w:type="dxa" w:w="60"/>
              <w:right w:type="dxa" w:w="90"/>
            </w:tcMar>
          </w:tcPr>
          <w:p>
            <w:pPr>
              <w:spacing w:after="20" w:line="240"/>
            </w:pPr>
            <w:r>
              <w:rPr>
                <w:b w:val="false"/>
                <w:bCs w:val="false"/>
                <w:sz w:val="18"/>
                <w:szCs w:val="18"/>
              </w:rPr>
              <w:t xml:space="preserve">Règle publiée uniquement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/v1/regles</w:t>
            </w:r>
          </w:p>
        </w:tc>
        <w:tc>
          <w:tcPr>
            <w:tcW w:type="dxa" w:w="2059"/>
            <w:tcMar>
              <w:top w:type="dxa" w:w="60"/>
              <w:left w:type="dxa" w:w="90"/>
              <w:bottom w:type="dxa" w:w="60"/>
              <w:right w:type="dxa" w:w="90"/>
            </w:tcMar>
          </w:tcPr>
          <w:p>
            <w:pPr>
              <w:spacing w:after="20" w:line="240"/>
            </w:pPr>
            <w:r>
              <w:rPr>
                <w:b w:val="false"/>
                <w:bCs w:val="false"/>
                <w:sz w:val="18"/>
                <w:szCs w:val="18"/>
              </w:rPr>
              <w:t xml:space="preserve">Proposer une règle</w:t>
            </w:r>
          </w:p>
        </w:tc>
        <w:tc>
          <w:tcPr>
            <w:tcW w:type="dxa" w:w="2059"/>
            <w:tcMar>
              <w:top w:type="dxa" w:w="60"/>
              <w:left w:type="dxa" w:w="90"/>
              <w:bottom w:type="dxa" w:w="60"/>
              <w:right w:type="dxa" w:w="90"/>
            </w:tcMar>
          </w:tcPr>
          <w:p>
            <w:pPr>
              <w:spacing w:after="20" w:line="240"/>
            </w:pPr>
            <w:r>
              <w:rPr>
                <w:b w:val="false"/>
                <w:bCs w:val="false"/>
                <w:sz w:val="18"/>
                <w:szCs w:val="18"/>
              </w:rPr>
              <w:t xml:space="preserve">Juriste</w:t>
            </w:r>
          </w:p>
        </w:tc>
        <w:tc>
          <w:tcPr>
            <w:tcW w:type="dxa" w:w="2808"/>
            <w:tcMar>
              <w:top w:type="dxa" w:w="60"/>
              <w:left w:type="dxa" w:w="90"/>
              <w:bottom w:type="dxa" w:w="60"/>
              <w:right w:type="dxa" w:w="90"/>
            </w:tcMar>
          </w:tcPr>
          <w:p>
            <w:pPr>
              <w:spacing w:after="20" w:line="240"/>
            </w:pPr>
            <w:r>
              <w:rPr>
                <w:b w:val="false"/>
                <w:bCs w:val="false"/>
                <w:sz w:val="18"/>
                <w:szCs w:val="18"/>
              </w:rPr>
              <w:t xml:space="preserve">Interdiction de créer, valider et publier par la même personne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/v1/regles/{id}/publication</w:t>
            </w:r>
          </w:p>
        </w:tc>
        <w:tc>
          <w:tcPr>
            <w:tcW w:type="dxa" w:w="2059"/>
            <w:tcMar>
              <w:top w:type="dxa" w:w="60"/>
              <w:left w:type="dxa" w:w="90"/>
              <w:bottom w:type="dxa" w:w="60"/>
              <w:right w:type="dxa" w:w="90"/>
            </w:tcMar>
          </w:tcPr>
          <w:p>
            <w:pPr>
              <w:spacing w:after="20" w:line="240"/>
            </w:pPr>
            <w:r>
              <w:rPr>
                <w:b w:val="false"/>
                <w:bCs w:val="false"/>
                <w:sz w:val="18"/>
                <w:szCs w:val="18"/>
              </w:rPr>
              <w:t xml:space="preserve">Publier une règle</w:t>
            </w:r>
          </w:p>
        </w:tc>
        <w:tc>
          <w:tcPr>
            <w:tcW w:type="dxa" w:w="2059"/>
            <w:tcMar>
              <w:top w:type="dxa" w:w="60"/>
              <w:left w:type="dxa" w:w="90"/>
              <w:bottom w:type="dxa" w:w="60"/>
              <w:right w:type="dxa" w:w="90"/>
            </w:tcMar>
          </w:tcPr>
          <w:p>
            <w:pPr>
              <w:spacing w:after="20" w:line="240"/>
            </w:pPr>
            <w:r>
              <w:rPr>
                <w:b w:val="false"/>
                <w:bCs w:val="false"/>
                <w:sz w:val="18"/>
                <w:szCs w:val="18"/>
              </w:rPr>
              <w:t xml:space="preserve">Approbateur</w:t>
            </w:r>
          </w:p>
        </w:tc>
        <w:tc>
          <w:tcPr>
            <w:tcW w:type="dxa" w:w="2808"/>
            <w:tcMar>
              <w:top w:type="dxa" w:w="60"/>
              <w:left w:type="dxa" w:w="90"/>
              <w:bottom w:type="dxa" w:w="60"/>
              <w:right w:type="dxa" w:w="90"/>
            </w:tcMar>
          </w:tcPr>
          <w:p>
            <w:pPr>
              <w:spacing w:after="20" w:line="240"/>
            </w:pPr>
            <w:r>
              <w:rPr>
                <w:b w:val="false"/>
                <w:bCs w:val="false"/>
                <w:sz w:val="18"/>
                <w:szCs w:val="18"/>
              </w:rPr>
              <w:t xml:space="preserve">Quatre yeux, texte légal obligatoire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/v1/paiements/ordres</w:t>
            </w:r>
          </w:p>
        </w:tc>
        <w:tc>
          <w:tcPr>
            <w:tcW w:type="dxa" w:w="2059"/>
            <w:tcMar>
              <w:top w:type="dxa" w:w="60"/>
              <w:left w:type="dxa" w:w="90"/>
              <w:bottom w:type="dxa" w:w="60"/>
              <w:right w:type="dxa" w:w="90"/>
            </w:tcMar>
          </w:tcPr>
          <w:p>
            <w:pPr>
              <w:spacing w:after="20" w:line="240"/>
            </w:pPr>
            <w:r>
              <w:rPr>
                <w:b w:val="false"/>
                <w:bCs w:val="false"/>
                <w:sz w:val="18"/>
                <w:szCs w:val="18"/>
              </w:rPr>
              <w:t xml:space="preserve">Créer un ordre de paiement</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w:t>
            </w:r>
          </w:p>
        </w:tc>
        <w:tc>
          <w:tcPr>
            <w:tcW w:type="dxa" w:w="2808"/>
            <w:tcMar>
              <w:top w:type="dxa" w:w="60"/>
              <w:left w:type="dxa" w:w="90"/>
              <w:bottom w:type="dxa" w:w="60"/>
              <w:right w:type="dxa" w:w="90"/>
            </w:tcMar>
          </w:tcPr>
          <w:p>
            <w:pPr>
              <w:spacing w:after="20" w:line="240"/>
            </w:pPr>
            <w:r>
              <w:rPr>
                <w:b w:val="false"/>
                <w:bCs w:val="false"/>
                <w:sz w:val="18"/>
                <w:szCs w:val="18"/>
              </w:rPr>
              <w:t xml:space="preserve">Idempotence, référence unique, expiration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/v1/paiements/callback</w:t>
            </w:r>
          </w:p>
        </w:tc>
        <w:tc>
          <w:tcPr>
            <w:tcW w:type="dxa" w:w="2059"/>
            <w:tcMar>
              <w:top w:type="dxa" w:w="60"/>
              <w:left w:type="dxa" w:w="90"/>
              <w:bottom w:type="dxa" w:w="60"/>
              <w:right w:type="dxa" w:w="90"/>
            </w:tcMar>
          </w:tcPr>
          <w:p>
            <w:pPr>
              <w:spacing w:after="20" w:line="240"/>
            </w:pPr>
            <w:r>
              <w:rPr>
                <w:b w:val="false"/>
                <w:bCs w:val="false"/>
                <w:sz w:val="18"/>
                <w:szCs w:val="18"/>
              </w:rPr>
              <w:t xml:space="preserve">Confirmation prestataire</w:t>
            </w:r>
          </w:p>
        </w:tc>
        <w:tc>
          <w:tcPr>
            <w:tcW w:type="dxa" w:w="2059"/>
            <w:tcMar>
              <w:top w:type="dxa" w:w="60"/>
              <w:left w:type="dxa" w:w="90"/>
              <w:bottom w:type="dxa" w:w="60"/>
              <w:right w:type="dxa" w:w="90"/>
            </w:tcMar>
          </w:tcPr>
          <w:p>
            <w:pPr>
              <w:spacing w:after="20" w:line="240"/>
            </w:pPr>
            <w:r>
              <w:rPr>
                <w:b w:val="false"/>
                <w:bCs w:val="false"/>
                <w:sz w:val="18"/>
                <w:szCs w:val="18"/>
              </w:rPr>
              <w:t xml:space="preserve">Partenaire agréé</w:t>
            </w:r>
          </w:p>
        </w:tc>
        <w:tc>
          <w:tcPr>
            <w:tcW w:type="dxa" w:w="2808"/>
            <w:tcMar>
              <w:top w:type="dxa" w:w="60"/>
              <w:left w:type="dxa" w:w="90"/>
              <w:bottom w:type="dxa" w:w="60"/>
              <w:right w:type="dxa" w:w="90"/>
            </w:tcMar>
          </w:tcPr>
          <w:p>
            <w:pPr>
              <w:spacing w:after="20" w:line="240"/>
            </w:pPr>
            <w:r>
              <w:rPr>
                <w:b w:val="false"/>
                <w:bCs w:val="false"/>
                <w:sz w:val="18"/>
                <w:szCs w:val="18"/>
              </w:rPr>
              <w:t xml:space="preserve">Signature, anti-rejeu, vérification serveur</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/v1/reglements/import</w:t>
            </w:r>
          </w:p>
        </w:tc>
        <w:tc>
          <w:tcPr>
            <w:tcW w:type="dxa" w:w="2059"/>
            <w:tcMar>
              <w:top w:type="dxa" w:w="60"/>
              <w:left w:type="dxa" w:w="90"/>
              <w:bottom w:type="dxa" w:w="60"/>
              <w:right w:type="dxa" w:w="90"/>
            </w:tcMar>
          </w:tcPr>
          <w:p>
            <w:pPr>
              <w:spacing w:after="20" w:line="240"/>
            </w:pPr>
            <w:r>
              <w:rPr>
                <w:b w:val="false"/>
                <w:bCs w:val="false"/>
                <w:sz w:val="18"/>
                <w:szCs w:val="18"/>
              </w:rPr>
              <w:t xml:space="preserve">Relevé de compte public</w:t>
            </w:r>
          </w:p>
        </w:tc>
        <w:tc>
          <w:tcPr>
            <w:tcW w:type="dxa" w:w="2059"/>
            <w:tcMar>
              <w:top w:type="dxa" w:w="60"/>
              <w:left w:type="dxa" w:w="90"/>
              <w:bottom w:type="dxa" w:w="60"/>
              <w:right w:type="dxa" w:w="90"/>
            </w:tcMar>
          </w:tcPr>
          <w:p>
            <w:pPr>
              <w:spacing w:after="20" w:line="240"/>
            </w:pPr>
            <w:r>
              <w:rPr>
                <w:b w:val="false"/>
                <w:bCs w:val="false"/>
                <w:sz w:val="18"/>
                <w:szCs w:val="18"/>
              </w:rPr>
              <w:t xml:space="preserve">Trésorerie, banque</w:t>
            </w:r>
          </w:p>
        </w:tc>
        <w:tc>
          <w:tcPr>
            <w:tcW w:type="dxa" w:w="2808"/>
            <w:tcMar>
              <w:top w:type="dxa" w:w="60"/>
              <w:left w:type="dxa" w:w="90"/>
              <w:bottom w:type="dxa" w:w="60"/>
              <w:right w:type="dxa" w:w="90"/>
            </w:tcMar>
          </w:tcPr>
          <w:p>
            <w:pPr>
              <w:spacing w:after="20" w:line="240"/>
            </w:pPr>
            <w:r>
              <w:rPr>
                <w:b w:val="false"/>
                <w:bCs w:val="false"/>
                <w:sz w:val="18"/>
                <w:szCs w:val="18"/>
              </w:rPr>
              <w:t xml:space="preserve">Contrôle d'intégrité, double validation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/v1/rapprochements/exceptions</w:t>
            </w:r>
          </w:p>
        </w:tc>
        <w:tc>
          <w:tcPr>
            <w:tcW w:type="dxa" w:w="2059"/>
            <w:tcMar>
              <w:top w:type="dxa" w:w="60"/>
              <w:left w:type="dxa" w:w="90"/>
              <w:bottom w:type="dxa" w:w="60"/>
              <w:right w:type="dxa" w:w="90"/>
            </w:tcMar>
          </w:tcPr>
          <w:p>
            <w:pPr>
              <w:spacing w:after="20" w:line="240"/>
            </w:pPr>
            <w:r>
              <w:rPr>
                <w:b w:val="false"/>
                <w:bCs w:val="false"/>
                <w:sz w:val="18"/>
                <w:szCs w:val="18"/>
              </w:rPr>
              <w:t xml:space="preserve">Files d'exception</w:t>
            </w:r>
          </w:p>
        </w:tc>
        <w:tc>
          <w:tcPr>
            <w:tcW w:type="dxa" w:w="2059"/>
            <w:tcMar>
              <w:top w:type="dxa" w:w="60"/>
              <w:left w:type="dxa" w:w="90"/>
              <w:bottom w:type="dxa" w:w="60"/>
              <w:right w:type="dxa" w:w="90"/>
            </w:tcMar>
          </w:tcPr>
          <w:p>
            <w:pPr>
              <w:spacing w:after="20" w:line="240"/>
            </w:pPr>
            <w:r>
              <w:rPr>
                <w:b w:val="false"/>
                <w:bCs w:val="false"/>
                <w:sz w:val="18"/>
                <w:szCs w:val="18"/>
              </w:rPr>
              <w:t xml:space="preserve">Trésorerie, contrôle interne</w:t>
            </w:r>
          </w:p>
        </w:tc>
        <w:tc>
          <w:tcPr>
            <w:tcW w:type="dxa" w:w="2808"/>
            <w:tcMar>
              <w:top w:type="dxa" w:w="60"/>
              <w:left w:type="dxa" w:w="90"/>
              <w:bottom w:type="dxa" w:w="60"/>
              <w:right w:type="dxa" w:w="90"/>
            </w:tcMar>
          </w:tcPr>
          <w:p>
            <w:pPr>
              <w:spacing w:after="20" w:line="240"/>
            </w:pPr>
            <w:r>
              <w:rPr>
                <w:b w:val="false"/>
                <w:bCs w:val="false"/>
                <w:sz w:val="18"/>
                <w:szCs w:val="18"/>
              </w:rPr>
              <w:t xml:space="preserve">Lecture seule, journalisée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/v1/quittances/{ref}/verification</w:t>
            </w:r>
          </w:p>
        </w:tc>
        <w:tc>
          <w:tcPr>
            <w:tcW w:type="dxa" w:w="2059"/>
            <w:tcMar>
              <w:top w:type="dxa" w:w="60"/>
              <w:left w:type="dxa" w:w="90"/>
              <w:bottom w:type="dxa" w:w="60"/>
              <w:right w:type="dxa" w:w="90"/>
            </w:tcMar>
          </w:tcPr>
          <w:p>
            <w:pPr>
              <w:spacing w:after="20" w:line="240"/>
            </w:pPr>
            <w:r>
              <w:rPr>
                <w:b w:val="false"/>
                <w:bCs w:val="false"/>
                <w:sz w:val="18"/>
                <w:szCs w:val="18"/>
              </w:rPr>
              <w:t xml:space="preserve">Vérifier une quittance</w:t>
            </w:r>
          </w:p>
        </w:tc>
        <w:tc>
          <w:tcPr>
            <w:tcW w:type="dxa" w:w="2059"/>
            <w:tcMar>
              <w:top w:type="dxa" w:w="60"/>
              <w:left w:type="dxa" w:w="90"/>
              <w:bottom w:type="dxa" w:w="60"/>
              <w:right w:type="dxa" w:w="90"/>
            </w:tcMar>
          </w:tcPr>
          <w:p>
            <w:pPr>
              <w:spacing w:after="20" w:line="240"/>
            </w:pPr>
            <w:r>
              <w:rPr>
                <w:b w:val="false"/>
                <w:bCs w:val="false"/>
                <w:sz w:val="18"/>
                <w:szCs w:val="18"/>
              </w:rPr>
              <w:t xml:space="preserve">Public</w:t>
            </w:r>
          </w:p>
        </w:tc>
        <w:tc>
          <w:tcPr>
            <w:tcW w:type="dxa" w:w="2808"/>
            <w:tcMar>
              <w:top w:type="dxa" w:w="60"/>
              <w:left w:type="dxa" w:w="90"/>
              <w:bottom w:type="dxa" w:w="60"/>
              <w:right w:type="dxa" w:w="90"/>
            </w:tcMar>
          </w:tcPr>
          <w:p>
            <w:pPr>
              <w:spacing w:after="20" w:line="240"/>
            </w:pPr>
            <w:r>
              <w:rPr>
                <w:b w:val="false"/>
                <w:bCs w:val="false"/>
                <w:sz w:val="18"/>
                <w:szCs w:val="18"/>
              </w:rPr>
              <w:t xml:space="preserve">Divulgation minimale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/v1/missions/synchronisation</w:t>
            </w:r>
          </w:p>
        </w:tc>
        <w:tc>
          <w:tcPr>
            <w:tcW w:type="dxa" w:w="2059"/>
            <w:tcMar>
              <w:top w:type="dxa" w:w="60"/>
              <w:left w:type="dxa" w:w="90"/>
              <w:bottom w:type="dxa" w:w="60"/>
              <w:right w:type="dxa" w:w="90"/>
            </w:tcMar>
          </w:tcPr>
          <w:p>
            <w:pPr>
              <w:spacing w:after="20" w:line="240"/>
            </w:pPr>
            <w:r>
              <w:rPr>
                <w:b w:val="false"/>
                <w:bCs w:val="false"/>
                <w:sz w:val="18"/>
                <w:szCs w:val="18"/>
              </w:rPr>
              <w:t xml:space="preserve">Synchroniser le terrain</w:t>
            </w:r>
          </w:p>
        </w:tc>
        <w:tc>
          <w:tcPr>
            <w:tcW w:type="dxa" w:w="2059"/>
            <w:tcMar>
              <w:top w:type="dxa" w:w="60"/>
              <w:left w:type="dxa" w:w="90"/>
              <w:bottom w:type="dxa" w:w="60"/>
              <w:right w:type="dxa" w:w="90"/>
            </w:tcMar>
          </w:tcPr>
          <w:p>
            <w:pPr>
              <w:spacing w:after="20" w:line="240"/>
            </w:pPr>
            <w:r>
              <w:rPr>
                <w:b w:val="false"/>
                <w:bCs w:val="false"/>
                <w:sz w:val="18"/>
                <w:szCs w:val="18"/>
              </w:rPr>
              <w:t xml:space="preserve">Agent</w:t>
            </w:r>
          </w:p>
        </w:tc>
        <w:tc>
          <w:tcPr>
            <w:tcW w:type="dxa" w:w="2808"/>
            <w:tcMar>
              <w:top w:type="dxa" w:w="60"/>
              <w:left w:type="dxa" w:w="90"/>
              <w:bottom w:type="dxa" w:w="60"/>
              <w:right w:type="dxa" w:w="90"/>
            </w:tcMar>
          </w:tcPr>
          <w:p>
            <w:pPr>
              <w:spacing w:after="20" w:line="240"/>
            </w:pPr>
            <w:r>
              <w:rPr>
                <w:b w:val="false"/>
                <w:bCs w:val="false"/>
                <w:sz w:val="18"/>
                <w:szCs w:val="18"/>
              </w:rPr>
              <w:t xml:space="preserve">Appareil enregistré, résolution de conflits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/v1/constats</w:t>
            </w:r>
          </w:p>
        </w:tc>
        <w:tc>
          <w:tcPr>
            <w:tcW w:type="dxa" w:w="2059"/>
            <w:tcMar>
              <w:top w:type="dxa" w:w="60"/>
              <w:left w:type="dxa" w:w="90"/>
              <w:bottom w:type="dxa" w:w="60"/>
              <w:right w:type="dxa" w:w="90"/>
            </w:tcMar>
          </w:tcPr>
          <w:p>
            <w:pPr>
              <w:spacing w:after="20" w:line="240"/>
            </w:pPr>
            <w:r>
              <w:rPr>
                <w:b w:val="false"/>
                <w:bCs w:val="false"/>
                <w:sz w:val="18"/>
                <w:szCs w:val="18"/>
              </w:rPr>
              <w:t xml:space="preserve">Enregistrer un constat</w:t>
            </w:r>
          </w:p>
        </w:tc>
        <w:tc>
          <w:tcPr>
            <w:tcW w:type="dxa" w:w="2059"/>
            <w:tcMar>
              <w:top w:type="dxa" w:w="60"/>
              <w:left w:type="dxa" w:w="90"/>
              <w:bottom w:type="dxa" w:w="60"/>
              <w:right w:type="dxa" w:w="90"/>
            </w:tcMar>
          </w:tcPr>
          <w:p>
            <w:pPr>
              <w:spacing w:after="20" w:line="240"/>
            </w:pPr>
            <w:r>
              <w:rPr>
                <w:b w:val="false"/>
                <w:bCs w:val="false"/>
                <w:sz w:val="18"/>
                <w:szCs w:val="18"/>
              </w:rPr>
              <w:t xml:space="preserve">Agent habilité</w:t>
            </w:r>
          </w:p>
        </w:tc>
        <w:tc>
          <w:tcPr>
            <w:tcW w:type="dxa" w:w="2808"/>
            <w:tcMar>
              <w:top w:type="dxa" w:w="60"/>
              <w:left w:type="dxa" w:w="90"/>
              <w:bottom w:type="dxa" w:w="60"/>
              <w:right w:type="dxa" w:w="90"/>
            </w:tcMar>
          </w:tcPr>
          <w:p>
            <w:pPr>
              <w:spacing w:after="20" w:line="240"/>
            </w:pPr>
            <w:r>
              <w:rPr>
                <w:b w:val="false"/>
                <w:bCs w:val="false"/>
                <w:sz w:val="18"/>
                <w:szCs w:val="18"/>
              </w:rPr>
              <w:t xml:space="preserve">GPS, photo, horodatage, géorepérage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/v1/recours</w:t>
            </w:r>
          </w:p>
        </w:tc>
        <w:tc>
          <w:tcPr>
            <w:tcW w:type="dxa" w:w="2059"/>
            <w:tcMar>
              <w:top w:type="dxa" w:w="60"/>
              <w:left w:type="dxa" w:w="90"/>
              <w:bottom w:type="dxa" w:w="60"/>
              <w:right w:type="dxa" w:w="90"/>
            </w:tcMar>
          </w:tcPr>
          <w:p>
            <w:pPr>
              <w:spacing w:after="20" w:line="240"/>
            </w:pPr>
            <w:r>
              <w:rPr>
                <w:b w:val="false"/>
                <w:bCs w:val="false"/>
                <w:sz w:val="18"/>
                <w:szCs w:val="18"/>
              </w:rPr>
              <w:t xml:space="preserve">Introduire une contestation</w:t>
            </w:r>
          </w:p>
        </w:tc>
        <w:tc>
          <w:tcPr>
            <w:tcW w:type="dxa" w:w="2059"/>
            <w:tcMar>
              <w:top w:type="dxa" w:w="60"/>
              <w:left w:type="dxa" w:w="90"/>
              <w:bottom w:type="dxa" w:w="60"/>
              <w:right w:type="dxa" w:w="90"/>
            </w:tcMar>
          </w:tcPr>
          <w:p>
            <w:pPr>
              <w:spacing w:after="20" w:line="240"/>
            </w:pPr>
            <w:r>
              <w:rPr>
                <w:b w:val="false"/>
                <w:bCs w:val="false"/>
                <w:sz w:val="18"/>
                <w:szCs w:val="18"/>
              </w:rPr>
              <w:t xml:space="preserve">Contribuable</w:t>
            </w:r>
          </w:p>
        </w:tc>
        <w:tc>
          <w:tcPr>
            <w:tcW w:type="dxa" w:w="2808"/>
            <w:tcMar>
              <w:top w:type="dxa" w:w="60"/>
              <w:left w:type="dxa" w:w="90"/>
              <w:bottom w:type="dxa" w:w="60"/>
              <w:right w:type="dxa" w:w="90"/>
            </w:tcMar>
          </w:tcPr>
          <w:p>
            <w:pPr>
              <w:spacing w:after="20" w:line="240"/>
            </w:pPr>
            <w:r>
              <w:rPr>
                <w:b w:val="false"/>
                <w:bCs w:val="false"/>
                <w:sz w:val="18"/>
                <w:szCs w:val="18"/>
              </w:rPr>
              <w:t xml:space="preserve">Délai légal, accusé de réception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/v1/alertes-fraude</w:t>
            </w:r>
          </w:p>
        </w:tc>
        <w:tc>
          <w:tcPr>
            <w:tcW w:type="dxa" w:w="2059"/>
            <w:tcMar>
              <w:top w:type="dxa" w:w="60"/>
              <w:left w:type="dxa" w:w="90"/>
              <w:bottom w:type="dxa" w:w="60"/>
              <w:right w:type="dxa" w:w="90"/>
            </w:tcMar>
          </w:tcPr>
          <w:p>
            <w:pPr>
              <w:spacing w:after="20" w:line="240"/>
            </w:pPr>
            <w:r>
              <w:rPr>
                <w:b w:val="false"/>
                <w:bCs w:val="false"/>
                <w:sz w:val="18"/>
                <w:szCs w:val="18"/>
              </w:rPr>
              <w:t xml:space="preserve">Consulter les alertes</w:t>
            </w:r>
          </w:p>
        </w:tc>
        <w:tc>
          <w:tcPr>
            <w:tcW w:type="dxa" w:w="2059"/>
            <w:tcMar>
              <w:top w:type="dxa" w:w="60"/>
              <w:left w:type="dxa" w:w="90"/>
              <w:bottom w:type="dxa" w:w="60"/>
              <w:right w:type="dxa" w:w="90"/>
            </w:tcMar>
          </w:tcPr>
          <w:p>
            <w:pPr>
              <w:spacing w:after="20" w:line="240"/>
            </w:pPr>
            <w:r>
              <w:rPr>
                <w:b w:val="false"/>
                <w:bCs w:val="false"/>
                <w:sz w:val="18"/>
                <w:szCs w:val="18"/>
              </w:rPr>
              <w:t xml:space="preserve">Enquêteur, audit</w:t>
            </w:r>
          </w:p>
        </w:tc>
        <w:tc>
          <w:tcPr>
            <w:tcW w:type="dxa" w:w="2808"/>
            <w:tcMar>
              <w:top w:type="dxa" w:w="60"/>
              <w:left w:type="dxa" w:w="90"/>
              <w:bottom w:type="dxa" w:w="60"/>
              <w:right w:type="dxa" w:w="90"/>
            </w:tcMar>
          </w:tcPr>
          <w:p>
            <w:pPr>
              <w:spacing w:after="20" w:line="240"/>
            </w:pPr>
            <w:r>
              <w:rPr>
                <w:b w:val="false"/>
                <w:bCs w:val="false"/>
                <w:sz w:val="18"/>
                <w:szCs w:val="18"/>
              </w:rPr>
              <w:t xml:space="preserve">Aucune action automatique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/v1/tableaux/{profil}</w:t>
            </w:r>
          </w:p>
        </w:tc>
        <w:tc>
          <w:tcPr>
            <w:tcW w:type="dxa" w:w="2059"/>
            <w:tcMar>
              <w:top w:type="dxa" w:w="60"/>
              <w:left w:type="dxa" w:w="90"/>
              <w:bottom w:type="dxa" w:w="60"/>
              <w:right w:type="dxa" w:w="90"/>
            </w:tcMar>
          </w:tcPr>
          <w:p>
            <w:pPr>
              <w:spacing w:after="20" w:line="240"/>
            </w:pPr>
            <w:r>
              <w:rPr>
                <w:b w:val="false"/>
                <w:bCs w:val="false"/>
                <w:sz w:val="18"/>
                <w:szCs w:val="18"/>
              </w:rPr>
              <w:t xml:space="preserve">Données de tableau de bord</w:t>
            </w:r>
          </w:p>
        </w:tc>
        <w:tc>
          <w:tcPr>
            <w:tcW w:type="dxa" w:w="2059"/>
            <w:tcMar>
              <w:top w:type="dxa" w:w="60"/>
              <w:left w:type="dxa" w:w="90"/>
              <w:bottom w:type="dxa" w:w="60"/>
              <w:right w:type="dxa" w:w="90"/>
            </w:tcMar>
          </w:tcPr>
          <w:p>
            <w:pPr>
              <w:spacing w:after="20" w:line="240"/>
            </w:pPr>
            <w:r>
              <w:rPr>
                <w:b w:val="false"/>
                <w:bCs w:val="false"/>
                <w:sz w:val="18"/>
                <w:szCs w:val="18"/>
              </w:rPr>
              <w:t xml:space="preserve">Selon rôle</w:t>
            </w:r>
          </w:p>
        </w:tc>
        <w:tc>
          <w:tcPr>
            <w:tcW w:type="dxa" w:w="2808"/>
            <w:tcMar>
              <w:top w:type="dxa" w:w="60"/>
              <w:left w:type="dxa" w:w="90"/>
              <w:bottom w:type="dxa" w:w="60"/>
              <w:right w:type="dxa" w:w="90"/>
            </w:tcMar>
          </w:tcPr>
          <w:p>
            <w:pPr>
              <w:spacing w:after="20" w:line="240"/>
            </w:pPr>
            <w:r>
              <w:rPr>
                <w:b w:val="false"/>
                <w:bCs w:val="false"/>
                <w:sz w:val="18"/>
                <w:szCs w:val="18"/>
              </w:rPr>
              <w:t xml:space="preserve">Agrégation conforme au périmètre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GET /v1/previsions</w:t>
            </w:r>
          </w:p>
        </w:tc>
        <w:tc>
          <w:tcPr>
            <w:tcW w:type="dxa" w:w="2059"/>
            <w:tcMar>
              <w:top w:type="dxa" w:w="60"/>
              <w:left w:type="dxa" w:w="90"/>
              <w:bottom w:type="dxa" w:w="60"/>
              <w:right w:type="dxa" w:w="90"/>
            </w:tcMar>
          </w:tcPr>
          <w:p>
            <w:pPr>
              <w:spacing w:after="20" w:line="240"/>
            </w:pPr>
            <w:r>
              <w:rPr>
                <w:b w:val="false"/>
                <w:bCs w:val="false"/>
                <w:sz w:val="18"/>
                <w:szCs w:val="18"/>
              </w:rPr>
              <w:t xml:space="preserve">Scénarios de recettes</w:t>
            </w:r>
          </w:p>
        </w:tc>
        <w:tc>
          <w:tcPr>
            <w:tcW w:type="dxa" w:w="2059"/>
            <w:tcMar>
              <w:top w:type="dxa" w:w="60"/>
              <w:left w:type="dxa" w:w="90"/>
              <w:bottom w:type="dxa" w:w="60"/>
              <w:right w:type="dxa" w:w="90"/>
            </w:tcMar>
          </w:tcPr>
          <w:p>
            <w:pPr>
              <w:spacing w:after="20" w:line="240"/>
            </w:pPr>
            <w:r>
              <w:rPr>
                <w:b w:val="false"/>
                <w:bCs w:val="false"/>
                <w:sz w:val="18"/>
                <w:szCs w:val="18"/>
              </w:rPr>
              <w:t xml:space="preserve">Direction, Gouverneur</w:t>
            </w:r>
          </w:p>
        </w:tc>
        <w:tc>
          <w:tcPr>
            <w:tcW w:type="dxa" w:w="2808"/>
            <w:tcMar>
              <w:top w:type="dxa" w:w="60"/>
              <w:left w:type="dxa" w:w="90"/>
              <w:bottom w:type="dxa" w:w="60"/>
              <w:right w:type="dxa" w:w="90"/>
            </w:tcMar>
          </w:tcPr>
          <w:p>
            <w:pPr>
              <w:spacing w:after="20" w:line="240"/>
            </w:pPr>
            <w:r>
              <w:rPr>
                <w:b w:val="false"/>
                <w:bCs w:val="false"/>
                <w:sz w:val="18"/>
                <w:szCs w:val="18"/>
              </w:rPr>
              <w:t xml:space="preserve">Hypothèses jointes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POST /v1/affectations/scenarios</w:t>
            </w:r>
          </w:p>
        </w:tc>
        <w:tc>
          <w:tcPr>
            <w:tcW w:type="dxa" w:w="2059"/>
            <w:tcMar>
              <w:top w:type="dxa" w:w="60"/>
              <w:left w:type="dxa" w:w="90"/>
              <w:bottom w:type="dxa" w:w="60"/>
              <w:right w:type="dxa" w:w="90"/>
            </w:tcMar>
          </w:tcPr>
          <w:p>
            <w:pPr>
              <w:spacing w:after="20" w:line="240"/>
            </w:pPr>
            <w:r>
              <w:rPr>
                <w:b w:val="false"/>
                <w:bCs w:val="false"/>
                <w:sz w:val="18"/>
                <w:szCs w:val="18"/>
              </w:rPr>
              <w:t xml:space="preserve">Générer des scénarios d'affectation</w:t>
            </w:r>
          </w:p>
        </w:tc>
        <w:tc>
          <w:tcPr>
            <w:tcW w:type="dxa" w:w="2059"/>
            <w:tcMar>
              <w:top w:type="dxa" w:w="60"/>
              <w:left w:type="dxa" w:w="90"/>
              <w:bottom w:type="dxa" w:w="60"/>
              <w:right w:type="dxa" w:w="90"/>
            </w:tcMar>
          </w:tcPr>
          <w:p>
            <w:pPr>
              <w:spacing w:after="20" w:line="240"/>
            </w:pPr>
            <w:r>
              <w:rPr>
                <w:b w:val="false"/>
                <w:bCs w:val="false"/>
                <w:sz w:val="18"/>
                <w:szCs w:val="18"/>
              </w:rPr>
              <w:t xml:space="preserve">Finances</w:t>
            </w:r>
          </w:p>
        </w:tc>
        <w:tc>
          <w:tcPr>
            <w:tcW w:type="dxa" w:w="2808"/>
            <w:tcMar>
              <w:top w:type="dxa" w:w="60"/>
              <w:left w:type="dxa" w:w="90"/>
              <w:bottom w:type="dxa" w:w="60"/>
              <w:right w:type="dxa" w:w="90"/>
            </w:tcMar>
          </w:tcPr>
          <w:p>
            <w:pPr>
              <w:spacing w:after="20" w:line="240"/>
            </w:pPr>
            <w:r>
              <w:rPr>
                <w:b w:val="false"/>
                <w:bCs w:val="false"/>
                <w:sz w:val="18"/>
                <w:szCs w:val="18"/>
              </w:rPr>
              <w:t xml:space="preserve">Aucune exécution de dépense</w:t>
            </w:r>
          </w:p>
        </w:tc>
      </w:tr>
    </w:tbl>
    <w:p>
      <w:pPr>
        <w:pStyle w:val="Heading1"/>
        <w:spacing w:after="160" w:before="360"/>
      </w:pPr>
      <w:r>
        <w:t xml:space="preserve">32. Architecture de sécurité</w:t>
      </w:r>
    </w:p>
    <w:p>
      <w:pPr>
        <w:spacing w:after="120" w:line="276"/>
        <w:jc w:val="both"/>
      </w:pPr>
      <w:r>
        <w:rPr>
          <w:b w:val="false"/>
          <w:bCs w:val="false"/>
          <w:i w:val="false"/>
          <w:iCs w:val="false"/>
          <w:sz w:val="21"/>
          <w:szCs w:val="21"/>
        </w:rPr>
        <w:t xml:space="preserve">Le modèle est « zéro confiance » : aucun réseau, aucun appareil et aucun compte n'est présumé fiable. Les contrôles suivants sont exigés dès la première mise en production.</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7862"/>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Domaine</w:t>
            </w:r>
          </w:p>
        </w:tc>
        <w:tc>
          <w:tcPr>
            <w:tcW w:type="dxa" w:w="7862"/>
            <w:shd w:fill="E6F4F1" w:color="auto" w:val="clear"/>
            <w:tcMar>
              <w:top w:type="dxa" w:w="60"/>
              <w:left w:type="dxa" w:w="90"/>
              <w:bottom w:type="dxa" w:w="60"/>
              <w:right w:type="dxa" w:w="90"/>
            </w:tcMar>
          </w:tcPr>
          <w:p>
            <w:pPr>
              <w:spacing w:after="20" w:line="240"/>
            </w:pPr>
            <w:r>
              <w:rPr>
                <w:b/>
                <w:bCs/>
                <w:sz w:val="18"/>
                <w:szCs w:val="18"/>
              </w:rPr>
              <w:t xml:space="preserve">Contrôles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Identité</w:t>
            </w:r>
          </w:p>
        </w:tc>
        <w:tc>
          <w:tcPr>
            <w:tcW w:type="dxa" w:w="7862"/>
            <w:tcMar>
              <w:top w:type="dxa" w:w="60"/>
              <w:left w:type="dxa" w:w="90"/>
              <w:bottom w:type="dxa" w:w="60"/>
              <w:right w:type="dxa" w:w="90"/>
            </w:tcMar>
          </w:tcPr>
          <w:p>
            <w:pPr>
              <w:spacing w:after="20" w:line="240"/>
            </w:pPr>
            <w:r>
              <w:rPr>
                <w:b w:val="false"/>
                <w:bCs w:val="false"/>
                <w:sz w:val="18"/>
                <w:szCs w:val="18"/>
              </w:rPr>
              <w:t xml:space="preserve">Authentification multifacteur pour tout compte interne, clés d'accès résistantes au hameçonnage pour les rôles sensibles, liaison appareil–utilisateur, sessions courtes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Autorisation</w:t>
            </w:r>
          </w:p>
        </w:tc>
        <w:tc>
          <w:tcPr>
            <w:tcW w:type="dxa" w:w="7862"/>
            <w:tcMar>
              <w:top w:type="dxa" w:w="60"/>
              <w:left w:type="dxa" w:w="90"/>
              <w:bottom w:type="dxa" w:w="60"/>
              <w:right w:type="dxa" w:w="90"/>
            </w:tcMar>
          </w:tcPr>
          <w:p>
            <w:pPr>
              <w:spacing w:after="20" w:line="240"/>
            </w:pPr>
            <w:r>
              <w:rPr>
                <w:b w:val="false"/>
                <w:bCs w:val="false"/>
                <w:sz w:val="18"/>
                <w:szCs w:val="18"/>
              </w:rPr>
              <w:t xml:space="preserve">Rôles et attributs, moindre privilège, accès juste-à-temps, revues périodiques, détection de conflits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Données</w:t>
            </w:r>
          </w:p>
        </w:tc>
        <w:tc>
          <w:tcPr>
            <w:tcW w:type="dxa" w:w="7862"/>
            <w:tcMar>
              <w:top w:type="dxa" w:w="60"/>
              <w:left w:type="dxa" w:w="90"/>
              <w:bottom w:type="dxa" w:w="60"/>
              <w:right w:type="dxa" w:w="90"/>
            </w:tcMar>
          </w:tcPr>
          <w:p>
            <w:pPr>
              <w:spacing w:after="20" w:line="240"/>
            </w:pPr>
            <w:r>
              <w:rPr>
                <w:b w:val="false"/>
                <w:bCs w:val="false"/>
                <w:sz w:val="18"/>
                <w:szCs w:val="18"/>
              </w:rPr>
              <w:t xml:space="preserve">Chiffrement en transit et au repos, gestion des clés protégée par matériel, cloisonnement par périmètre, masquage des données sensibles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Applications</w:t>
            </w:r>
          </w:p>
        </w:tc>
        <w:tc>
          <w:tcPr>
            <w:tcW w:type="dxa" w:w="7862"/>
            <w:tcMar>
              <w:top w:type="dxa" w:w="60"/>
              <w:left w:type="dxa" w:w="90"/>
              <w:bottom w:type="dxa" w:w="60"/>
              <w:right w:type="dxa" w:w="90"/>
            </w:tcMar>
          </w:tcPr>
          <w:p>
            <w:pPr>
              <w:spacing w:after="20" w:line="240"/>
            </w:pPr>
            <w:r>
              <w:rPr>
                <w:b w:val="false"/>
                <w:bCs w:val="false"/>
                <w:sz w:val="18"/>
                <w:szCs w:val="18"/>
              </w:rPr>
              <w:t xml:space="preserve">Développement sécurisé, revue de code, analyse de dépendances, tests d'intrusion avant chaque mise en production majeure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Réseau</w:t>
            </w:r>
          </w:p>
        </w:tc>
        <w:tc>
          <w:tcPr>
            <w:tcW w:type="dxa" w:w="7862"/>
            <w:tcMar>
              <w:top w:type="dxa" w:w="60"/>
              <w:left w:type="dxa" w:w="90"/>
              <w:bottom w:type="dxa" w:w="60"/>
              <w:right w:type="dxa" w:w="90"/>
            </w:tcMar>
          </w:tcPr>
          <w:p>
            <w:pPr>
              <w:spacing w:after="20" w:line="240"/>
            </w:pPr>
            <w:r>
              <w:rPr>
                <w:b w:val="false"/>
                <w:bCs w:val="false"/>
                <w:sz w:val="18"/>
                <w:szCs w:val="18"/>
              </w:rPr>
              <w:t xml:space="preserve">Segmentation, pare-feu applicatif, protection anti-déni de service, filtrage des API partenaires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Détection</w:t>
            </w:r>
          </w:p>
        </w:tc>
        <w:tc>
          <w:tcPr>
            <w:tcW w:type="dxa" w:w="7862"/>
            <w:tcMar>
              <w:top w:type="dxa" w:w="60"/>
              <w:left w:type="dxa" w:w="90"/>
              <w:bottom w:type="dxa" w:w="60"/>
              <w:right w:type="dxa" w:w="90"/>
            </w:tcMar>
          </w:tcPr>
          <w:p>
            <w:pPr>
              <w:spacing w:after="20" w:line="240"/>
            </w:pPr>
            <w:r>
              <w:rPr>
                <w:b w:val="false"/>
                <w:bCs w:val="false"/>
                <w:sz w:val="18"/>
                <w:szCs w:val="18"/>
              </w:rPr>
              <w:t xml:space="preserve">Supervision de sécurité centralisée, corrélation d'événements, alertes sur accès privilégiés, surveillance des exportations massives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Réaction</w:t>
            </w:r>
          </w:p>
        </w:tc>
        <w:tc>
          <w:tcPr>
            <w:tcW w:type="dxa" w:w="7862"/>
            <w:tcMar>
              <w:top w:type="dxa" w:w="60"/>
              <w:left w:type="dxa" w:w="90"/>
              <w:bottom w:type="dxa" w:w="60"/>
              <w:right w:type="dxa" w:w="90"/>
            </w:tcMar>
          </w:tcPr>
          <w:p>
            <w:pPr>
              <w:spacing w:after="20" w:line="240"/>
            </w:pPr>
            <w:r>
              <w:rPr>
                <w:b w:val="false"/>
                <w:bCs w:val="false"/>
                <w:sz w:val="18"/>
                <w:szCs w:val="18"/>
              </w:rPr>
              <w:t xml:space="preserve">Procédure d'incident, astreinte, communication de crise, préparation à l'investigation numérique</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Continuité</w:t>
            </w:r>
          </w:p>
        </w:tc>
        <w:tc>
          <w:tcPr>
            <w:tcW w:type="dxa" w:w="7862"/>
            <w:tcMar>
              <w:top w:type="dxa" w:w="60"/>
              <w:left w:type="dxa" w:w="90"/>
              <w:bottom w:type="dxa" w:w="60"/>
              <w:right w:type="dxa" w:w="90"/>
            </w:tcMar>
          </w:tcPr>
          <w:p>
            <w:pPr>
              <w:spacing w:after="20" w:line="240"/>
            </w:pPr>
            <w:r>
              <w:rPr>
                <w:b w:val="false"/>
                <w:bCs w:val="false"/>
                <w:sz w:val="18"/>
                <w:szCs w:val="18"/>
              </w:rPr>
              <w:t xml:space="preserve">Sauvegardes immuables, restauration testée, plan de reprise avec objectifs de temps et de perte de données définis contractuellement</w:t>
            </w:r>
          </w:p>
        </w:tc>
      </w:tr>
    </w:tbl>
    <w:p>
      <w:pPr>
        <w:pStyle w:val="Heading1"/>
        <w:spacing w:after="160" w:before="360"/>
      </w:pPr>
      <w:r>
        <w:t xml:space="preserve">33. Gouvernance des données</w:t>
      </w:r>
    </w:p>
    <w:p>
      <w:pPr>
        <w:pStyle w:val="ListItem"/>
        <w:numPr>
          <w:ilvl w:val="0"/>
          <w:numId w:val="1"/>
        </w:numPr>
        <w:spacing w:after="60" w:line="264"/>
      </w:pPr>
      <w:r>
        <w:t xml:space="preserve">Propriété : la Ville Province de Kinshasa est propriétaire de toutes les données ; le prestataire n'en est que dépositaire.</w:t>
      </w:r>
    </w:p>
    <w:p>
      <w:pPr>
        <w:pStyle w:val="ListItem"/>
        <w:numPr>
          <w:ilvl w:val="0"/>
          <w:numId w:val="1"/>
        </w:numPr>
        <w:spacing w:after="60" w:line="264"/>
      </w:pPr>
      <w:r>
        <w:t xml:space="preserve">Finalité : chaque traitement est rattaché à une finalité déclarée ; toute consultation d'un dossier individuel est journalisée et attribuable.</w:t>
      </w:r>
    </w:p>
    <w:p>
      <w:pPr>
        <w:pStyle w:val="ListItem"/>
        <w:numPr>
          <w:ilvl w:val="0"/>
          <w:numId w:val="1"/>
        </w:numPr>
        <w:spacing w:after="60" w:line="264"/>
      </w:pPr>
      <w:r>
        <w:t xml:space="preserve">Minimisation : aucune donnée collectée sans usage administratif, fiscal ou de service identifié.</w:t>
      </w:r>
    </w:p>
    <w:p>
      <w:pPr>
        <w:pStyle w:val="ListItem"/>
        <w:numPr>
          <w:ilvl w:val="0"/>
          <w:numId w:val="1"/>
        </w:numPr>
        <w:spacing w:after="60" w:line="264"/>
      </w:pPr>
      <w:r>
        <w:t xml:space="preserve">Qualité : chaque donnée porte sa source (déclarée, constatée, vérifiée, partenaire) et sa date ; la valeur probante suit la source.</w:t>
      </w:r>
    </w:p>
    <w:p>
      <w:pPr>
        <w:pStyle w:val="ListItem"/>
        <w:numPr>
          <w:ilvl w:val="0"/>
          <w:numId w:val="1"/>
        </w:numPr>
        <w:spacing w:after="60" w:line="264"/>
      </w:pPr>
      <w:r>
        <w:t xml:space="preserve">Conservation : durées définies par catégorie, purge automatique, conservation longue limitée aux preuves d'audit.</w:t>
      </w:r>
    </w:p>
    <w:p>
      <w:pPr>
        <w:pStyle w:val="ListItem"/>
        <w:numPr>
          <w:ilvl w:val="0"/>
          <w:numId w:val="1"/>
        </w:numPr>
        <w:spacing w:after="60" w:line="264"/>
      </w:pPr>
      <w:r>
        <w:t xml:space="preserve">Partage : chaque échange avec un tiers repose sur un protocole signé précisant finalité, champs, fréquence, sécurité et durée.</w:t>
      </w:r>
    </w:p>
    <w:p>
      <w:pPr>
        <w:pStyle w:val="ListItem"/>
        <w:numPr>
          <w:ilvl w:val="0"/>
          <w:numId w:val="1"/>
        </w:numPr>
        <w:spacing w:after="60" w:line="264"/>
      </w:pPr>
      <w:r>
        <w:t xml:space="preserve">Publication : aucune donnée fiscale individuelle publiée ; les publications sont agrégées et testées contre la ré-identification.</w:t>
      </w:r>
    </w:p>
    <w:p>
      <w:pPr>
        <w:pStyle w:val="ListItem"/>
        <w:numPr>
          <w:ilvl w:val="0"/>
          <w:numId w:val="1"/>
        </w:numPr>
        <w:spacing w:after="60" w:line="264"/>
      </w:pPr>
      <w:r>
        <w:t xml:space="preserve">Conformité : revue de conformité au Code du numérique avant toute nouvelle catégorie de données ou tout nouveau partenaire.</w:t>
      </w:r>
    </w:p>
    <w:p>
      <w:pPr>
        <w:pStyle w:val="Heading1"/>
        <w:spacing w:after="160" w:before="360"/>
      </w:pPr>
      <w:r>
        <w:t xml:space="preserve">34. Hébergement et souveraineté</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246"/>
        <w:gridCol w:w="2434"/>
        <w:gridCol w:w="2621"/>
        <w:gridCol w:w="2059"/>
      </w:tblGrid>
      <w:tr>
        <w:trPr>
          <w:tblHeader/>
        </w:trPr>
        <w:tc>
          <w:tcPr>
            <w:tcW w:type="dxa" w:w="2246"/>
            <w:shd w:fill="E6F4F1" w:color="auto" w:val="clear"/>
            <w:tcMar>
              <w:top w:type="dxa" w:w="60"/>
              <w:left w:type="dxa" w:w="90"/>
              <w:bottom w:type="dxa" w:w="60"/>
              <w:right w:type="dxa" w:w="90"/>
            </w:tcMar>
          </w:tcPr>
          <w:p>
            <w:pPr>
              <w:spacing w:after="20" w:line="240"/>
            </w:pPr>
            <w:r>
              <w:rPr>
                <w:b/>
                <w:bCs/>
                <w:sz w:val="18"/>
                <w:szCs w:val="18"/>
              </w:rPr>
              <w:t xml:space="preserve">Option</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Avantages</w:t>
            </w:r>
          </w:p>
        </w:tc>
        <w:tc>
          <w:tcPr>
            <w:tcW w:type="dxa" w:w="2621"/>
            <w:shd w:fill="E6F4F1" w:color="auto" w:val="clear"/>
            <w:tcMar>
              <w:top w:type="dxa" w:w="60"/>
              <w:left w:type="dxa" w:w="90"/>
              <w:bottom w:type="dxa" w:w="60"/>
              <w:right w:type="dxa" w:w="90"/>
            </w:tcMar>
          </w:tcPr>
          <w:p>
            <w:pPr>
              <w:spacing w:after="20" w:line="240"/>
            </w:pPr>
            <w:r>
              <w:rPr>
                <w:b/>
                <w:bCs/>
                <w:sz w:val="18"/>
                <w:szCs w:val="18"/>
              </w:rPr>
              <w:t xml:space="preserve">Limites</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Appréciation</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Hébergement national en centre de données agréé</w:t>
            </w:r>
          </w:p>
        </w:tc>
        <w:tc>
          <w:tcPr>
            <w:tcW w:type="dxa" w:w="2434"/>
            <w:tcMar>
              <w:top w:type="dxa" w:w="60"/>
              <w:left w:type="dxa" w:w="90"/>
              <w:bottom w:type="dxa" w:w="60"/>
              <w:right w:type="dxa" w:w="90"/>
            </w:tcMar>
          </w:tcPr>
          <w:p>
            <w:pPr>
              <w:spacing w:after="20" w:line="240"/>
            </w:pPr>
            <w:r>
              <w:rPr>
                <w:b w:val="false"/>
                <w:bCs w:val="false"/>
                <w:sz w:val="18"/>
                <w:szCs w:val="18"/>
              </w:rPr>
              <w:t xml:space="preserve">Souveraineté, proximité réseau, conformité de résidence</w:t>
            </w:r>
          </w:p>
        </w:tc>
        <w:tc>
          <w:tcPr>
            <w:tcW w:type="dxa" w:w="2621"/>
            <w:tcMar>
              <w:top w:type="dxa" w:w="60"/>
              <w:left w:type="dxa" w:w="90"/>
              <w:bottom w:type="dxa" w:w="60"/>
              <w:right w:type="dxa" w:w="90"/>
            </w:tcMar>
          </w:tcPr>
          <w:p>
            <w:pPr>
              <w:spacing w:after="20" w:line="240"/>
            </w:pPr>
            <w:r>
              <w:rPr>
                <w:b w:val="false"/>
                <w:bCs w:val="false"/>
                <w:sz w:val="18"/>
                <w:szCs w:val="18"/>
              </w:rPr>
              <w:t xml:space="preserve">Capacité, redondance, compétences à sécuriser</w:t>
            </w:r>
          </w:p>
        </w:tc>
        <w:tc>
          <w:tcPr>
            <w:tcW w:type="dxa" w:w="2059"/>
            <w:tcMar>
              <w:top w:type="dxa" w:w="60"/>
              <w:left w:type="dxa" w:w="90"/>
              <w:bottom w:type="dxa" w:w="60"/>
              <w:right w:type="dxa" w:w="90"/>
            </w:tcMar>
          </w:tcPr>
          <w:p>
            <w:pPr>
              <w:spacing w:after="20" w:line="240"/>
            </w:pPr>
            <w:r>
              <w:rPr>
                <w:b w:val="false"/>
                <w:bCs w:val="false"/>
                <w:sz w:val="18"/>
                <w:szCs w:val="18"/>
              </w:rPr>
              <w:t xml:space="preserve">Recommandé pour les données fiscales et personnelles</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Nuage international</w:t>
            </w:r>
          </w:p>
        </w:tc>
        <w:tc>
          <w:tcPr>
            <w:tcW w:type="dxa" w:w="2434"/>
            <w:tcMar>
              <w:top w:type="dxa" w:w="60"/>
              <w:left w:type="dxa" w:w="90"/>
              <w:bottom w:type="dxa" w:w="60"/>
              <w:right w:type="dxa" w:w="90"/>
            </w:tcMar>
          </w:tcPr>
          <w:p>
            <w:pPr>
              <w:spacing w:after="20" w:line="240"/>
            </w:pPr>
            <w:r>
              <w:rPr>
                <w:b w:val="false"/>
                <w:bCs w:val="false"/>
                <w:sz w:val="18"/>
                <w:szCs w:val="18"/>
              </w:rPr>
              <w:t xml:space="preserve">Élasticité, services managés</w:t>
            </w:r>
          </w:p>
        </w:tc>
        <w:tc>
          <w:tcPr>
            <w:tcW w:type="dxa" w:w="2621"/>
            <w:tcMar>
              <w:top w:type="dxa" w:w="60"/>
              <w:left w:type="dxa" w:w="90"/>
              <w:bottom w:type="dxa" w:w="60"/>
              <w:right w:type="dxa" w:w="90"/>
            </w:tcMar>
          </w:tcPr>
          <w:p>
            <w:pPr>
              <w:spacing w:after="20" w:line="240"/>
            </w:pPr>
            <w:r>
              <w:rPr>
                <w:b w:val="false"/>
                <w:bCs w:val="false"/>
                <w:sz w:val="18"/>
                <w:szCs w:val="18"/>
              </w:rPr>
              <w:t xml:space="preserve">Résidence des données, dépendance, coût en devises, latence</w:t>
            </w:r>
          </w:p>
        </w:tc>
        <w:tc>
          <w:tcPr>
            <w:tcW w:type="dxa" w:w="2059"/>
            <w:tcMar>
              <w:top w:type="dxa" w:w="60"/>
              <w:left w:type="dxa" w:w="90"/>
              <w:bottom w:type="dxa" w:w="60"/>
              <w:right w:type="dxa" w:w="90"/>
            </w:tcMar>
          </w:tcPr>
          <w:p>
            <w:pPr>
              <w:spacing w:after="20" w:line="240"/>
            </w:pPr>
            <w:r>
              <w:rPr>
                <w:b w:val="false"/>
                <w:bCs w:val="false"/>
                <w:sz w:val="18"/>
                <w:szCs w:val="18"/>
              </w:rPr>
              <w:t xml:space="preserve">Acceptable pour charges non personnelles et sauvegarde chiffrée</w:t>
            </w:r>
          </w:p>
        </w:tc>
      </w:tr>
      <w:tr>
        <w:trPr>
          <w:tblHeader w:val="false"/>
        </w:trPr>
        <w:tc>
          <w:tcPr>
            <w:tcW w:type="dxa" w:w="2246"/>
            <w:tcMar>
              <w:top w:type="dxa" w:w="60"/>
              <w:left w:type="dxa" w:w="90"/>
              <w:bottom w:type="dxa" w:w="60"/>
              <w:right w:type="dxa" w:w="90"/>
            </w:tcMar>
          </w:tcPr>
          <w:p>
            <w:pPr>
              <w:spacing w:after="20" w:line="240"/>
            </w:pPr>
            <w:r>
              <w:rPr>
                <w:b w:val="false"/>
                <w:bCs w:val="false"/>
                <w:sz w:val="18"/>
                <w:szCs w:val="18"/>
              </w:rPr>
              <w:t xml:space="preserve">Hybride maîtrisé</w:t>
            </w:r>
          </w:p>
        </w:tc>
        <w:tc>
          <w:tcPr>
            <w:tcW w:type="dxa" w:w="2434"/>
            <w:tcMar>
              <w:top w:type="dxa" w:w="60"/>
              <w:left w:type="dxa" w:w="90"/>
              <w:bottom w:type="dxa" w:w="60"/>
              <w:right w:type="dxa" w:w="90"/>
            </w:tcMar>
          </w:tcPr>
          <w:p>
            <w:pPr>
              <w:spacing w:after="20" w:line="240"/>
            </w:pPr>
            <w:r>
              <w:rPr>
                <w:b w:val="false"/>
                <w:bCs w:val="false"/>
                <w:sz w:val="18"/>
                <w:szCs w:val="18"/>
              </w:rPr>
              <w:t xml:space="preserve">Production nationale, secours chiffré externe</w:t>
            </w:r>
          </w:p>
        </w:tc>
        <w:tc>
          <w:tcPr>
            <w:tcW w:type="dxa" w:w="2621"/>
            <w:tcMar>
              <w:top w:type="dxa" w:w="60"/>
              <w:left w:type="dxa" w:w="90"/>
              <w:bottom w:type="dxa" w:w="60"/>
              <w:right w:type="dxa" w:w="90"/>
            </w:tcMar>
          </w:tcPr>
          <w:p>
            <w:pPr>
              <w:spacing w:after="20" w:line="240"/>
            </w:pPr>
            <w:r>
              <w:rPr>
                <w:b w:val="false"/>
                <w:bCs w:val="false"/>
                <w:sz w:val="18"/>
                <w:szCs w:val="18"/>
              </w:rPr>
              <w:t xml:space="preserve">Complexité d'exploitation</w:t>
            </w:r>
          </w:p>
        </w:tc>
        <w:tc>
          <w:tcPr>
            <w:tcW w:type="dxa" w:w="2059"/>
            <w:tcMar>
              <w:top w:type="dxa" w:w="60"/>
              <w:left w:type="dxa" w:w="90"/>
              <w:bottom w:type="dxa" w:w="60"/>
              <w:right w:type="dxa" w:w="90"/>
            </w:tcMar>
          </w:tcPr>
          <w:p>
            <w:pPr>
              <w:spacing w:after="20" w:line="240"/>
            </w:pPr>
            <w:r>
              <w:rPr>
                <w:b w:val="false"/>
                <w:bCs w:val="false"/>
                <w:sz w:val="18"/>
                <w:szCs w:val="18"/>
              </w:rPr>
              <w:t xml:space="preserve">Scénario cible</w:t>
            </w:r>
          </w:p>
        </w:tc>
      </w:tr>
    </w:tbl>
    <w:p>
      <w:pPr>
        <w:pStyle w:val="ListItem"/>
        <w:numPr>
          <w:ilvl w:val="0"/>
          <w:numId w:val="1"/>
        </w:numPr>
        <w:spacing w:after="60" w:line="264"/>
      </w:pPr>
      <w:r>
        <w:t xml:space="preserve">Clés de chiffrement détenues et gérées par la Ville, dans un module matériel sous contrôle public.</w:t>
      </w:r>
    </w:p>
    <w:p>
      <w:pPr>
        <w:pStyle w:val="ListItem"/>
        <w:numPr>
          <w:ilvl w:val="0"/>
          <w:numId w:val="1"/>
        </w:numPr>
        <w:spacing w:after="60" w:line="264"/>
      </w:pPr>
      <w:r>
        <w:t xml:space="preserve">Code source détenu par la Ville ou placé sous séquestre avec droit d'usage irrévocable.</w:t>
      </w:r>
    </w:p>
    <w:p>
      <w:pPr>
        <w:pStyle w:val="ListItem"/>
        <w:numPr>
          <w:ilvl w:val="0"/>
          <w:numId w:val="1"/>
        </w:numPr>
        <w:spacing w:after="60" w:line="264"/>
      </w:pPr>
      <w:r>
        <w:t xml:space="preserve">Formats ouverts, exports complets à la demande, documentation d'exploitation transférable.</w:t>
      </w:r>
    </w:p>
    <w:p>
      <w:pPr>
        <w:pStyle w:val="ListItem"/>
        <w:numPr>
          <w:ilvl w:val="0"/>
          <w:numId w:val="1"/>
        </w:numPr>
        <w:spacing w:after="60" w:line="264"/>
      </w:pPr>
      <w:r>
        <w:t xml:space="preserve">Stratégie de sortie contractuelle : délais, assistance, jeux de données, réversibilité testée au moins une fois par an.</w:t>
      </w:r>
    </w:p>
    <w:p>
      <w:pPr>
        <w:pStyle w:val="ListItem"/>
        <w:numPr>
          <w:ilvl w:val="0"/>
          <w:numId w:val="1"/>
        </w:numPr>
        <w:spacing w:after="60" w:line="264"/>
      </w:pPr>
      <w:r>
        <w:t xml:space="preserve">Accès des personnels du prestataire strictement nominatif, temporaire, motivé et journalisé.</w:t>
      </w:r>
    </w:p>
    <w:p>
      <w:pPr>
        <w:pBdr>
          <w:left w:val="single" w:color="1BA996" w:sz="18" w:space="8"/>
        </w:pBdr>
        <w:spacing w:after="160" w:before="120" w:line="264"/>
        <w:ind w:left="180"/>
      </w:pPr>
      <w:r>
        <w:rPr>
          <w:b/>
          <w:bCs/>
          <w:color w:val="10262C"/>
          <w:sz w:val="20"/>
          <w:szCs w:val="20"/>
        </w:rPr>
        <w:t xml:space="preserve">Point à confirmer. </w:t>
      </w:r>
      <w:r>
        <w:rPr>
          <w:sz w:val="20"/>
          <w:szCs w:val="20"/>
        </w:rPr>
        <w:t xml:space="preserve">Les obligations exactes de résidence des données et la valeur juridique de la signature électronique doivent être établies au regard du Code du numérique avant le choix définitif d'hébergement. Tant que ce point n'est pas tranché, la conception retient l'hypothèse la plus protectrice : production nationale.</w:t>
      </w:r>
    </w:p>
    <w:p>
      <w:pPr>
        <w:pStyle w:val="Heading1"/>
        <w:spacing w:after="160" w:before="360"/>
      </w:pPr>
      <w:r>
        <w:t xml:space="preserve">35. Feuille de route de mise en œuvre</w:t>
      </w:r>
    </w:p>
    <w:p>
      <w:pPr>
        <w:pStyle w:val="Heading2"/>
        <w:spacing w:after="120" w:before="260"/>
      </w:pPr>
      <w:r>
        <w:t xml:space="preserve">35.1 Phases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872"/>
        <w:gridCol w:w="1123"/>
        <w:gridCol w:w="2246"/>
        <w:gridCol w:w="2434"/>
        <w:gridCol w:w="1685"/>
      </w:tblGrid>
      <w:tr>
        <w:trPr>
          <w:tblHeader/>
        </w:trPr>
        <w:tc>
          <w:tcPr>
            <w:tcW w:type="dxa" w:w="1872"/>
            <w:shd w:fill="E6F4F1" w:color="auto" w:val="clear"/>
            <w:tcMar>
              <w:top w:type="dxa" w:w="60"/>
              <w:left w:type="dxa" w:w="90"/>
              <w:bottom w:type="dxa" w:w="60"/>
              <w:right w:type="dxa" w:w="90"/>
            </w:tcMar>
          </w:tcPr>
          <w:p>
            <w:pPr>
              <w:spacing w:after="20" w:line="240"/>
            </w:pPr>
            <w:r>
              <w:rPr>
                <w:b/>
                <w:bCs/>
                <w:sz w:val="18"/>
                <w:szCs w:val="18"/>
              </w:rPr>
              <w:t xml:space="preserve">Phase</w:t>
            </w:r>
          </w:p>
        </w:tc>
        <w:tc>
          <w:tcPr>
            <w:tcW w:type="dxa" w:w="1123"/>
            <w:shd w:fill="E6F4F1" w:color="auto" w:val="clear"/>
            <w:tcMar>
              <w:top w:type="dxa" w:w="60"/>
              <w:left w:type="dxa" w:w="90"/>
              <w:bottom w:type="dxa" w:w="60"/>
              <w:right w:type="dxa" w:w="90"/>
            </w:tcMar>
          </w:tcPr>
          <w:p>
            <w:pPr>
              <w:spacing w:after="20" w:line="240"/>
            </w:pPr>
            <w:r>
              <w:rPr>
                <w:b/>
                <w:bCs/>
                <w:sz w:val="18"/>
                <w:szCs w:val="18"/>
              </w:rPr>
              <w:t xml:space="preserve">Durée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Objectifs</w:t>
            </w:r>
          </w:p>
        </w:tc>
        <w:tc>
          <w:tcPr>
            <w:tcW w:type="dxa" w:w="2434"/>
            <w:shd w:fill="E6F4F1" w:color="auto" w:val="clear"/>
            <w:tcMar>
              <w:top w:type="dxa" w:w="60"/>
              <w:left w:type="dxa" w:w="90"/>
              <w:bottom w:type="dxa" w:w="60"/>
              <w:right w:type="dxa" w:w="90"/>
            </w:tcMar>
          </w:tcPr>
          <w:p>
            <w:pPr>
              <w:spacing w:after="20" w:line="240"/>
            </w:pPr>
            <w:r>
              <w:rPr>
                <w:b/>
                <w:bCs/>
                <w:sz w:val="18"/>
                <w:szCs w:val="18"/>
              </w:rPr>
              <w:t xml:space="preserve">Livrables</w:t>
            </w:r>
          </w:p>
        </w:tc>
        <w:tc>
          <w:tcPr>
            <w:tcW w:type="dxa" w:w="1685"/>
            <w:shd w:fill="E6F4F1" w:color="auto" w:val="clear"/>
            <w:tcMar>
              <w:top w:type="dxa" w:w="60"/>
              <w:left w:type="dxa" w:w="90"/>
              <w:bottom w:type="dxa" w:w="60"/>
              <w:right w:type="dxa" w:w="90"/>
            </w:tcMar>
          </w:tcPr>
          <w:p>
            <w:pPr>
              <w:spacing w:after="20" w:line="240"/>
            </w:pPr>
            <w:r>
              <w:rPr>
                <w:b/>
                <w:bCs/>
                <w:sz w:val="18"/>
                <w:szCs w:val="18"/>
              </w:rPr>
              <w:t xml:space="preserve">Porte de sortie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0 — Mandat et mobilisation juridique</w:t>
            </w:r>
          </w:p>
        </w:tc>
        <w:tc>
          <w:tcPr>
            <w:tcW w:type="dxa" w:w="1123"/>
            <w:tcMar>
              <w:top w:type="dxa" w:w="60"/>
              <w:left w:type="dxa" w:w="90"/>
              <w:bottom w:type="dxa" w:w="60"/>
              <w:right w:type="dxa" w:w="90"/>
            </w:tcMar>
          </w:tcPr>
          <w:p>
            <w:pPr>
              <w:spacing w:after="20" w:line="240"/>
            </w:pPr>
            <w:r>
              <w:rPr>
                <w:b w:val="false"/>
                <w:bCs w:val="false"/>
                <w:sz w:val="18"/>
                <w:szCs w:val="18"/>
              </w:rPr>
              <w:t xml:space="preserve">4 à 6 semaines</w:t>
            </w:r>
          </w:p>
        </w:tc>
        <w:tc>
          <w:tcPr>
            <w:tcW w:type="dxa" w:w="2246"/>
            <w:tcMar>
              <w:top w:type="dxa" w:w="60"/>
              <w:left w:type="dxa" w:w="90"/>
              <w:bottom w:type="dxa" w:w="60"/>
              <w:right w:type="dxa" w:w="90"/>
            </w:tcMar>
          </w:tcPr>
          <w:p>
            <w:pPr>
              <w:spacing w:after="20" w:line="240"/>
            </w:pPr>
            <w:r>
              <w:rPr>
                <w:b w:val="false"/>
                <w:bCs w:val="false"/>
                <w:sz w:val="18"/>
                <w:szCs w:val="18"/>
              </w:rPr>
              <w:t xml:space="preserve">Sponsor, gouvernance, revue juridique, inventaire des systèmes, base de référence des recettes</w:t>
            </w:r>
          </w:p>
        </w:tc>
        <w:tc>
          <w:tcPr>
            <w:tcW w:type="dxa" w:w="2434"/>
            <w:tcMar>
              <w:top w:type="dxa" w:w="60"/>
              <w:left w:type="dxa" w:w="90"/>
              <w:bottom w:type="dxa" w:w="60"/>
              <w:right w:type="dxa" w:w="90"/>
            </w:tcMar>
          </w:tcPr>
          <w:p>
            <w:pPr>
              <w:spacing w:after="20" w:line="240"/>
            </w:pPr>
            <w:r>
              <w:rPr>
                <w:b w:val="false"/>
                <w:bCs w:val="false"/>
                <w:sz w:val="18"/>
                <w:szCs w:val="18"/>
              </w:rPr>
              <w:t xml:space="preserve">Décision provinciale, comité de pilotage, relevé juridique certifié, inventaire</w:t>
            </w:r>
          </w:p>
        </w:tc>
        <w:tc>
          <w:tcPr>
            <w:tcW w:type="dxa" w:w="1685"/>
            <w:tcMar>
              <w:top w:type="dxa" w:w="60"/>
              <w:left w:type="dxa" w:w="90"/>
              <w:bottom w:type="dxa" w:w="60"/>
              <w:right w:type="dxa" w:w="90"/>
            </w:tcMar>
          </w:tcPr>
          <w:p>
            <w:pPr>
              <w:spacing w:after="20" w:line="240"/>
            </w:pPr>
            <w:r>
              <w:rPr>
                <w:b w:val="false"/>
                <w:bCs w:val="false"/>
                <w:sz w:val="18"/>
                <w:szCs w:val="18"/>
              </w:rPr>
              <w:t xml:space="preserve">Décision signée et référentiel juridique arrêté</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1 — Cadrage et architecture</w:t>
            </w:r>
          </w:p>
        </w:tc>
        <w:tc>
          <w:tcPr>
            <w:tcW w:type="dxa" w:w="1123"/>
            <w:tcMar>
              <w:top w:type="dxa" w:w="60"/>
              <w:left w:type="dxa" w:w="90"/>
              <w:bottom w:type="dxa" w:w="60"/>
              <w:right w:type="dxa" w:w="90"/>
            </w:tcMar>
          </w:tcPr>
          <w:p>
            <w:pPr>
              <w:spacing w:after="20" w:line="240"/>
            </w:pPr>
            <w:r>
              <w:rPr>
                <w:b w:val="false"/>
                <w:bCs w:val="false"/>
                <w:sz w:val="18"/>
                <w:szCs w:val="18"/>
              </w:rPr>
              <w:t xml:space="preserve">6 à 8 semaines</w:t>
            </w:r>
          </w:p>
        </w:tc>
        <w:tc>
          <w:tcPr>
            <w:tcW w:type="dxa" w:w="2246"/>
            <w:tcMar>
              <w:top w:type="dxa" w:w="60"/>
              <w:left w:type="dxa" w:w="90"/>
              <w:bottom w:type="dxa" w:w="60"/>
              <w:right w:type="dxa" w:w="90"/>
            </w:tcMar>
          </w:tcPr>
          <w:p>
            <w:pPr>
              <w:spacing w:after="20" w:line="240"/>
            </w:pPr>
            <w:r>
              <w:rPr>
                <w:b w:val="false"/>
                <w:bCs w:val="false"/>
                <w:sz w:val="18"/>
                <w:szCs w:val="18"/>
              </w:rPr>
              <w:t xml:space="preserve">Cartographie des processus, audit des données et des systèmes existants, recherche utilisateur, architecture</w:t>
            </w:r>
          </w:p>
        </w:tc>
        <w:tc>
          <w:tcPr>
            <w:tcW w:type="dxa" w:w="2434"/>
            <w:tcMar>
              <w:top w:type="dxa" w:w="60"/>
              <w:left w:type="dxa" w:w="90"/>
              <w:bottom w:type="dxa" w:w="60"/>
              <w:right w:type="dxa" w:w="90"/>
            </w:tcMar>
          </w:tcPr>
          <w:p>
            <w:pPr>
              <w:spacing w:after="20" w:line="240"/>
            </w:pPr>
            <w:r>
              <w:rPr>
                <w:b w:val="false"/>
                <w:bCs w:val="false"/>
                <w:sz w:val="18"/>
                <w:szCs w:val="18"/>
              </w:rPr>
              <w:t xml:space="preserve">Spécifications, dictionnaire de données, architecture de sécurité, choix des communes pilotes</w:t>
            </w:r>
          </w:p>
        </w:tc>
        <w:tc>
          <w:tcPr>
            <w:tcW w:type="dxa" w:w="1685"/>
            <w:tcMar>
              <w:top w:type="dxa" w:w="60"/>
              <w:left w:type="dxa" w:w="90"/>
              <w:bottom w:type="dxa" w:w="60"/>
              <w:right w:type="dxa" w:w="90"/>
            </w:tcMar>
          </w:tcPr>
          <w:p>
            <w:pPr>
              <w:spacing w:after="20" w:line="240"/>
            </w:pPr>
            <w:r>
              <w:rPr>
                <w:b w:val="false"/>
                <w:bCs w:val="false"/>
                <w:sz w:val="18"/>
                <w:szCs w:val="18"/>
              </w:rPr>
              <w:t xml:space="preserve">Architecture validée et pilote approuvé</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2 — Socle</w:t>
            </w:r>
          </w:p>
        </w:tc>
        <w:tc>
          <w:tcPr>
            <w:tcW w:type="dxa" w:w="1123"/>
            <w:tcMar>
              <w:top w:type="dxa" w:w="60"/>
              <w:left w:type="dxa" w:w="90"/>
              <w:bottom w:type="dxa" w:w="60"/>
              <w:right w:type="dxa" w:w="90"/>
            </w:tcMar>
          </w:tcPr>
          <w:p>
            <w:pPr>
              <w:spacing w:after="20" w:line="240"/>
            </w:pPr>
            <w:r>
              <w:rPr>
                <w:b w:val="false"/>
                <w:bCs w:val="false"/>
                <w:sz w:val="18"/>
                <w:szCs w:val="18"/>
              </w:rPr>
              <w:t xml:space="preserve">10 à 14 semaines</w:t>
            </w:r>
          </w:p>
        </w:tc>
        <w:tc>
          <w:tcPr>
            <w:tcW w:type="dxa" w:w="2246"/>
            <w:tcMar>
              <w:top w:type="dxa" w:w="60"/>
              <w:left w:type="dxa" w:w="90"/>
              <w:bottom w:type="dxa" w:w="60"/>
              <w:right w:type="dxa" w:w="90"/>
            </w:tcMar>
          </w:tcPr>
          <w:p>
            <w:pPr>
              <w:spacing w:after="20" w:line="240"/>
            </w:pPr>
            <w:r>
              <w:rPr>
                <w:b w:val="false"/>
                <w:bCs w:val="false"/>
                <w:sz w:val="18"/>
                <w:szCs w:val="18"/>
              </w:rPr>
              <w:t xml:space="preserve">Identité, compte, objets, règles, paiements, quittances, cartographie, audit, application terrain, tableaux de bord</w:t>
            </w:r>
          </w:p>
        </w:tc>
        <w:tc>
          <w:tcPr>
            <w:tcW w:type="dxa" w:w="2434"/>
            <w:tcMar>
              <w:top w:type="dxa" w:w="60"/>
              <w:left w:type="dxa" w:w="90"/>
              <w:bottom w:type="dxa" w:w="60"/>
              <w:right w:type="dxa" w:w="90"/>
            </w:tcMar>
          </w:tcPr>
          <w:p>
            <w:pPr>
              <w:spacing w:after="20" w:line="240"/>
            </w:pPr>
            <w:r>
              <w:rPr>
                <w:b w:val="false"/>
                <w:bCs w:val="false"/>
                <w:sz w:val="18"/>
                <w:szCs w:val="18"/>
              </w:rPr>
              <w:t xml:space="preserve">Version pilote éprouvée, tests d'intrusion, documentation</w:t>
            </w:r>
          </w:p>
        </w:tc>
        <w:tc>
          <w:tcPr>
            <w:tcW w:type="dxa" w:w="1685"/>
            <w:tcMar>
              <w:top w:type="dxa" w:w="60"/>
              <w:left w:type="dxa" w:w="90"/>
              <w:bottom w:type="dxa" w:w="60"/>
              <w:right w:type="dxa" w:w="90"/>
            </w:tcMar>
          </w:tcPr>
          <w:p>
            <w:pPr>
              <w:spacing w:after="20" w:line="240"/>
            </w:pPr>
            <w:r>
              <w:rPr>
                <w:b w:val="false"/>
                <w:bCs w:val="false"/>
                <w:sz w:val="18"/>
                <w:szCs w:val="18"/>
              </w:rPr>
              <w:t xml:space="preserve">Recette technique et sécurité passée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3 — Pilote</w:t>
            </w:r>
          </w:p>
        </w:tc>
        <w:tc>
          <w:tcPr>
            <w:tcW w:type="dxa" w:w="1123"/>
            <w:tcMar>
              <w:top w:type="dxa" w:w="60"/>
              <w:left w:type="dxa" w:w="90"/>
              <w:bottom w:type="dxa" w:w="60"/>
              <w:right w:type="dxa" w:w="90"/>
            </w:tcMar>
          </w:tcPr>
          <w:p>
            <w:pPr>
              <w:spacing w:after="20" w:line="240"/>
            </w:pPr>
            <w:r>
              <w:rPr>
                <w:b w:val="false"/>
                <w:bCs w:val="false"/>
                <w:sz w:val="18"/>
                <w:szCs w:val="18"/>
              </w:rPr>
              <w:t xml:space="preserve">180 jours</w:t>
            </w:r>
          </w:p>
        </w:tc>
        <w:tc>
          <w:tcPr>
            <w:tcW w:type="dxa" w:w="2246"/>
            <w:tcMar>
              <w:top w:type="dxa" w:w="60"/>
              <w:left w:type="dxa" w:w="90"/>
              <w:bottom w:type="dxa" w:w="60"/>
              <w:right w:type="dxa" w:w="90"/>
            </w:tcMar>
          </w:tcPr>
          <w:p>
            <w:pPr>
              <w:spacing w:after="20" w:line="240"/>
            </w:pPr>
            <w:r>
              <w:rPr>
                <w:b w:val="false"/>
                <w:bCs w:val="false"/>
                <w:sz w:val="18"/>
                <w:szCs w:val="18"/>
              </w:rPr>
              <w:t xml:space="preserve">Recensement et campagne réelle dans quatre communes</w:t>
            </w:r>
          </w:p>
        </w:tc>
        <w:tc>
          <w:tcPr>
            <w:tcW w:type="dxa" w:w="2434"/>
            <w:tcMar>
              <w:top w:type="dxa" w:w="60"/>
              <w:left w:type="dxa" w:w="90"/>
              <w:bottom w:type="dxa" w:w="60"/>
              <w:right w:type="dxa" w:w="90"/>
            </w:tcMar>
          </w:tcPr>
          <w:p>
            <w:pPr>
              <w:spacing w:after="20" w:line="240"/>
            </w:pPr>
            <w:r>
              <w:rPr>
                <w:b w:val="false"/>
                <w:bCs w:val="false"/>
                <w:sz w:val="18"/>
                <w:szCs w:val="18"/>
              </w:rPr>
              <w:t xml:space="preserve">Registre pilote, résultats de campagne, rapport d'évaluation indépendant</w:t>
            </w:r>
          </w:p>
        </w:tc>
        <w:tc>
          <w:tcPr>
            <w:tcW w:type="dxa" w:w="1685"/>
            <w:tcMar>
              <w:top w:type="dxa" w:w="60"/>
              <w:left w:type="dxa" w:w="90"/>
              <w:bottom w:type="dxa" w:w="60"/>
              <w:right w:type="dxa" w:w="90"/>
            </w:tcMar>
          </w:tcPr>
          <w:p>
            <w:pPr>
              <w:spacing w:after="20" w:line="240"/>
            </w:pPr>
            <w:r>
              <w:rPr>
                <w:b w:val="false"/>
                <w:bCs w:val="false"/>
                <w:sz w:val="18"/>
                <w:szCs w:val="18"/>
              </w:rPr>
              <w:t xml:space="preserve">Objectifs de couverture et d'encaissement atteints</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4 — Extension</w:t>
            </w:r>
          </w:p>
        </w:tc>
        <w:tc>
          <w:tcPr>
            <w:tcW w:type="dxa" w:w="1123"/>
            <w:tcMar>
              <w:top w:type="dxa" w:w="60"/>
              <w:left w:type="dxa" w:w="90"/>
              <w:bottom w:type="dxa" w:w="60"/>
              <w:right w:type="dxa" w:w="90"/>
            </w:tcMar>
          </w:tcPr>
          <w:p>
            <w:pPr>
              <w:spacing w:after="20" w:line="240"/>
            </w:pPr>
            <w:r>
              <w:rPr>
                <w:b w:val="false"/>
                <w:bCs w:val="false"/>
                <w:sz w:val="18"/>
                <w:szCs w:val="18"/>
              </w:rPr>
              <w:t xml:space="preserve">9 à 12 mois</w:t>
            </w:r>
          </w:p>
        </w:tc>
        <w:tc>
          <w:tcPr>
            <w:tcW w:type="dxa" w:w="2246"/>
            <w:tcMar>
              <w:top w:type="dxa" w:w="60"/>
              <w:left w:type="dxa" w:w="90"/>
              <w:bottom w:type="dxa" w:w="60"/>
              <w:right w:type="dxa" w:w="90"/>
            </w:tcMar>
          </w:tcPr>
          <w:p>
            <w:pPr>
              <w:spacing w:after="20" w:line="240"/>
            </w:pPr>
            <w:r>
              <w:rPr>
                <w:b w:val="false"/>
                <w:bCs w:val="false"/>
                <w:sz w:val="18"/>
                <w:szCs w:val="18"/>
              </w:rPr>
              <w:t xml:space="preserve">Communes supplémentaires, nouveaux modules, canaux et intégrations</w:t>
            </w:r>
          </w:p>
        </w:tc>
        <w:tc>
          <w:tcPr>
            <w:tcW w:type="dxa" w:w="2434"/>
            <w:tcMar>
              <w:top w:type="dxa" w:w="60"/>
              <w:left w:type="dxa" w:w="90"/>
              <w:bottom w:type="dxa" w:w="60"/>
              <w:right w:type="dxa" w:w="90"/>
            </w:tcMar>
          </w:tcPr>
          <w:p>
            <w:pPr>
              <w:spacing w:after="20" w:line="240"/>
            </w:pPr>
            <w:r>
              <w:rPr>
                <w:b w:val="false"/>
                <w:bCs w:val="false"/>
                <w:sz w:val="18"/>
                <w:szCs w:val="18"/>
              </w:rPr>
              <w:t xml:space="preserve">Déploiement progressif, formation, conventions partenaires</w:t>
            </w:r>
          </w:p>
        </w:tc>
        <w:tc>
          <w:tcPr>
            <w:tcW w:type="dxa" w:w="1685"/>
            <w:tcMar>
              <w:top w:type="dxa" w:w="60"/>
              <w:left w:type="dxa" w:w="90"/>
              <w:bottom w:type="dxa" w:w="60"/>
              <w:right w:type="dxa" w:w="90"/>
            </w:tcMar>
          </w:tcPr>
          <w:p>
            <w:pPr>
              <w:spacing w:after="20" w:line="240"/>
            </w:pPr>
            <w:r>
              <w:rPr>
                <w:b w:val="false"/>
                <w:bCs w:val="false"/>
                <w:sz w:val="18"/>
                <w:szCs w:val="18"/>
              </w:rPr>
              <w:t xml:space="preserve">Stabilité opérationnelle par vague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5 — Généralisation</w:t>
            </w:r>
          </w:p>
        </w:tc>
        <w:tc>
          <w:tcPr>
            <w:tcW w:type="dxa" w:w="1123"/>
            <w:tcMar>
              <w:top w:type="dxa" w:w="60"/>
              <w:left w:type="dxa" w:w="90"/>
              <w:bottom w:type="dxa" w:w="60"/>
              <w:right w:type="dxa" w:w="90"/>
            </w:tcMar>
          </w:tcPr>
          <w:p>
            <w:pPr>
              <w:spacing w:after="20" w:line="240"/>
            </w:pPr>
            <w:r>
              <w:rPr>
                <w:b w:val="false"/>
                <w:bCs w:val="false"/>
                <w:sz w:val="18"/>
                <w:szCs w:val="18"/>
              </w:rPr>
              <w:t xml:space="preserve">6 à 9 mois</w:t>
            </w:r>
          </w:p>
        </w:tc>
        <w:tc>
          <w:tcPr>
            <w:tcW w:type="dxa" w:w="2246"/>
            <w:tcMar>
              <w:top w:type="dxa" w:w="60"/>
              <w:left w:type="dxa" w:w="90"/>
              <w:bottom w:type="dxa" w:w="60"/>
              <w:right w:type="dxa" w:w="90"/>
            </w:tcMar>
          </w:tcPr>
          <w:p>
            <w:pPr>
              <w:spacing w:after="20" w:line="240"/>
            </w:pPr>
            <w:r>
              <w:rPr>
                <w:b w:val="false"/>
                <w:bCs w:val="false"/>
                <w:sz w:val="18"/>
                <w:szCs w:val="18"/>
              </w:rPr>
              <w:t xml:space="preserve">Couverture des 24 communes et des catégories majeures</w:t>
            </w:r>
          </w:p>
        </w:tc>
        <w:tc>
          <w:tcPr>
            <w:tcW w:type="dxa" w:w="2434"/>
            <w:tcMar>
              <w:top w:type="dxa" w:w="60"/>
              <w:left w:type="dxa" w:w="90"/>
              <w:bottom w:type="dxa" w:w="60"/>
              <w:right w:type="dxa" w:w="90"/>
            </w:tcMar>
          </w:tcPr>
          <w:p>
            <w:pPr>
              <w:spacing w:after="20" w:line="240"/>
            </w:pPr>
            <w:r>
              <w:rPr>
                <w:b w:val="false"/>
                <w:bCs w:val="false"/>
                <w:sz w:val="18"/>
                <w:szCs w:val="18"/>
              </w:rPr>
              <w:t xml:space="preserve">Exploitation courante, transfert de compétences</w:t>
            </w:r>
          </w:p>
        </w:tc>
        <w:tc>
          <w:tcPr>
            <w:tcW w:type="dxa" w:w="1685"/>
            <w:tcMar>
              <w:top w:type="dxa" w:w="60"/>
              <w:left w:type="dxa" w:w="90"/>
              <w:bottom w:type="dxa" w:w="60"/>
              <w:right w:type="dxa" w:w="90"/>
            </w:tcMar>
          </w:tcPr>
          <w:p>
            <w:pPr>
              <w:spacing w:after="20" w:line="240"/>
            </w:pPr>
            <w:r>
              <w:rPr>
                <w:b w:val="false"/>
                <w:bCs w:val="false"/>
                <w:sz w:val="18"/>
                <w:szCs w:val="18"/>
              </w:rPr>
              <w:t xml:space="preserve">Autonomie des équipes provinciales</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Phase 6 — Optimisation</w:t>
            </w:r>
          </w:p>
        </w:tc>
        <w:tc>
          <w:tcPr>
            <w:tcW w:type="dxa" w:w="1123"/>
            <w:tcMar>
              <w:top w:type="dxa" w:w="60"/>
              <w:left w:type="dxa" w:w="90"/>
              <w:bottom w:type="dxa" w:w="60"/>
              <w:right w:type="dxa" w:w="90"/>
            </w:tcMar>
          </w:tcPr>
          <w:p>
            <w:pPr>
              <w:spacing w:after="20" w:line="240"/>
            </w:pPr>
            <w:r>
              <w:rPr>
                <w:b w:val="false"/>
                <w:bCs w:val="false"/>
                <w:sz w:val="18"/>
                <w:szCs w:val="18"/>
              </w:rPr>
              <w:t xml:space="preserve">Continu</w:t>
            </w:r>
          </w:p>
        </w:tc>
        <w:tc>
          <w:tcPr>
            <w:tcW w:type="dxa" w:w="2246"/>
            <w:tcMar>
              <w:top w:type="dxa" w:w="60"/>
              <w:left w:type="dxa" w:w="90"/>
              <w:bottom w:type="dxa" w:w="60"/>
              <w:right w:type="dxa" w:w="90"/>
            </w:tcMar>
          </w:tcPr>
          <w:p>
            <w:pPr>
              <w:spacing w:after="20" w:line="240"/>
            </w:pPr>
            <w:r>
              <w:rPr>
                <w:b w:val="false"/>
                <w:bCs w:val="false"/>
                <w:sz w:val="18"/>
                <w:szCs w:val="18"/>
              </w:rPr>
              <w:t xml:space="preserve">Amélioration par la donnée, extension des gisements, réduction des coûts</w:t>
            </w:r>
          </w:p>
        </w:tc>
        <w:tc>
          <w:tcPr>
            <w:tcW w:type="dxa" w:w="2434"/>
            <w:tcMar>
              <w:top w:type="dxa" w:w="60"/>
              <w:left w:type="dxa" w:w="90"/>
              <w:bottom w:type="dxa" w:w="60"/>
              <w:right w:type="dxa" w:w="90"/>
            </w:tcMar>
          </w:tcPr>
          <w:p>
            <w:pPr>
              <w:spacing w:after="20" w:line="240"/>
            </w:pPr>
            <w:r>
              <w:rPr>
                <w:b w:val="false"/>
                <w:bCs w:val="false"/>
                <w:sz w:val="18"/>
                <w:szCs w:val="18"/>
              </w:rPr>
              <w:t xml:space="preserve">Revues trimestrielles, plan d'amélioration</w:t>
            </w:r>
          </w:p>
        </w:tc>
        <w:tc>
          <w:tcPr>
            <w:tcW w:type="dxa" w:w="1685"/>
            <w:tcMar>
              <w:top w:type="dxa" w:w="60"/>
              <w:left w:type="dxa" w:w="90"/>
              <w:bottom w:type="dxa" w:w="60"/>
              <w:right w:type="dxa" w:w="90"/>
            </w:tcMar>
          </w:tcPr>
          <w:p>
            <w:pPr>
              <w:spacing w:after="20" w:line="240"/>
            </w:pPr>
            <w:r>
              <w:rPr>
                <w:b w:val="false"/>
                <w:bCs w:val="false"/>
                <w:sz w:val="18"/>
                <w:szCs w:val="18"/>
              </w:rPr>
              <w:t xml:space="preserve">Indicateurs en progression soutenue</w:t>
            </w:r>
          </w:p>
        </w:tc>
      </w:tr>
    </w:tbl>
    <w:p>
      <w:pPr>
        <w:pStyle w:val="Heading2"/>
        <w:spacing w:after="120" w:before="260"/>
      </w:pPr>
      <w:r>
        <w:t xml:space="preserve">35.2 Plans d'action datés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123"/>
        <w:gridCol w:w="5429"/>
        <w:gridCol w:w="2808"/>
      </w:tblGrid>
      <w:tr>
        <w:trPr>
          <w:tblHeader/>
        </w:trPr>
        <w:tc>
          <w:tcPr>
            <w:tcW w:type="dxa" w:w="1123"/>
            <w:shd w:fill="E6F4F1" w:color="auto" w:val="clear"/>
            <w:tcMar>
              <w:top w:type="dxa" w:w="60"/>
              <w:left w:type="dxa" w:w="90"/>
              <w:bottom w:type="dxa" w:w="60"/>
              <w:right w:type="dxa" w:w="90"/>
            </w:tcMar>
          </w:tcPr>
          <w:p>
            <w:pPr>
              <w:spacing w:after="20" w:line="240"/>
            </w:pPr>
            <w:r>
              <w:rPr>
                <w:b/>
                <w:bCs/>
                <w:sz w:val="18"/>
                <w:szCs w:val="18"/>
              </w:rPr>
              <w:t xml:space="preserve">Horizon</w:t>
            </w:r>
          </w:p>
        </w:tc>
        <w:tc>
          <w:tcPr>
            <w:tcW w:type="dxa" w:w="5429"/>
            <w:shd w:fill="E6F4F1" w:color="auto" w:val="clear"/>
            <w:tcMar>
              <w:top w:type="dxa" w:w="60"/>
              <w:left w:type="dxa" w:w="90"/>
              <w:bottom w:type="dxa" w:w="60"/>
              <w:right w:type="dxa" w:w="90"/>
            </w:tcMar>
          </w:tcPr>
          <w:p>
            <w:pPr>
              <w:spacing w:after="20" w:line="240"/>
            </w:pPr>
            <w:r>
              <w:rPr>
                <w:b/>
                <w:bCs/>
                <w:sz w:val="18"/>
                <w:szCs w:val="18"/>
              </w:rPr>
              <w:t xml:space="preserve">Actions clés</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Preuve de réalisation</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30 jours</w:t>
            </w:r>
          </w:p>
        </w:tc>
        <w:tc>
          <w:tcPr>
            <w:tcW w:type="dxa" w:w="5429"/>
            <w:tcMar>
              <w:top w:type="dxa" w:w="60"/>
              <w:left w:type="dxa" w:w="90"/>
              <w:bottom w:type="dxa" w:w="60"/>
              <w:right w:type="dxa" w:w="90"/>
            </w:tcMar>
          </w:tcPr>
          <w:p>
            <w:pPr>
              <w:spacing w:after="20" w:line="240"/>
            </w:pPr>
            <w:r>
              <w:rPr>
                <w:b w:val="false"/>
                <w:bCs w:val="false"/>
                <w:sz w:val="18"/>
                <w:szCs w:val="18"/>
              </w:rPr>
              <w:t xml:space="preserve">Décision provinciale ; nomination du comité de pilotage ; relevé juridique sur l'Ordonnance-loi n° 18/004 et l'édit en vigueur ; inventaire des systèmes et des bases existantes ; base de référence des recettes ; lettre d'intention aux partenaires de données</w:t>
            </w:r>
          </w:p>
        </w:tc>
        <w:tc>
          <w:tcPr>
            <w:tcW w:type="dxa" w:w="2808"/>
            <w:tcMar>
              <w:top w:type="dxa" w:w="60"/>
              <w:left w:type="dxa" w:w="90"/>
              <w:bottom w:type="dxa" w:w="60"/>
              <w:right w:type="dxa" w:w="90"/>
            </w:tcMar>
          </w:tcPr>
          <w:p>
            <w:pPr>
              <w:spacing w:after="20" w:line="240"/>
            </w:pPr>
            <w:r>
              <w:rPr>
                <w:b w:val="false"/>
                <w:bCs w:val="false"/>
                <w:sz w:val="18"/>
                <w:szCs w:val="18"/>
              </w:rPr>
              <w:t xml:space="preserve">Acte de nomination, relevé juridique signé, inventaire remis</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90 jours</w:t>
            </w:r>
          </w:p>
        </w:tc>
        <w:tc>
          <w:tcPr>
            <w:tcW w:type="dxa" w:w="5429"/>
            <w:tcMar>
              <w:top w:type="dxa" w:w="60"/>
              <w:left w:type="dxa" w:w="90"/>
              <w:bottom w:type="dxa" w:w="60"/>
              <w:right w:type="dxa" w:w="90"/>
            </w:tcMar>
          </w:tcPr>
          <w:p>
            <w:pPr>
              <w:spacing w:after="20" w:line="240"/>
            </w:pPr>
            <w:r>
              <w:rPr>
                <w:b w:val="false"/>
                <w:bCs w:val="false"/>
                <w:sz w:val="18"/>
                <w:szCs w:val="18"/>
              </w:rPr>
              <w:t xml:space="preserve">Référentiel des recettes prioritaires paramétré et validé ; architecture et sécurité approuvées ; protocoles de données signés ; communes pilotes arrêtées ; équipes recrutées et formées ; socle en développement</w:t>
            </w:r>
          </w:p>
        </w:tc>
        <w:tc>
          <w:tcPr>
            <w:tcW w:type="dxa" w:w="2808"/>
            <w:tcMar>
              <w:top w:type="dxa" w:w="60"/>
              <w:left w:type="dxa" w:w="90"/>
              <w:bottom w:type="dxa" w:w="60"/>
              <w:right w:type="dxa" w:w="90"/>
            </w:tcMar>
          </w:tcPr>
          <w:p>
            <w:pPr>
              <w:spacing w:after="20" w:line="240"/>
            </w:pPr>
            <w:r>
              <w:rPr>
                <w:b w:val="false"/>
                <w:bCs w:val="false"/>
                <w:sz w:val="18"/>
                <w:szCs w:val="18"/>
              </w:rPr>
              <w:t xml:space="preserve">Référentiel versionné, protocoles signés, socle démontrable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180 jours</w:t>
            </w:r>
          </w:p>
        </w:tc>
        <w:tc>
          <w:tcPr>
            <w:tcW w:type="dxa" w:w="5429"/>
            <w:tcMar>
              <w:top w:type="dxa" w:w="60"/>
              <w:left w:type="dxa" w:w="90"/>
              <w:bottom w:type="dxa" w:w="60"/>
              <w:right w:type="dxa" w:w="90"/>
            </w:tcMar>
          </w:tcPr>
          <w:p>
            <w:pPr>
              <w:spacing w:after="20" w:line="240"/>
            </w:pPr>
            <w:r>
              <w:rPr>
                <w:b w:val="false"/>
                <w:bCs w:val="false"/>
                <w:sz w:val="18"/>
                <w:szCs w:val="18"/>
              </w:rPr>
              <w:t xml:space="preserve">Recensement locatif et commercial des communes pilotes ; paiements électroniques opérationnels ; quittance vérifiable en service ; tableaux de bord en production ; campagne de février prête avec déclarations pré-remplies</w:t>
            </w:r>
          </w:p>
        </w:tc>
        <w:tc>
          <w:tcPr>
            <w:tcW w:type="dxa" w:w="2808"/>
            <w:tcMar>
              <w:top w:type="dxa" w:w="60"/>
              <w:left w:type="dxa" w:w="90"/>
              <w:bottom w:type="dxa" w:w="60"/>
              <w:right w:type="dxa" w:w="90"/>
            </w:tcMar>
          </w:tcPr>
          <w:p>
            <w:pPr>
              <w:spacing w:after="20" w:line="240"/>
            </w:pPr>
            <w:r>
              <w:rPr>
                <w:b w:val="false"/>
                <w:bCs w:val="false"/>
                <w:sz w:val="18"/>
                <w:szCs w:val="18"/>
              </w:rPr>
              <w:t xml:space="preserve">Rapport de pilote, statistiques de couverture, recettes rapprochées</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12 mois</w:t>
            </w:r>
          </w:p>
        </w:tc>
        <w:tc>
          <w:tcPr>
            <w:tcW w:type="dxa" w:w="5429"/>
            <w:tcMar>
              <w:top w:type="dxa" w:w="60"/>
              <w:left w:type="dxa" w:w="90"/>
              <w:bottom w:type="dxa" w:w="60"/>
              <w:right w:type="dxa" w:w="90"/>
            </w:tcMar>
          </w:tcPr>
          <w:p>
            <w:pPr>
              <w:spacing w:after="20" w:line="240"/>
            </w:pPr>
            <w:r>
              <w:rPr>
                <w:b w:val="false"/>
                <w:bCs w:val="false"/>
                <w:sz w:val="18"/>
                <w:szCs w:val="18"/>
              </w:rPr>
              <w:t xml:space="preserve">Extension à la moitié des communes ; cellule grands redevables opérationnelle ; publicité et antennes intégrées ; arriérés en campagne ; audit indépendant du premier exercice</w:t>
            </w:r>
          </w:p>
        </w:tc>
        <w:tc>
          <w:tcPr>
            <w:tcW w:type="dxa" w:w="2808"/>
            <w:tcMar>
              <w:top w:type="dxa" w:w="60"/>
              <w:left w:type="dxa" w:w="90"/>
              <w:bottom w:type="dxa" w:w="60"/>
              <w:right w:type="dxa" w:w="90"/>
            </w:tcMar>
          </w:tcPr>
          <w:p>
            <w:pPr>
              <w:spacing w:after="20" w:line="240"/>
            </w:pPr>
            <w:r>
              <w:rPr>
                <w:b w:val="false"/>
                <w:bCs w:val="false"/>
                <w:sz w:val="18"/>
                <w:szCs w:val="18"/>
              </w:rPr>
              <w:t xml:space="preserve">Rapport d'audit, part électronique des recettes, taux de couverture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24 mois</w:t>
            </w:r>
          </w:p>
        </w:tc>
        <w:tc>
          <w:tcPr>
            <w:tcW w:type="dxa" w:w="5429"/>
            <w:tcMar>
              <w:top w:type="dxa" w:w="60"/>
              <w:left w:type="dxa" w:w="90"/>
              <w:bottom w:type="dxa" w:w="60"/>
              <w:right w:type="dxa" w:w="90"/>
            </w:tcMar>
          </w:tcPr>
          <w:p>
            <w:pPr>
              <w:spacing w:after="20" w:line="240"/>
            </w:pPr>
            <w:r>
              <w:rPr>
                <w:b w:val="false"/>
                <w:bCs w:val="false"/>
                <w:sz w:val="18"/>
                <w:szCs w:val="18"/>
              </w:rPr>
              <w:t xml:space="preserve">Couverture des 24 communes ; catégories majeures intégrées ; transfert de compétences réalisé ; module d'affectation et transparence publique en service</w:t>
            </w:r>
          </w:p>
        </w:tc>
        <w:tc>
          <w:tcPr>
            <w:tcW w:type="dxa" w:w="2808"/>
            <w:tcMar>
              <w:top w:type="dxa" w:w="60"/>
              <w:left w:type="dxa" w:w="90"/>
              <w:bottom w:type="dxa" w:w="60"/>
              <w:right w:type="dxa" w:w="90"/>
            </w:tcMar>
          </w:tcPr>
          <w:p>
            <w:pPr>
              <w:spacing w:after="20" w:line="240"/>
            </w:pPr>
            <w:r>
              <w:rPr>
                <w:b w:val="false"/>
                <w:bCs w:val="false"/>
                <w:sz w:val="18"/>
                <w:szCs w:val="18"/>
              </w:rPr>
              <w:t xml:space="preserve">Rapport annuel public, indicateurs consolidés</w:t>
            </w:r>
          </w:p>
        </w:tc>
      </w:tr>
    </w:tbl>
    <w:p>
      <w:pPr>
        <w:pStyle w:val="Heading1"/>
        <w:spacing w:after="160" w:before="360"/>
      </w:pPr>
      <w:r>
        <w:t xml:space="preserve">36. Modèle opérationnel</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3370"/>
        <w:gridCol w:w="3557"/>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Fonction</w:t>
            </w:r>
          </w:p>
        </w:tc>
        <w:tc>
          <w:tcPr>
            <w:tcW w:type="dxa" w:w="3370"/>
            <w:shd w:fill="E6F4F1" w:color="auto" w:val="clear"/>
            <w:tcMar>
              <w:top w:type="dxa" w:w="60"/>
              <w:left w:type="dxa" w:w="90"/>
              <w:bottom w:type="dxa" w:w="60"/>
              <w:right w:type="dxa" w:w="90"/>
            </w:tcMar>
          </w:tcPr>
          <w:p>
            <w:pPr>
              <w:spacing w:after="20" w:line="240"/>
            </w:pPr>
            <w:r>
              <w:rPr>
                <w:b/>
                <w:bCs/>
                <w:sz w:val="18"/>
                <w:szCs w:val="18"/>
              </w:rPr>
              <w:t xml:space="preserve">Effectif indicatif au pilote</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Rattachement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Direction de programme</w:t>
            </w:r>
          </w:p>
        </w:tc>
        <w:tc>
          <w:tcPr>
            <w:tcW w:type="dxa" w:w="3370"/>
            <w:tcMar>
              <w:top w:type="dxa" w:w="60"/>
              <w:left w:type="dxa" w:w="90"/>
              <w:bottom w:type="dxa" w:w="60"/>
              <w:right w:type="dxa" w:w="90"/>
            </w:tcMar>
          </w:tcPr>
          <w:p>
            <w:pPr>
              <w:spacing w:after="20" w:line="240"/>
            </w:pPr>
            <w:r>
              <w:rPr>
                <w:b w:val="false"/>
                <w:bCs w:val="false"/>
                <w:sz w:val="18"/>
                <w:szCs w:val="18"/>
              </w:rPr>
              <w:t xml:space="preserve">1 directeur, 1 adjoint</w:t>
            </w:r>
          </w:p>
        </w:tc>
        <w:tc>
          <w:tcPr>
            <w:tcW w:type="dxa" w:w="3557"/>
            <w:tcMar>
              <w:top w:type="dxa" w:w="60"/>
              <w:left w:type="dxa" w:w="90"/>
              <w:bottom w:type="dxa" w:w="60"/>
              <w:right w:type="dxa" w:w="90"/>
            </w:tcMar>
          </w:tcPr>
          <w:p>
            <w:pPr>
              <w:spacing w:after="20" w:line="240"/>
            </w:pPr>
            <w:r>
              <w:rPr>
                <w:b w:val="false"/>
                <w:bCs w:val="false"/>
                <w:sz w:val="18"/>
                <w:szCs w:val="18"/>
              </w:rPr>
              <w:t xml:space="preserve">Ministère provincial des Finances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Référentiel juridique</w:t>
            </w:r>
          </w:p>
        </w:tc>
        <w:tc>
          <w:tcPr>
            <w:tcW w:type="dxa" w:w="3370"/>
            <w:tcMar>
              <w:top w:type="dxa" w:w="60"/>
              <w:left w:type="dxa" w:w="90"/>
              <w:bottom w:type="dxa" w:w="60"/>
              <w:right w:type="dxa" w:w="90"/>
            </w:tcMar>
          </w:tcPr>
          <w:p>
            <w:pPr>
              <w:spacing w:after="20" w:line="240"/>
            </w:pPr>
            <w:r>
              <w:rPr>
                <w:b w:val="false"/>
                <w:bCs w:val="false"/>
                <w:sz w:val="18"/>
                <w:szCs w:val="18"/>
              </w:rPr>
              <w:t xml:space="preserve">2 juristes, 1 tarificateur</w:t>
            </w:r>
          </w:p>
        </w:tc>
        <w:tc>
          <w:tcPr>
            <w:tcW w:type="dxa" w:w="3557"/>
            <w:tcMar>
              <w:top w:type="dxa" w:w="60"/>
              <w:left w:type="dxa" w:w="90"/>
              <w:bottom w:type="dxa" w:w="60"/>
              <w:right w:type="dxa" w:w="90"/>
            </w:tcMar>
          </w:tcPr>
          <w:p>
            <w:pPr>
              <w:spacing w:after="20" w:line="240"/>
            </w:pPr>
            <w:r>
              <w:rPr>
                <w:b w:val="false"/>
                <w:bCs w:val="false"/>
                <w:sz w:val="18"/>
                <w:szCs w:val="18"/>
              </w:rPr>
              <w:t xml:space="preserve">Services juridiques provinciaux</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Produit et service</w:t>
            </w:r>
          </w:p>
        </w:tc>
        <w:tc>
          <w:tcPr>
            <w:tcW w:type="dxa" w:w="3370"/>
            <w:tcMar>
              <w:top w:type="dxa" w:w="60"/>
              <w:left w:type="dxa" w:w="90"/>
              <w:bottom w:type="dxa" w:w="60"/>
              <w:right w:type="dxa" w:w="90"/>
            </w:tcMar>
          </w:tcPr>
          <w:p>
            <w:pPr>
              <w:spacing w:after="20" w:line="240"/>
            </w:pPr>
            <w:r>
              <w:rPr>
                <w:b w:val="false"/>
                <w:bCs w:val="false"/>
                <w:sz w:val="18"/>
                <w:szCs w:val="18"/>
              </w:rPr>
              <w:t xml:space="preserve">1 responsable produit, 1 designer de service</w:t>
            </w:r>
          </w:p>
        </w:tc>
        <w:tc>
          <w:tcPr>
            <w:tcW w:type="dxa" w:w="3557"/>
            <w:tcMar>
              <w:top w:type="dxa" w:w="60"/>
              <w:left w:type="dxa" w:w="90"/>
              <w:bottom w:type="dxa" w:w="60"/>
              <w:right w:type="dxa" w:w="90"/>
            </w:tcMar>
          </w:tcPr>
          <w:p>
            <w:pPr>
              <w:spacing w:after="20" w:line="240"/>
            </w:pPr>
            <w:r>
              <w:rPr>
                <w:b w:val="false"/>
                <w:bCs w:val="false"/>
                <w:sz w:val="18"/>
                <w:szCs w:val="18"/>
              </w:rPr>
              <w:t xml:space="preserve">Programme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Ingénierie</w:t>
            </w:r>
          </w:p>
        </w:tc>
        <w:tc>
          <w:tcPr>
            <w:tcW w:type="dxa" w:w="3370"/>
            <w:tcMar>
              <w:top w:type="dxa" w:w="60"/>
              <w:left w:type="dxa" w:w="90"/>
              <w:bottom w:type="dxa" w:w="60"/>
              <w:right w:type="dxa" w:w="90"/>
            </w:tcMar>
          </w:tcPr>
          <w:p>
            <w:pPr>
              <w:spacing w:after="20" w:line="240"/>
            </w:pPr>
            <w:r>
              <w:rPr>
                <w:b w:val="false"/>
                <w:bCs w:val="false"/>
                <w:sz w:val="18"/>
                <w:szCs w:val="18"/>
              </w:rPr>
              <w:t xml:space="preserve">6 à 10 développeurs, 1 architecte, 1 spécialiste données spatiales</w:t>
            </w:r>
          </w:p>
        </w:tc>
        <w:tc>
          <w:tcPr>
            <w:tcW w:type="dxa" w:w="3557"/>
            <w:tcMar>
              <w:top w:type="dxa" w:w="60"/>
              <w:left w:type="dxa" w:w="90"/>
              <w:bottom w:type="dxa" w:w="60"/>
              <w:right w:type="dxa" w:w="90"/>
            </w:tcMar>
          </w:tcPr>
          <w:p>
            <w:pPr>
              <w:spacing w:after="20" w:line="240"/>
            </w:pPr>
            <w:r>
              <w:rPr>
                <w:b w:val="false"/>
                <w:bCs w:val="false"/>
                <w:sz w:val="18"/>
                <w:szCs w:val="18"/>
              </w:rPr>
              <w:t xml:space="preserve">Prestataire avec transfert de compétences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Sécurité et audit technique</w:t>
            </w:r>
          </w:p>
        </w:tc>
        <w:tc>
          <w:tcPr>
            <w:tcW w:type="dxa" w:w="3370"/>
            <w:tcMar>
              <w:top w:type="dxa" w:w="60"/>
              <w:left w:type="dxa" w:w="90"/>
              <w:bottom w:type="dxa" w:w="60"/>
              <w:right w:type="dxa" w:w="90"/>
            </w:tcMar>
          </w:tcPr>
          <w:p>
            <w:pPr>
              <w:spacing w:after="20" w:line="240"/>
            </w:pPr>
            <w:r>
              <w:rPr>
                <w:b w:val="false"/>
                <w:bCs w:val="false"/>
                <w:sz w:val="18"/>
                <w:szCs w:val="18"/>
              </w:rPr>
              <w:t xml:space="preserve">1 responsable sécurité, audit externe périodique</w:t>
            </w:r>
          </w:p>
        </w:tc>
        <w:tc>
          <w:tcPr>
            <w:tcW w:type="dxa" w:w="3557"/>
            <w:tcMar>
              <w:top w:type="dxa" w:w="60"/>
              <w:left w:type="dxa" w:w="90"/>
              <w:bottom w:type="dxa" w:w="60"/>
              <w:right w:type="dxa" w:w="90"/>
            </w:tcMar>
          </w:tcPr>
          <w:p>
            <w:pPr>
              <w:spacing w:after="20" w:line="240"/>
            </w:pPr>
            <w:r>
              <w:rPr>
                <w:b w:val="false"/>
                <w:bCs w:val="false"/>
                <w:sz w:val="18"/>
                <w:szCs w:val="18"/>
              </w:rPr>
              <w:t xml:space="preserve">Programme et inspection</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Opérations terrain</w:t>
            </w:r>
          </w:p>
        </w:tc>
        <w:tc>
          <w:tcPr>
            <w:tcW w:type="dxa" w:w="3370"/>
            <w:tcMar>
              <w:top w:type="dxa" w:w="60"/>
              <w:left w:type="dxa" w:w="90"/>
              <w:bottom w:type="dxa" w:w="60"/>
              <w:right w:type="dxa" w:w="90"/>
            </w:tcMar>
          </w:tcPr>
          <w:p>
            <w:pPr>
              <w:spacing w:after="20" w:line="240"/>
            </w:pPr>
            <w:r>
              <w:rPr>
                <w:b w:val="false"/>
                <w:bCs w:val="false"/>
                <w:sz w:val="18"/>
                <w:szCs w:val="18"/>
              </w:rPr>
              <w:t xml:space="preserve">Par commune pilote : 1 chef de centre, 10 à 20 recenseurs, 4 à 8 contrôleurs</w:t>
            </w:r>
          </w:p>
        </w:tc>
        <w:tc>
          <w:tcPr>
            <w:tcW w:type="dxa" w:w="3557"/>
            <w:tcMar>
              <w:top w:type="dxa" w:w="60"/>
              <w:left w:type="dxa" w:w="90"/>
              <w:bottom w:type="dxa" w:w="60"/>
              <w:right w:type="dxa" w:w="90"/>
            </w:tcMar>
          </w:tcPr>
          <w:p>
            <w:pPr>
              <w:spacing w:after="20" w:line="240"/>
            </w:pPr>
            <w:r>
              <w:rPr>
                <w:b w:val="false"/>
                <w:bCs w:val="false"/>
                <w:sz w:val="18"/>
                <w:szCs w:val="18"/>
              </w:rPr>
              <w:t xml:space="preserve">Régie compétente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Assistance et formation</w:t>
            </w:r>
          </w:p>
        </w:tc>
        <w:tc>
          <w:tcPr>
            <w:tcW w:type="dxa" w:w="3370"/>
            <w:tcMar>
              <w:top w:type="dxa" w:w="60"/>
              <w:left w:type="dxa" w:w="90"/>
              <w:bottom w:type="dxa" w:w="60"/>
              <w:right w:type="dxa" w:w="90"/>
            </w:tcMar>
          </w:tcPr>
          <w:p>
            <w:pPr>
              <w:spacing w:after="20" w:line="240"/>
            </w:pPr>
            <w:r>
              <w:rPr>
                <w:b w:val="false"/>
                <w:bCs w:val="false"/>
                <w:sz w:val="18"/>
                <w:szCs w:val="18"/>
              </w:rPr>
              <w:t xml:space="preserve">1 centre d'appui, formateurs par commune</w:t>
            </w:r>
          </w:p>
        </w:tc>
        <w:tc>
          <w:tcPr>
            <w:tcW w:type="dxa" w:w="3557"/>
            <w:tcMar>
              <w:top w:type="dxa" w:w="60"/>
              <w:left w:type="dxa" w:w="90"/>
              <w:bottom w:type="dxa" w:w="60"/>
              <w:right w:type="dxa" w:w="90"/>
            </w:tcMar>
          </w:tcPr>
          <w:p>
            <w:pPr>
              <w:spacing w:after="20" w:line="240"/>
            </w:pPr>
            <w:r>
              <w:rPr>
                <w:b w:val="false"/>
                <w:bCs w:val="false"/>
                <w:sz w:val="18"/>
                <w:szCs w:val="18"/>
              </w:rPr>
              <w:t xml:space="preserve">Régie compétente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Trésorerie et rapprochement</w:t>
            </w:r>
          </w:p>
        </w:tc>
        <w:tc>
          <w:tcPr>
            <w:tcW w:type="dxa" w:w="3370"/>
            <w:tcMar>
              <w:top w:type="dxa" w:w="60"/>
              <w:left w:type="dxa" w:w="90"/>
              <w:bottom w:type="dxa" w:w="60"/>
              <w:right w:type="dxa" w:w="90"/>
            </w:tcMar>
          </w:tcPr>
          <w:p>
            <w:pPr>
              <w:spacing w:after="20" w:line="240"/>
            </w:pPr>
            <w:r>
              <w:rPr>
                <w:b w:val="false"/>
                <w:bCs w:val="false"/>
                <w:sz w:val="18"/>
                <w:szCs w:val="18"/>
              </w:rPr>
              <w:t xml:space="preserve">2 comptables publics dédiés</w:t>
            </w:r>
          </w:p>
        </w:tc>
        <w:tc>
          <w:tcPr>
            <w:tcW w:type="dxa" w:w="3557"/>
            <w:tcMar>
              <w:top w:type="dxa" w:w="60"/>
              <w:left w:type="dxa" w:w="90"/>
              <w:bottom w:type="dxa" w:w="60"/>
              <w:right w:type="dxa" w:w="90"/>
            </w:tcMar>
          </w:tcPr>
          <w:p>
            <w:pPr>
              <w:spacing w:after="20" w:line="240"/>
            </w:pPr>
            <w:r>
              <w:rPr>
                <w:b w:val="false"/>
                <w:bCs w:val="false"/>
                <w:sz w:val="18"/>
                <w:szCs w:val="18"/>
              </w:rPr>
              <w:t xml:space="preserve">Trésorerie provinciale</w:t>
            </w:r>
          </w:p>
        </w:tc>
      </w:tr>
    </w:tbl>
    <w:p>
      <w:pPr>
        <w:spacing w:after="120" w:line="276"/>
        <w:jc w:val="both"/>
      </w:pPr>
      <w:r>
        <w:rPr>
          <w:b w:val="false"/>
          <w:bCs w:val="false"/>
          <w:i w:val="false"/>
          <w:iCs w:val="false"/>
          <w:sz w:val="21"/>
          <w:szCs w:val="21"/>
        </w:rPr>
        <w:t xml:space="preserve">Le principe d'exploitation est la montée en autonomie : chaque poste externe est doublé d'un agent provincial désigné, avec un calendrier de transfert écrit et vérifié à chaque porte de phase.</w:t>
      </w:r>
    </w:p>
    <w:p>
      <w:pPr>
        <w:pStyle w:val="Heading1"/>
        <w:spacing w:after="160" w:before="360"/>
      </w:pPr>
      <w:r>
        <w:t xml:space="preserve">37. Gouvernance du programme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059"/>
        <w:gridCol w:w="3182"/>
        <w:gridCol w:w="2808"/>
        <w:gridCol w:w="1310"/>
      </w:tblGrid>
      <w:tr>
        <w:trPr>
          <w:tblHeader/>
        </w:trPr>
        <w:tc>
          <w:tcPr>
            <w:tcW w:type="dxa" w:w="2059"/>
            <w:shd w:fill="E6F4F1" w:color="auto" w:val="clear"/>
            <w:tcMar>
              <w:top w:type="dxa" w:w="60"/>
              <w:left w:type="dxa" w:w="90"/>
              <w:bottom w:type="dxa" w:w="60"/>
              <w:right w:type="dxa" w:w="90"/>
            </w:tcMar>
          </w:tcPr>
          <w:p>
            <w:pPr>
              <w:spacing w:after="20" w:line="240"/>
            </w:pPr>
            <w:r>
              <w:rPr>
                <w:b/>
                <w:bCs/>
                <w:sz w:val="18"/>
                <w:szCs w:val="18"/>
              </w:rPr>
              <w:t xml:space="preserve">Instance</w:t>
            </w:r>
          </w:p>
        </w:tc>
        <w:tc>
          <w:tcPr>
            <w:tcW w:type="dxa" w:w="3182"/>
            <w:shd w:fill="E6F4F1" w:color="auto" w:val="clear"/>
            <w:tcMar>
              <w:top w:type="dxa" w:w="60"/>
              <w:left w:type="dxa" w:w="90"/>
              <w:bottom w:type="dxa" w:w="60"/>
              <w:right w:type="dxa" w:w="90"/>
            </w:tcMar>
          </w:tcPr>
          <w:p>
            <w:pPr>
              <w:spacing w:after="20" w:line="240"/>
            </w:pPr>
            <w:r>
              <w:rPr>
                <w:b/>
                <w:bCs/>
                <w:sz w:val="18"/>
                <w:szCs w:val="18"/>
              </w:rPr>
              <w:t xml:space="preserve">Composition</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Rôle</w:t>
            </w:r>
          </w:p>
        </w:tc>
        <w:tc>
          <w:tcPr>
            <w:tcW w:type="dxa" w:w="1310"/>
            <w:shd w:fill="E6F4F1" w:color="auto" w:val="clear"/>
            <w:tcMar>
              <w:top w:type="dxa" w:w="60"/>
              <w:left w:type="dxa" w:w="90"/>
              <w:bottom w:type="dxa" w:w="60"/>
              <w:right w:type="dxa" w:w="90"/>
            </w:tcMar>
          </w:tcPr>
          <w:p>
            <w:pPr>
              <w:spacing w:after="20" w:line="240"/>
            </w:pPr>
            <w:r>
              <w:rPr>
                <w:b/>
                <w:bCs/>
                <w:sz w:val="18"/>
                <w:szCs w:val="18"/>
              </w:rPr>
              <w:t xml:space="preserve">Fréquence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Comité de pilotage</w:t>
            </w:r>
          </w:p>
        </w:tc>
        <w:tc>
          <w:tcPr>
            <w:tcW w:type="dxa" w:w="3182"/>
            <w:tcMar>
              <w:top w:type="dxa" w:w="60"/>
              <w:left w:type="dxa" w:w="90"/>
              <w:bottom w:type="dxa" w:w="60"/>
              <w:right w:type="dxa" w:w="90"/>
            </w:tcMar>
          </w:tcPr>
          <w:p>
            <w:pPr>
              <w:spacing w:after="20" w:line="240"/>
            </w:pPr>
            <w:r>
              <w:rPr>
                <w:b w:val="false"/>
                <w:bCs w:val="false"/>
                <w:sz w:val="18"/>
                <w:szCs w:val="18"/>
              </w:rPr>
              <w:t xml:space="preserve">Ministre provincial des Finances, directeurs des régies, services juridiques, informatique, représentant du Gouverneur</w:t>
            </w:r>
          </w:p>
        </w:tc>
        <w:tc>
          <w:tcPr>
            <w:tcW w:type="dxa" w:w="2808"/>
            <w:tcMar>
              <w:top w:type="dxa" w:w="60"/>
              <w:left w:type="dxa" w:w="90"/>
              <w:bottom w:type="dxa" w:w="60"/>
              <w:right w:type="dxa" w:w="90"/>
            </w:tcMar>
          </w:tcPr>
          <w:p>
            <w:pPr>
              <w:spacing w:after="20" w:line="240"/>
            </w:pPr>
            <w:r>
              <w:rPr>
                <w:b w:val="false"/>
                <w:bCs w:val="false"/>
                <w:sz w:val="18"/>
                <w:szCs w:val="18"/>
              </w:rPr>
              <w:t xml:space="preserve">Arbitrage, validation des portes de phase, approbation du référentiel</w:t>
            </w:r>
          </w:p>
        </w:tc>
        <w:tc>
          <w:tcPr>
            <w:tcW w:type="dxa" w:w="1310"/>
            <w:tcMar>
              <w:top w:type="dxa" w:w="60"/>
              <w:left w:type="dxa" w:w="90"/>
              <w:bottom w:type="dxa" w:w="60"/>
              <w:right w:type="dxa" w:w="90"/>
            </w:tcMar>
          </w:tcPr>
          <w:p>
            <w:pPr>
              <w:spacing w:after="20" w:line="240"/>
            </w:pPr>
            <w:r>
              <w:rPr>
                <w:b w:val="false"/>
                <w:bCs w:val="false"/>
                <w:sz w:val="18"/>
                <w:szCs w:val="18"/>
              </w:rPr>
              <w:t xml:space="preserve">Mensuelle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Comité technique</w:t>
            </w:r>
          </w:p>
        </w:tc>
        <w:tc>
          <w:tcPr>
            <w:tcW w:type="dxa" w:w="3182"/>
            <w:tcMar>
              <w:top w:type="dxa" w:w="60"/>
              <w:left w:type="dxa" w:w="90"/>
              <w:bottom w:type="dxa" w:w="60"/>
              <w:right w:type="dxa" w:w="90"/>
            </w:tcMar>
          </w:tcPr>
          <w:p>
            <w:pPr>
              <w:spacing w:after="20" w:line="240"/>
            </w:pPr>
            <w:r>
              <w:rPr>
                <w:b w:val="false"/>
                <w:bCs w:val="false"/>
                <w:sz w:val="18"/>
                <w:szCs w:val="18"/>
              </w:rPr>
              <w:t xml:space="preserve">Programme, architecte, sécurité, régies, trésorerie</w:t>
            </w:r>
          </w:p>
        </w:tc>
        <w:tc>
          <w:tcPr>
            <w:tcW w:type="dxa" w:w="2808"/>
            <w:tcMar>
              <w:top w:type="dxa" w:w="60"/>
              <w:left w:type="dxa" w:w="90"/>
              <w:bottom w:type="dxa" w:w="60"/>
              <w:right w:type="dxa" w:w="90"/>
            </w:tcMar>
          </w:tcPr>
          <w:p>
            <w:pPr>
              <w:spacing w:after="20" w:line="240"/>
            </w:pPr>
            <w:r>
              <w:rPr>
                <w:b w:val="false"/>
                <w:bCs w:val="false"/>
                <w:sz w:val="18"/>
                <w:szCs w:val="18"/>
              </w:rPr>
              <w:t xml:space="preserve">Suivi d'exécution, risques, dépendances</w:t>
            </w:r>
          </w:p>
        </w:tc>
        <w:tc>
          <w:tcPr>
            <w:tcW w:type="dxa" w:w="1310"/>
            <w:tcMar>
              <w:top w:type="dxa" w:w="60"/>
              <w:left w:type="dxa" w:w="90"/>
              <w:bottom w:type="dxa" w:w="60"/>
              <w:right w:type="dxa" w:w="90"/>
            </w:tcMar>
          </w:tcPr>
          <w:p>
            <w:pPr>
              <w:spacing w:after="20" w:line="240"/>
            </w:pPr>
            <w:r>
              <w:rPr>
                <w:b w:val="false"/>
                <w:bCs w:val="false"/>
                <w:sz w:val="18"/>
                <w:szCs w:val="18"/>
              </w:rPr>
              <w:t xml:space="preserve">Hebdomadaire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Comité juridique et tarifaire</w:t>
            </w:r>
          </w:p>
        </w:tc>
        <w:tc>
          <w:tcPr>
            <w:tcW w:type="dxa" w:w="3182"/>
            <w:tcMar>
              <w:top w:type="dxa" w:w="60"/>
              <w:left w:type="dxa" w:w="90"/>
              <w:bottom w:type="dxa" w:w="60"/>
              <w:right w:type="dxa" w:w="90"/>
            </w:tcMar>
          </w:tcPr>
          <w:p>
            <w:pPr>
              <w:spacing w:after="20" w:line="240"/>
            </w:pPr>
            <w:r>
              <w:rPr>
                <w:b w:val="false"/>
                <w:bCs w:val="false"/>
                <w:sz w:val="18"/>
                <w:szCs w:val="18"/>
              </w:rPr>
              <w:t xml:space="preserve">Juristes provinciaux, régies, contrôle</w:t>
            </w:r>
          </w:p>
        </w:tc>
        <w:tc>
          <w:tcPr>
            <w:tcW w:type="dxa" w:w="2808"/>
            <w:tcMar>
              <w:top w:type="dxa" w:w="60"/>
              <w:left w:type="dxa" w:w="90"/>
              <w:bottom w:type="dxa" w:w="60"/>
              <w:right w:type="dxa" w:w="90"/>
            </w:tcMar>
          </w:tcPr>
          <w:p>
            <w:pPr>
              <w:spacing w:after="20" w:line="240"/>
            </w:pPr>
            <w:r>
              <w:rPr>
                <w:b w:val="false"/>
                <w:bCs w:val="false"/>
                <w:sz w:val="18"/>
                <w:szCs w:val="18"/>
              </w:rPr>
              <w:t xml:space="preserve">Validation des fiches de recettes et des versions</w:t>
            </w:r>
          </w:p>
        </w:tc>
        <w:tc>
          <w:tcPr>
            <w:tcW w:type="dxa" w:w="1310"/>
            <w:tcMar>
              <w:top w:type="dxa" w:w="60"/>
              <w:left w:type="dxa" w:w="90"/>
              <w:bottom w:type="dxa" w:w="60"/>
              <w:right w:type="dxa" w:w="90"/>
            </w:tcMar>
          </w:tcPr>
          <w:p>
            <w:pPr>
              <w:spacing w:after="20" w:line="240"/>
            </w:pPr>
            <w:r>
              <w:rPr>
                <w:b w:val="false"/>
                <w:bCs w:val="false"/>
                <w:sz w:val="18"/>
                <w:szCs w:val="18"/>
              </w:rPr>
              <w:t xml:space="preserve">À chaque évolution</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Contrôle indépendant</w:t>
            </w:r>
          </w:p>
        </w:tc>
        <w:tc>
          <w:tcPr>
            <w:tcW w:type="dxa" w:w="3182"/>
            <w:tcMar>
              <w:top w:type="dxa" w:w="60"/>
              <w:left w:type="dxa" w:w="90"/>
              <w:bottom w:type="dxa" w:w="60"/>
              <w:right w:type="dxa" w:w="90"/>
            </w:tcMar>
          </w:tcPr>
          <w:p>
            <w:pPr>
              <w:spacing w:after="20" w:line="240"/>
            </w:pPr>
            <w:r>
              <w:rPr>
                <w:b w:val="false"/>
                <w:bCs w:val="false"/>
                <w:sz w:val="18"/>
                <w:szCs w:val="18"/>
              </w:rPr>
              <w:t xml:space="preserve">Inspection provinciale, audit interne, observateur de la société civile</w:t>
            </w:r>
          </w:p>
        </w:tc>
        <w:tc>
          <w:tcPr>
            <w:tcW w:type="dxa" w:w="2808"/>
            <w:tcMar>
              <w:top w:type="dxa" w:w="60"/>
              <w:left w:type="dxa" w:w="90"/>
              <w:bottom w:type="dxa" w:w="60"/>
              <w:right w:type="dxa" w:w="90"/>
            </w:tcMar>
          </w:tcPr>
          <w:p>
            <w:pPr>
              <w:spacing w:after="20" w:line="240"/>
            </w:pPr>
            <w:r>
              <w:rPr>
                <w:b w:val="false"/>
                <w:bCs w:val="false"/>
                <w:sz w:val="18"/>
                <w:szCs w:val="18"/>
              </w:rPr>
              <w:t xml:space="preserve">Vérification des résultats publiés et des écarts</w:t>
            </w:r>
          </w:p>
        </w:tc>
        <w:tc>
          <w:tcPr>
            <w:tcW w:type="dxa" w:w="1310"/>
            <w:tcMar>
              <w:top w:type="dxa" w:w="60"/>
              <w:left w:type="dxa" w:w="90"/>
              <w:bottom w:type="dxa" w:w="60"/>
              <w:right w:type="dxa" w:w="90"/>
            </w:tcMar>
          </w:tcPr>
          <w:p>
            <w:pPr>
              <w:spacing w:after="20" w:line="240"/>
            </w:pPr>
            <w:r>
              <w:rPr>
                <w:b w:val="false"/>
                <w:bCs w:val="false"/>
                <w:sz w:val="18"/>
                <w:szCs w:val="18"/>
              </w:rPr>
              <w:t xml:space="preserve">Trimestrielle</w:t>
            </w:r>
          </w:p>
        </w:tc>
      </w:tr>
      <w:tr>
        <w:trPr>
          <w:tblHeader w:val="false"/>
        </w:trPr>
        <w:tc>
          <w:tcPr>
            <w:tcW w:type="dxa" w:w="2059"/>
            <w:tcMar>
              <w:top w:type="dxa" w:w="60"/>
              <w:left w:type="dxa" w:w="90"/>
              <w:bottom w:type="dxa" w:w="60"/>
              <w:right w:type="dxa" w:w="90"/>
            </w:tcMar>
          </w:tcPr>
          <w:p>
            <w:pPr>
              <w:spacing w:after="20" w:line="240"/>
            </w:pPr>
            <w:r>
              <w:rPr>
                <w:b w:val="false"/>
                <w:bCs w:val="false"/>
                <w:sz w:val="18"/>
                <w:szCs w:val="18"/>
              </w:rPr>
              <w:t xml:space="preserve">Comité des données</w:t>
            </w:r>
          </w:p>
        </w:tc>
        <w:tc>
          <w:tcPr>
            <w:tcW w:type="dxa" w:w="3182"/>
            <w:tcMar>
              <w:top w:type="dxa" w:w="60"/>
              <w:left w:type="dxa" w:w="90"/>
              <w:bottom w:type="dxa" w:w="60"/>
              <w:right w:type="dxa" w:w="90"/>
            </w:tcMar>
          </w:tcPr>
          <w:p>
            <w:pPr>
              <w:spacing w:after="20" w:line="240"/>
            </w:pPr>
            <w:r>
              <w:rPr>
                <w:b w:val="false"/>
                <w:bCs w:val="false"/>
                <w:sz w:val="18"/>
                <w:szCs w:val="18"/>
              </w:rPr>
              <w:t xml:space="preserve">Responsable des données, juridique, sécurité, régies</w:t>
            </w:r>
          </w:p>
        </w:tc>
        <w:tc>
          <w:tcPr>
            <w:tcW w:type="dxa" w:w="2808"/>
            <w:tcMar>
              <w:top w:type="dxa" w:w="60"/>
              <w:left w:type="dxa" w:w="90"/>
              <w:bottom w:type="dxa" w:w="60"/>
              <w:right w:type="dxa" w:w="90"/>
            </w:tcMar>
          </w:tcPr>
          <w:p>
            <w:pPr>
              <w:spacing w:after="20" w:line="240"/>
            </w:pPr>
            <w:r>
              <w:rPr>
                <w:b w:val="false"/>
                <w:bCs w:val="false"/>
                <w:sz w:val="18"/>
                <w:szCs w:val="18"/>
              </w:rPr>
              <w:t xml:space="preserve">Protocoles, finalités, conservation, publications</w:t>
            </w:r>
          </w:p>
        </w:tc>
        <w:tc>
          <w:tcPr>
            <w:tcW w:type="dxa" w:w="1310"/>
            <w:tcMar>
              <w:top w:type="dxa" w:w="60"/>
              <w:left w:type="dxa" w:w="90"/>
              <w:bottom w:type="dxa" w:w="60"/>
              <w:right w:type="dxa" w:w="90"/>
            </w:tcMar>
          </w:tcPr>
          <w:p>
            <w:pPr>
              <w:spacing w:after="20" w:line="240"/>
            </w:pPr>
            <w:r>
              <w:rPr>
                <w:b w:val="false"/>
                <w:bCs w:val="false"/>
                <w:sz w:val="18"/>
                <w:szCs w:val="18"/>
              </w:rPr>
              <w:t xml:space="preserve">Mensuelle</w:t>
            </w:r>
          </w:p>
        </w:tc>
      </w:tr>
    </w:tbl>
    <w:p>
      <w:pPr>
        <w:pStyle w:val="Heading1"/>
        <w:spacing w:after="160" w:before="360"/>
      </w:pPr>
      <w:r>
        <w:t xml:space="preserve">38. Passation et modèle commercial</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872"/>
        <w:gridCol w:w="2808"/>
        <w:gridCol w:w="2808"/>
        <w:gridCol w:w="1872"/>
      </w:tblGrid>
      <w:tr>
        <w:trPr>
          <w:tblHeader/>
        </w:trPr>
        <w:tc>
          <w:tcPr>
            <w:tcW w:type="dxa" w:w="1872"/>
            <w:shd w:fill="E6F4F1" w:color="auto" w:val="clear"/>
            <w:tcMar>
              <w:top w:type="dxa" w:w="60"/>
              <w:left w:type="dxa" w:w="90"/>
              <w:bottom w:type="dxa" w:w="60"/>
              <w:right w:type="dxa" w:w="90"/>
            </w:tcMar>
          </w:tcPr>
          <w:p>
            <w:pPr>
              <w:spacing w:after="20" w:line="240"/>
            </w:pPr>
            <w:r>
              <w:rPr>
                <w:b/>
                <w:bCs/>
                <w:sz w:val="18"/>
                <w:szCs w:val="18"/>
              </w:rPr>
              <w:t xml:space="preserve">Modèle</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Description</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Risque pour la Ville</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Appréciation</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Financement public intégral</w:t>
            </w:r>
          </w:p>
        </w:tc>
        <w:tc>
          <w:tcPr>
            <w:tcW w:type="dxa" w:w="2808"/>
            <w:tcMar>
              <w:top w:type="dxa" w:w="60"/>
              <w:left w:type="dxa" w:w="90"/>
              <w:bottom w:type="dxa" w:w="60"/>
              <w:right w:type="dxa" w:w="90"/>
            </w:tcMar>
          </w:tcPr>
          <w:p>
            <w:pPr>
              <w:spacing w:after="20" w:line="240"/>
            </w:pPr>
            <w:r>
              <w:rPr>
                <w:b w:val="false"/>
                <w:bCs w:val="false"/>
                <w:sz w:val="18"/>
                <w:szCs w:val="18"/>
              </w:rPr>
              <w:t xml:space="preserve">La Ville finance et pilote</w:t>
            </w:r>
          </w:p>
        </w:tc>
        <w:tc>
          <w:tcPr>
            <w:tcW w:type="dxa" w:w="2808"/>
            <w:tcMar>
              <w:top w:type="dxa" w:w="60"/>
              <w:left w:type="dxa" w:w="90"/>
              <w:bottom w:type="dxa" w:w="60"/>
              <w:right w:type="dxa" w:w="90"/>
            </w:tcMar>
          </w:tcPr>
          <w:p>
            <w:pPr>
              <w:spacing w:after="20" w:line="240"/>
            </w:pPr>
            <w:r>
              <w:rPr>
                <w:b w:val="false"/>
                <w:bCs w:val="false"/>
                <w:sz w:val="18"/>
                <w:szCs w:val="18"/>
              </w:rPr>
              <w:t xml:space="preserve">Charge budgétaire immédiate</w:t>
            </w:r>
          </w:p>
        </w:tc>
        <w:tc>
          <w:tcPr>
            <w:tcW w:type="dxa" w:w="1872"/>
            <w:tcMar>
              <w:top w:type="dxa" w:w="60"/>
              <w:left w:type="dxa" w:w="90"/>
              <w:bottom w:type="dxa" w:w="60"/>
              <w:right w:type="dxa" w:w="90"/>
            </w:tcMar>
          </w:tcPr>
          <w:p>
            <w:pPr>
              <w:spacing w:after="20" w:line="240"/>
            </w:pPr>
            <w:r>
              <w:rPr>
                <w:b w:val="false"/>
                <w:bCs w:val="false"/>
                <w:sz w:val="18"/>
                <w:szCs w:val="18"/>
              </w:rPr>
              <w:t xml:space="preserve">Optimal si le financement est disponible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Licence et service managé</w:t>
            </w:r>
          </w:p>
        </w:tc>
        <w:tc>
          <w:tcPr>
            <w:tcW w:type="dxa" w:w="2808"/>
            <w:tcMar>
              <w:top w:type="dxa" w:w="60"/>
              <w:left w:type="dxa" w:w="90"/>
              <w:bottom w:type="dxa" w:w="60"/>
              <w:right w:type="dxa" w:w="90"/>
            </w:tcMar>
          </w:tcPr>
          <w:p>
            <w:pPr>
              <w:spacing w:after="20" w:line="240"/>
            </w:pPr>
            <w:r>
              <w:rPr>
                <w:b w:val="false"/>
                <w:bCs w:val="false"/>
                <w:sz w:val="18"/>
                <w:szCs w:val="18"/>
              </w:rPr>
              <w:t xml:space="preserve">Redevance annuelle, exploitation confiée</w:t>
            </w:r>
          </w:p>
        </w:tc>
        <w:tc>
          <w:tcPr>
            <w:tcW w:type="dxa" w:w="2808"/>
            <w:tcMar>
              <w:top w:type="dxa" w:w="60"/>
              <w:left w:type="dxa" w:w="90"/>
              <w:bottom w:type="dxa" w:w="60"/>
              <w:right w:type="dxa" w:w="90"/>
            </w:tcMar>
          </w:tcPr>
          <w:p>
            <w:pPr>
              <w:spacing w:after="20" w:line="240"/>
            </w:pPr>
            <w:r>
              <w:rPr>
                <w:b w:val="false"/>
                <w:bCs w:val="false"/>
                <w:sz w:val="18"/>
                <w:szCs w:val="18"/>
              </w:rPr>
              <w:t xml:space="preserve">Dépendance et coûts récurrents</w:t>
            </w:r>
          </w:p>
        </w:tc>
        <w:tc>
          <w:tcPr>
            <w:tcW w:type="dxa" w:w="1872"/>
            <w:tcMar>
              <w:top w:type="dxa" w:w="60"/>
              <w:left w:type="dxa" w:w="90"/>
              <w:bottom w:type="dxa" w:w="60"/>
              <w:right w:type="dxa" w:w="90"/>
            </w:tcMar>
          </w:tcPr>
          <w:p>
            <w:pPr>
              <w:spacing w:after="20" w:line="240"/>
            </w:pPr>
            <w:r>
              <w:rPr>
                <w:b w:val="false"/>
                <w:bCs w:val="false"/>
                <w:sz w:val="18"/>
                <w:szCs w:val="18"/>
              </w:rPr>
              <w:t xml:space="preserve">Acceptable avec séquestre du code</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Partenariat public-privé</w:t>
            </w:r>
          </w:p>
        </w:tc>
        <w:tc>
          <w:tcPr>
            <w:tcW w:type="dxa" w:w="2808"/>
            <w:tcMar>
              <w:top w:type="dxa" w:w="60"/>
              <w:left w:type="dxa" w:w="90"/>
              <w:bottom w:type="dxa" w:w="60"/>
              <w:right w:type="dxa" w:w="90"/>
            </w:tcMar>
          </w:tcPr>
          <w:p>
            <w:pPr>
              <w:spacing w:after="20" w:line="240"/>
            </w:pPr>
            <w:r>
              <w:rPr>
                <w:b w:val="false"/>
                <w:bCs w:val="false"/>
                <w:sz w:val="18"/>
                <w:szCs w:val="18"/>
              </w:rPr>
              <w:t xml:space="preserve">Investissement privé, exploitation partagée</w:t>
            </w:r>
          </w:p>
        </w:tc>
        <w:tc>
          <w:tcPr>
            <w:tcW w:type="dxa" w:w="2808"/>
            <w:tcMar>
              <w:top w:type="dxa" w:w="60"/>
              <w:left w:type="dxa" w:w="90"/>
              <w:bottom w:type="dxa" w:w="60"/>
              <w:right w:type="dxa" w:w="90"/>
            </w:tcMar>
          </w:tcPr>
          <w:p>
            <w:pPr>
              <w:spacing w:after="20" w:line="240"/>
            </w:pPr>
            <w:r>
              <w:rPr>
                <w:b w:val="false"/>
                <w:bCs w:val="false"/>
                <w:sz w:val="18"/>
                <w:szCs w:val="18"/>
              </w:rPr>
              <w:t xml:space="preserve">Partage de recettes, opacité possible</w:t>
            </w:r>
          </w:p>
        </w:tc>
        <w:tc>
          <w:tcPr>
            <w:tcW w:type="dxa" w:w="1872"/>
            <w:tcMar>
              <w:top w:type="dxa" w:w="60"/>
              <w:left w:type="dxa" w:w="90"/>
              <w:bottom w:type="dxa" w:w="60"/>
              <w:right w:type="dxa" w:w="90"/>
            </w:tcMar>
          </w:tcPr>
          <w:p>
            <w:pPr>
              <w:spacing w:after="20" w:line="240"/>
            </w:pPr>
            <w:r>
              <w:rPr>
                <w:b w:val="false"/>
                <w:bCs w:val="false"/>
                <w:sz w:val="18"/>
                <w:szCs w:val="18"/>
              </w:rPr>
              <w:t xml:space="preserve">À encadrer très strictement</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Construction, exploitation, transfert</w:t>
            </w:r>
          </w:p>
        </w:tc>
        <w:tc>
          <w:tcPr>
            <w:tcW w:type="dxa" w:w="2808"/>
            <w:tcMar>
              <w:top w:type="dxa" w:w="60"/>
              <w:left w:type="dxa" w:w="90"/>
              <w:bottom w:type="dxa" w:w="60"/>
              <w:right w:type="dxa" w:w="90"/>
            </w:tcMar>
          </w:tcPr>
          <w:p>
            <w:pPr>
              <w:spacing w:after="20" w:line="240"/>
            </w:pPr>
            <w:r>
              <w:rPr>
                <w:b w:val="false"/>
                <w:bCs w:val="false"/>
                <w:sz w:val="18"/>
                <w:szCs w:val="18"/>
              </w:rPr>
              <w:t xml:space="preserve">Le partenaire construit, exploite, puis transfère</w:t>
            </w:r>
          </w:p>
        </w:tc>
        <w:tc>
          <w:tcPr>
            <w:tcW w:type="dxa" w:w="2808"/>
            <w:tcMar>
              <w:top w:type="dxa" w:w="60"/>
              <w:left w:type="dxa" w:w="90"/>
              <w:bottom w:type="dxa" w:w="60"/>
              <w:right w:type="dxa" w:w="90"/>
            </w:tcMar>
          </w:tcPr>
          <w:p>
            <w:pPr>
              <w:spacing w:after="20" w:line="240"/>
            </w:pPr>
            <w:r>
              <w:rPr>
                <w:b w:val="false"/>
                <w:bCs w:val="false"/>
                <w:sz w:val="18"/>
                <w:szCs w:val="18"/>
              </w:rPr>
              <w:t xml:space="preserve">Transfert mal préparé</w:t>
            </w:r>
          </w:p>
        </w:tc>
        <w:tc>
          <w:tcPr>
            <w:tcW w:type="dxa" w:w="1872"/>
            <w:tcMar>
              <w:top w:type="dxa" w:w="60"/>
              <w:left w:type="dxa" w:w="90"/>
              <w:bottom w:type="dxa" w:w="60"/>
              <w:right w:type="dxa" w:w="90"/>
            </w:tcMar>
          </w:tcPr>
          <w:p>
            <w:pPr>
              <w:spacing w:after="20" w:line="240"/>
            </w:pPr>
            <w:r>
              <w:rPr>
                <w:b w:val="false"/>
                <w:bCs w:val="false"/>
                <w:sz w:val="18"/>
                <w:szCs w:val="18"/>
              </w:rPr>
              <w:t xml:space="preserve">Acceptable avec calendrier de transfert vérifié</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Contrat à la performance sur recettes</w:t>
            </w:r>
          </w:p>
        </w:tc>
        <w:tc>
          <w:tcPr>
            <w:tcW w:type="dxa" w:w="2808"/>
            <w:tcMar>
              <w:top w:type="dxa" w:w="60"/>
              <w:left w:type="dxa" w:w="90"/>
              <w:bottom w:type="dxa" w:w="60"/>
              <w:right w:type="dxa" w:w="90"/>
            </w:tcMar>
          </w:tcPr>
          <w:p>
            <w:pPr>
              <w:spacing w:after="20" w:line="240"/>
            </w:pPr>
            <w:r>
              <w:rPr>
                <w:b w:val="false"/>
                <w:bCs w:val="false"/>
                <w:sz w:val="18"/>
                <w:szCs w:val="18"/>
              </w:rPr>
              <w:t xml:space="preserve">Rémunération indexée sur les recettes</w:t>
            </w:r>
          </w:p>
        </w:tc>
        <w:tc>
          <w:tcPr>
            <w:tcW w:type="dxa" w:w="2808"/>
            <w:tcMar>
              <w:top w:type="dxa" w:w="60"/>
              <w:left w:type="dxa" w:w="90"/>
              <w:bottom w:type="dxa" w:w="60"/>
              <w:right w:type="dxa" w:w="90"/>
            </w:tcMar>
          </w:tcPr>
          <w:p>
            <w:pPr>
              <w:spacing w:after="20" w:line="240"/>
            </w:pPr>
            <w:r>
              <w:rPr>
                <w:b w:val="false"/>
                <w:bCs w:val="false"/>
                <w:sz w:val="18"/>
                <w:szCs w:val="18"/>
              </w:rPr>
              <w:t xml:space="preserve">Perception de fermage fiscal, conflit d'intérêts, opposition des partenaires techniques</w:t>
            </w:r>
          </w:p>
        </w:tc>
        <w:tc>
          <w:tcPr>
            <w:tcW w:type="dxa" w:w="1872"/>
            <w:tcMar>
              <w:top w:type="dxa" w:w="60"/>
              <w:left w:type="dxa" w:w="90"/>
              <w:bottom w:type="dxa" w:w="60"/>
              <w:right w:type="dxa" w:w="90"/>
            </w:tcMar>
          </w:tcPr>
          <w:p>
            <w:pPr>
              <w:spacing w:after="20" w:line="240"/>
            </w:pPr>
            <w:r>
              <w:rPr>
                <w:b w:val="false"/>
                <w:bCs w:val="false"/>
                <w:sz w:val="18"/>
                <w:szCs w:val="18"/>
              </w:rPr>
              <w:t xml:space="preserve">Déconseillé comme modèle principal</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Hybride recommandé</w:t>
            </w:r>
          </w:p>
        </w:tc>
        <w:tc>
          <w:tcPr>
            <w:tcW w:type="dxa" w:w="2808"/>
            <w:tcMar>
              <w:top w:type="dxa" w:w="60"/>
              <w:left w:type="dxa" w:w="90"/>
              <w:bottom w:type="dxa" w:w="60"/>
              <w:right w:type="dxa" w:w="90"/>
            </w:tcMar>
          </w:tcPr>
          <w:p>
            <w:pPr>
              <w:spacing w:after="20" w:line="240"/>
            </w:pPr>
            <w:r>
              <w:rPr>
                <w:b w:val="false"/>
                <w:bCs w:val="false"/>
                <w:sz w:val="18"/>
                <w:szCs w:val="18"/>
              </w:rPr>
              <w:t xml:space="preserve">Forfait de construction, forfait d'exploitation, prime sur indicateurs publiés et audités</w:t>
            </w:r>
          </w:p>
        </w:tc>
        <w:tc>
          <w:tcPr>
            <w:tcW w:type="dxa" w:w="2808"/>
            <w:tcMar>
              <w:top w:type="dxa" w:w="60"/>
              <w:left w:type="dxa" w:w="90"/>
              <w:bottom w:type="dxa" w:w="60"/>
              <w:right w:type="dxa" w:w="90"/>
            </w:tcMar>
          </w:tcPr>
          <w:p>
            <w:pPr>
              <w:spacing w:after="20" w:line="240"/>
            </w:pPr>
            <w:r>
              <w:rPr>
                <w:b w:val="false"/>
                <w:bCs w:val="false"/>
                <w:sz w:val="18"/>
                <w:szCs w:val="18"/>
              </w:rPr>
              <w:t xml:space="preserve">Maîtrisé</w:t>
            </w:r>
          </w:p>
        </w:tc>
        <w:tc>
          <w:tcPr>
            <w:tcW w:type="dxa" w:w="1872"/>
            <w:tcMar>
              <w:top w:type="dxa" w:w="60"/>
              <w:left w:type="dxa" w:w="90"/>
              <w:bottom w:type="dxa" w:w="60"/>
              <w:right w:type="dxa" w:w="90"/>
            </w:tcMar>
          </w:tcPr>
          <w:p>
            <w:pPr>
              <w:spacing w:after="20" w:line="240"/>
            </w:pPr>
            <w:r>
              <w:rPr>
                <w:b w:val="false"/>
                <w:bCs w:val="false"/>
                <w:sz w:val="18"/>
                <w:szCs w:val="18"/>
              </w:rPr>
              <w:t xml:space="preserve">Recommandé</w:t>
            </w:r>
          </w:p>
        </w:tc>
      </w:tr>
    </w:tbl>
    <w:p>
      <w:pPr>
        <w:spacing w:after="120" w:line="276"/>
        <w:jc w:val="both"/>
      </w:pPr>
      <w:r>
        <w:rPr>
          <w:b w:val="false"/>
          <w:bCs w:val="false"/>
          <w:i w:val="false"/>
          <w:iCs w:val="false"/>
          <w:sz w:val="21"/>
          <w:szCs w:val="21"/>
        </w:rPr>
        <w:t xml:space="preserve">Le contrat doit chiffrer séparément : construction ; licences ; hébergement ; maintenance ; support ; intégrations ; coûts des canaux de paiement ; équipements de terrain ; messagerie et communication ; formation ; cybersécurité ; demandes d'évolution ; migration des données ; audit ; coûts de sortie. Toute prime de performance exige une base de référence définie, une formule claire, des exclusions, un plafond, un mécanisme d'audit indépendant et une durée limitée.</w:t>
      </w:r>
    </w:p>
    <w:p>
      <w:pPr>
        <w:pBdr>
          <w:left w:val="single" w:color="1BA996" w:sz="18" w:space="8"/>
        </w:pBdr>
        <w:spacing w:after="160" w:before="120" w:line="264"/>
        <w:ind w:left="180"/>
      </w:pPr>
      <w:r>
        <w:rPr>
          <w:b/>
          <w:bCs/>
          <w:color w:val="10262C"/>
          <w:sz w:val="20"/>
          <w:szCs w:val="20"/>
        </w:rPr>
        <w:t xml:space="preserve">Protection essentielle. </w:t>
      </w:r>
      <w:r>
        <w:rPr>
          <w:sz w:val="20"/>
          <w:szCs w:val="20"/>
        </w:rPr>
        <w:t xml:space="preserve">Aucun pourcentage sur les recettes publiques ne doit être versé automatiquement à l'administrateur de la plateforme. La rémunération doit porter sur des livrables et des indicateurs de service, vérifiables par un tiers.</w:t>
      </w:r>
    </w:p>
    <w:p>
      <w:pPr>
        <w:pStyle w:val="Heading1"/>
        <w:spacing w:after="160" w:before="360"/>
      </w:pPr>
      <w:r>
        <w:t xml:space="preserve">39. Modèle financier</w:t>
      </w:r>
    </w:p>
    <w:p>
      <w:pPr>
        <w:pStyle w:val="Heading2"/>
        <w:spacing w:after="120" w:before="260"/>
      </w:pPr>
      <w:r>
        <w:t xml:space="preserve">39.1 Établir la base de référence avant toute promesse</w:t>
      </w:r>
    </w:p>
    <w:p>
      <w:pPr>
        <w:spacing w:after="120" w:line="276"/>
        <w:jc w:val="both"/>
      </w:pPr>
      <w:r>
        <w:rPr>
          <w:b w:val="false"/>
          <w:bCs w:val="false"/>
          <w:i w:val="false"/>
          <w:iCs w:val="false"/>
          <w:sz w:val="21"/>
          <w:szCs w:val="21"/>
        </w:rPr>
        <w:t xml:space="preserve">Aucun engagement chiffré ne peut précéder la mesure. La base de référence porte sur : contribuables enregistrés ; objets imposables connus ; liquidations annuelles ; encaissements réels ; délais de règlement ; paiements non rapprochés ; arriérés ; exonérations ; annulations ; coût de recouvrement ; coût de collecte ; pertes estimées par fraude ; temps de traitement administratif.</w:t>
      </w:r>
    </w:p>
    <w:p>
      <w:pPr>
        <w:pStyle w:val="Heading2"/>
        <w:spacing w:after="120" w:before="260"/>
      </w:pPr>
      <w:r>
        <w:t xml:space="preserve">39.2 Formules de calcul du potentiel</w:t>
      </w:r>
    </w:p>
    <w:p>
      <w:pPr>
        <w:spacing w:after="120" w:line="276"/>
        <w:jc w:val="both"/>
      </w:pPr>
      <w:r>
        <w:rPr>
          <w:b w:val="false"/>
          <w:bCs w:val="false"/>
          <w:i w:val="false"/>
          <w:iCs w:val="false"/>
          <w:sz w:val="21"/>
          <w:szCs w:val="21"/>
        </w:rPr>
        <w:t xml:space="preserve">Potentiel théorique d'une recette = nombre d'objets imposables × montant moyen légal dû. Recette additionnelle attendue = potentiel × (taux de conformité cible − taux de conformité actuel) − coût marginal de recouvrement. Recette nette = recette additionnelle − coûts d'investissement amortis − coûts récurrents.</w:t>
      </w:r>
    </w:p>
    <w:p>
      <w:pPr>
        <w:pStyle w:val="Heading2"/>
        <w:spacing w:after="120" w:before="260"/>
      </w:pPr>
      <w:r>
        <w:t xml:space="preserve">39.3 Exemple illustratif, à remplacer par les données du pilote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872"/>
        <w:gridCol w:w="1872"/>
        <w:gridCol w:w="2059"/>
        <w:gridCol w:w="1872"/>
        <w:gridCol w:w="1685"/>
      </w:tblGrid>
      <w:tr>
        <w:trPr>
          <w:tblHeader/>
        </w:trPr>
        <w:tc>
          <w:tcPr>
            <w:tcW w:type="dxa" w:w="1872"/>
            <w:shd w:fill="E6F4F1" w:color="auto" w:val="clear"/>
            <w:tcMar>
              <w:top w:type="dxa" w:w="60"/>
              <w:left w:type="dxa" w:w="90"/>
              <w:bottom w:type="dxa" w:w="60"/>
              <w:right w:type="dxa" w:w="90"/>
            </w:tcMar>
          </w:tcPr>
          <w:p>
            <w:pPr>
              <w:spacing w:after="20" w:line="240"/>
            </w:pPr>
            <w:r>
              <w:rPr>
                <w:b/>
                <w:bCs/>
                <w:sz w:val="18"/>
                <w:szCs w:val="18"/>
              </w:rPr>
              <w:t xml:space="preserve">Ligne</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Objets (hypothèse)</w:t>
            </w:r>
          </w:p>
        </w:tc>
        <w:tc>
          <w:tcPr>
            <w:tcW w:type="dxa" w:w="2059"/>
            <w:shd w:fill="E6F4F1" w:color="auto" w:val="clear"/>
            <w:tcMar>
              <w:top w:type="dxa" w:w="60"/>
              <w:left w:type="dxa" w:w="90"/>
              <w:bottom w:type="dxa" w:w="60"/>
              <w:right w:type="dxa" w:w="90"/>
            </w:tcMar>
          </w:tcPr>
          <w:p>
            <w:pPr>
              <w:spacing w:after="20" w:line="240"/>
            </w:pPr>
            <w:r>
              <w:rPr>
                <w:b/>
                <w:bCs/>
                <w:sz w:val="18"/>
                <w:szCs w:val="18"/>
              </w:rPr>
              <w:t xml:space="preserve">Montant annuel moyen (hypothèse)</w:t>
            </w:r>
          </w:p>
        </w:tc>
        <w:tc>
          <w:tcPr>
            <w:tcW w:type="dxa" w:w="1872"/>
            <w:shd w:fill="E6F4F1" w:color="auto" w:val="clear"/>
            <w:tcMar>
              <w:top w:type="dxa" w:w="60"/>
              <w:left w:type="dxa" w:w="90"/>
              <w:bottom w:type="dxa" w:w="60"/>
              <w:right w:type="dxa" w:w="90"/>
            </w:tcMar>
          </w:tcPr>
          <w:p>
            <w:pPr>
              <w:spacing w:after="20" w:line="240"/>
            </w:pPr>
            <w:r>
              <w:rPr>
                <w:b/>
                <w:bCs/>
                <w:sz w:val="18"/>
                <w:szCs w:val="18"/>
              </w:rPr>
              <w:t xml:space="preserve">Conformité actuelle → cible (hypothèse)</w:t>
            </w:r>
          </w:p>
        </w:tc>
        <w:tc>
          <w:tcPr>
            <w:tcW w:type="dxa" w:w="1685"/>
            <w:shd w:fill="E6F4F1" w:color="auto" w:val="clear"/>
            <w:tcMar>
              <w:top w:type="dxa" w:w="60"/>
              <w:left w:type="dxa" w:w="90"/>
              <w:bottom w:type="dxa" w:w="60"/>
              <w:right w:type="dxa" w:w="90"/>
            </w:tcMar>
          </w:tcPr>
          <w:p>
            <w:pPr>
              <w:spacing w:after="20" w:line="240"/>
            </w:pPr>
            <w:r>
              <w:rPr>
                <w:b/>
                <w:bCs/>
                <w:sz w:val="18"/>
                <w:szCs w:val="18"/>
              </w:rPr>
              <w:t xml:space="preserve">Gain illustratif</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Revenus locatifs</w:t>
            </w:r>
          </w:p>
        </w:tc>
        <w:tc>
          <w:tcPr>
            <w:tcW w:type="dxa" w:w="1872"/>
            <w:tcMar>
              <w:top w:type="dxa" w:w="60"/>
              <w:left w:type="dxa" w:w="90"/>
              <w:bottom w:type="dxa" w:w="60"/>
              <w:right w:type="dxa" w:w="90"/>
            </w:tcMar>
          </w:tcPr>
          <w:p>
            <w:pPr>
              <w:spacing w:after="20" w:line="240"/>
            </w:pPr>
            <w:r>
              <w:rPr>
                <w:b w:val="false"/>
                <w:bCs w:val="false"/>
                <w:sz w:val="18"/>
                <w:szCs w:val="18"/>
              </w:rPr>
              <w:t xml:space="preserve">2 000 000 unités louées</w:t>
            </w:r>
          </w:p>
        </w:tc>
        <w:tc>
          <w:tcPr>
            <w:tcW w:type="dxa" w:w="2059"/>
            <w:tcMar>
              <w:top w:type="dxa" w:w="60"/>
              <w:left w:type="dxa" w:w="90"/>
              <w:bottom w:type="dxa" w:w="60"/>
              <w:right w:type="dxa" w:w="90"/>
            </w:tcMar>
          </w:tcPr>
          <w:p>
            <w:pPr>
              <w:spacing w:after="20" w:line="240"/>
            </w:pPr>
            <w:r>
              <w:rPr>
                <w:b w:val="false"/>
                <w:bCs w:val="false"/>
                <w:sz w:val="18"/>
                <w:szCs w:val="18"/>
              </w:rPr>
              <w:t xml:space="preserve">158 USD (22 % d'un loyer de 60 USD par mois)</w:t>
            </w:r>
          </w:p>
        </w:tc>
        <w:tc>
          <w:tcPr>
            <w:tcW w:type="dxa" w:w="1872"/>
            <w:tcMar>
              <w:top w:type="dxa" w:w="60"/>
              <w:left w:type="dxa" w:w="90"/>
              <w:bottom w:type="dxa" w:w="60"/>
              <w:right w:type="dxa" w:w="90"/>
            </w:tcMar>
          </w:tcPr>
          <w:p>
            <w:pPr>
              <w:spacing w:after="20" w:line="240"/>
            </w:pPr>
            <w:r>
              <w:rPr>
                <w:b w:val="false"/>
                <w:bCs w:val="false"/>
                <w:sz w:val="18"/>
                <w:szCs w:val="18"/>
              </w:rPr>
              <w:t xml:space="preserve">8 % → 35 %</w:t>
            </w:r>
          </w:p>
        </w:tc>
        <w:tc>
          <w:tcPr>
            <w:tcW w:type="dxa" w:w="1685"/>
            <w:tcMar>
              <w:top w:type="dxa" w:w="60"/>
              <w:left w:type="dxa" w:w="90"/>
              <w:bottom w:type="dxa" w:w="60"/>
              <w:right w:type="dxa" w:w="90"/>
            </w:tcMar>
          </w:tcPr>
          <w:p>
            <w:pPr>
              <w:spacing w:after="20" w:line="240"/>
            </w:pPr>
            <w:r>
              <w:rPr>
                <w:b w:val="false"/>
                <w:bCs w:val="false"/>
                <w:sz w:val="18"/>
                <w:szCs w:val="18"/>
              </w:rPr>
              <w:t xml:space="preserve">≈ 85 M USD</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Impôt foncier</w:t>
            </w:r>
          </w:p>
        </w:tc>
        <w:tc>
          <w:tcPr>
            <w:tcW w:type="dxa" w:w="1872"/>
            <w:tcMar>
              <w:top w:type="dxa" w:w="60"/>
              <w:left w:type="dxa" w:w="90"/>
              <w:bottom w:type="dxa" w:w="60"/>
              <w:right w:type="dxa" w:w="90"/>
            </w:tcMar>
          </w:tcPr>
          <w:p>
            <w:pPr>
              <w:spacing w:after="20" w:line="240"/>
            </w:pPr>
            <w:r>
              <w:rPr>
                <w:b w:val="false"/>
                <w:bCs w:val="false"/>
                <w:sz w:val="18"/>
                <w:szCs w:val="18"/>
              </w:rPr>
              <w:t xml:space="preserve">1 200 000 parcelles</w:t>
            </w:r>
          </w:p>
        </w:tc>
        <w:tc>
          <w:tcPr>
            <w:tcW w:type="dxa" w:w="2059"/>
            <w:tcMar>
              <w:top w:type="dxa" w:w="60"/>
              <w:left w:type="dxa" w:w="90"/>
              <w:bottom w:type="dxa" w:w="60"/>
              <w:right w:type="dxa" w:w="90"/>
            </w:tcMar>
          </w:tcPr>
          <w:p>
            <w:pPr>
              <w:spacing w:after="20" w:line="240"/>
            </w:pPr>
            <w:r>
              <w:rPr>
                <w:b w:val="false"/>
                <w:bCs w:val="false"/>
                <w:sz w:val="18"/>
                <w:szCs w:val="18"/>
              </w:rPr>
              <w:t xml:space="preserve">40 USD</w:t>
            </w:r>
          </w:p>
        </w:tc>
        <w:tc>
          <w:tcPr>
            <w:tcW w:type="dxa" w:w="1872"/>
            <w:tcMar>
              <w:top w:type="dxa" w:w="60"/>
              <w:left w:type="dxa" w:w="90"/>
              <w:bottom w:type="dxa" w:w="60"/>
              <w:right w:type="dxa" w:w="90"/>
            </w:tcMar>
          </w:tcPr>
          <w:p>
            <w:pPr>
              <w:spacing w:after="20" w:line="240"/>
            </w:pPr>
            <w:r>
              <w:rPr>
                <w:b w:val="false"/>
                <w:bCs w:val="false"/>
                <w:sz w:val="18"/>
                <w:szCs w:val="18"/>
              </w:rPr>
              <w:t xml:space="preserve">15 % → 50 %</w:t>
            </w:r>
          </w:p>
        </w:tc>
        <w:tc>
          <w:tcPr>
            <w:tcW w:type="dxa" w:w="1685"/>
            <w:tcMar>
              <w:top w:type="dxa" w:w="60"/>
              <w:left w:type="dxa" w:w="90"/>
              <w:bottom w:type="dxa" w:w="60"/>
              <w:right w:type="dxa" w:w="90"/>
            </w:tcMar>
          </w:tcPr>
          <w:p>
            <w:pPr>
              <w:spacing w:after="20" w:line="240"/>
            </w:pPr>
            <w:r>
              <w:rPr>
                <w:b w:val="false"/>
                <w:bCs w:val="false"/>
                <w:sz w:val="18"/>
                <w:szCs w:val="18"/>
              </w:rPr>
              <w:t xml:space="preserve">≈ 17 M USD</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Véhicules et circulation</w:t>
            </w:r>
          </w:p>
        </w:tc>
        <w:tc>
          <w:tcPr>
            <w:tcW w:type="dxa" w:w="1872"/>
            <w:tcMar>
              <w:top w:type="dxa" w:w="60"/>
              <w:left w:type="dxa" w:w="90"/>
              <w:bottom w:type="dxa" w:w="60"/>
              <w:right w:type="dxa" w:w="90"/>
            </w:tcMar>
          </w:tcPr>
          <w:p>
            <w:pPr>
              <w:spacing w:after="20" w:line="240"/>
            </w:pPr>
            <w:r>
              <w:rPr>
                <w:b w:val="false"/>
                <w:bCs w:val="false"/>
                <w:sz w:val="18"/>
                <w:szCs w:val="18"/>
              </w:rPr>
              <w:t xml:space="preserve">600 000 véhicules</w:t>
            </w:r>
          </w:p>
        </w:tc>
        <w:tc>
          <w:tcPr>
            <w:tcW w:type="dxa" w:w="2059"/>
            <w:tcMar>
              <w:top w:type="dxa" w:w="60"/>
              <w:left w:type="dxa" w:w="90"/>
              <w:bottom w:type="dxa" w:w="60"/>
              <w:right w:type="dxa" w:w="90"/>
            </w:tcMar>
          </w:tcPr>
          <w:p>
            <w:pPr>
              <w:spacing w:after="20" w:line="240"/>
            </w:pPr>
            <w:r>
              <w:rPr>
                <w:b w:val="false"/>
                <w:bCs w:val="false"/>
                <w:sz w:val="18"/>
                <w:szCs w:val="18"/>
              </w:rPr>
              <w:t xml:space="preserve">60 USD</w:t>
            </w:r>
          </w:p>
        </w:tc>
        <w:tc>
          <w:tcPr>
            <w:tcW w:type="dxa" w:w="1872"/>
            <w:tcMar>
              <w:top w:type="dxa" w:w="60"/>
              <w:left w:type="dxa" w:w="90"/>
              <w:bottom w:type="dxa" w:w="60"/>
              <w:right w:type="dxa" w:w="90"/>
            </w:tcMar>
          </w:tcPr>
          <w:p>
            <w:pPr>
              <w:spacing w:after="20" w:line="240"/>
            </w:pPr>
            <w:r>
              <w:rPr>
                <w:b w:val="false"/>
                <w:bCs w:val="false"/>
                <w:sz w:val="18"/>
                <w:szCs w:val="18"/>
              </w:rPr>
              <w:t xml:space="preserve">35 % → 70 %</w:t>
            </w:r>
          </w:p>
        </w:tc>
        <w:tc>
          <w:tcPr>
            <w:tcW w:type="dxa" w:w="1685"/>
            <w:tcMar>
              <w:top w:type="dxa" w:w="60"/>
              <w:left w:type="dxa" w:w="90"/>
              <w:bottom w:type="dxa" w:w="60"/>
              <w:right w:type="dxa" w:w="90"/>
            </w:tcMar>
          </w:tcPr>
          <w:p>
            <w:pPr>
              <w:spacing w:after="20" w:line="240"/>
            </w:pPr>
            <w:r>
              <w:rPr>
                <w:b w:val="false"/>
                <w:bCs w:val="false"/>
                <w:sz w:val="18"/>
                <w:szCs w:val="18"/>
              </w:rPr>
              <w:t xml:space="preserve">≈ 13 M USD</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Patente et débits de boissons</w:t>
            </w:r>
          </w:p>
        </w:tc>
        <w:tc>
          <w:tcPr>
            <w:tcW w:type="dxa" w:w="1872"/>
            <w:tcMar>
              <w:top w:type="dxa" w:w="60"/>
              <w:left w:type="dxa" w:w="90"/>
              <w:bottom w:type="dxa" w:w="60"/>
              <w:right w:type="dxa" w:w="90"/>
            </w:tcMar>
          </w:tcPr>
          <w:p>
            <w:pPr>
              <w:spacing w:after="20" w:line="240"/>
            </w:pPr>
            <w:r>
              <w:rPr>
                <w:b w:val="false"/>
                <w:bCs w:val="false"/>
                <w:sz w:val="18"/>
                <w:szCs w:val="18"/>
              </w:rPr>
              <w:t xml:space="preserve">400 000 établissements</w:t>
            </w:r>
          </w:p>
        </w:tc>
        <w:tc>
          <w:tcPr>
            <w:tcW w:type="dxa" w:w="2059"/>
            <w:tcMar>
              <w:top w:type="dxa" w:w="60"/>
              <w:left w:type="dxa" w:w="90"/>
              <w:bottom w:type="dxa" w:w="60"/>
              <w:right w:type="dxa" w:w="90"/>
            </w:tcMar>
          </w:tcPr>
          <w:p>
            <w:pPr>
              <w:spacing w:after="20" w:line="240"/>
            </w:pPr>
            <w:r>
              <w:rPr>
                <w:b w:val="false"/>
                <w:bCs w:val="false"/>
                <w:sz w:val="18"/>
                <w:szCs w:val="18"/>
              </w:rPr>
              <w:t xml:space="preserve">50 USD</w:t>
            </w:r>
          </w:p>
        </w:tc>
        <w:tc>
          <w:tcPr>
            <w:tcW w:type="dxa" w:w="1872"/>
            <w:tcMar>
              <w:top w:type="dxa" w:w="60"/>
              <w:left w:type="dxa" w:w="90"/>
              <w:bottom w:type="dxa" w:w="60"/>
              <w:right w:type="dxa" w:w="90"/>
            </w:tcMar>
          </w:tcPr>
          <w:p>
            <w:pPr>
              <w:spacing w:after="20" w:line="240"/>
            </w:pPr>
            <w:r>
              <w:rPr>
                <w:b w:val="false"/>
                <w:bCs w:val="false"/>
                <w:sz w:val="18"/>
                <w:szCs w:val="18"/>
              </w:rPr>
              <w:t xml:space="preserve">10 % → 40 %</w:t>
            </w:r>
          </w:p>
        </w:tc>
        <w:tc>
          <w:tcPr>
            <w:tcW w:type="dxa" w:w="1685"/>
            <w:tcMar>
              <w:top w:type="dxa" w:w="60"/>
              <w:left w:type="dxa" w:w="90"/>
              <w:bottom w:type="dxa" w:w="60"/>
              <w:right w:type="dxa" w:w="90"/>
            </w:tcMar>
          </w:tcPr>
          <w:p>
            <w:pPr>
              <w:spacing w:after="20" w:line="240"/>
            </w:pPr>
            <w:r>
              <w:rPr>
                <w:b w:val="false"/>
                <w:bCs w:val="false"/>
                <w:sz w:val="18"/>
                <w:szCs w:val="18"/>
              </w:rPr>
              <w:t xml:space="preserve">≈ 6 M USD</w:t>
            </w:r>
          </w:p>
        </w:tc>
      </w:tr>
      <w:tr>
        <w:trPr>
          <w:tblHeader w:val="false"/>
        </w:trPr>
        <w:tc>
          <w:tcPr>
            <w:tcW w:type="dxa" w:w="1872"/>
            <w:tcMar>
              <w:top w:type="dxa" w:w="60"/>
              <w:left w:type="dxa" w:w="90"/>
              <w:bottom w:type="dxa" w:w="60"/>
              <w:right w:type="dxa" w:w="90"/>
            </w:tcMar>
          </w:tcPr>
          <w:p>
            <w:pPr>
              <w:spacing w:after="20" w:line="240"/>
            </w:pPr>
            <w:r>
              <w:rPr>
                <w:b w:val="false"/>
                <w:bCs w:val="false"/>
                <w:sz w:val="18"/>
                <w:szCs w:val="18"/>
              </w:rPr>
              <w:t xml:space="preserve">Publicité et antennes</w:t>
            </w:r>
          </w:p>
        </w:tc>
        <w:tc>
          <w:tcPr>
            <w:tcW w:type="dxa" w:w="1872"/>
            <w:tcMar>
              <w:top w:type="dxa" w:w="60"/>
              <w:left w:type="dxa" w:w="90"/>
              <w:bottom w:type="dxa" w:w="60"/>
              <w:right w:type="dxa" w:w="90"/>
            </w:tcMar>
          </w:tcPr>
          <w:p>
            <w:pPr>
              <w:spacing w:after="20" w:line="240"/>
            </w:pPr>
            <w:r>
              <w:rPr>
                <w:b w:val="false"/>
                <w:bCs w:val="false"/>
                <w:sz w:val="18"/>
                <w:szCs w:val="18"/>
              </w:rPr>
              <w:t xml:space="preserve">15 000 objets</w:t>
            </w:r>
          </w:p>
        </w:tc>
        <w:tc>
          <w:tcPr>
            <w:tcW w:type="dxa" w:w="2059"/>
            <w:tcMar>
              <w:top w:type="dxa" w:w="60"/>
              <w:left w:type="dxa" w:w="90"/>
              <w:bottom w:type="dxa" w:w="60"/>
              <w:right w:type="dxa" w:w="90"/>
            </w:tcMar>
          </w:tcPr>
          <w:p>
            <w:pPr>
              <w:spacing w:after="20" w:line="240"/>
            </w:pPr>
            <w:r>
              <w:rPr>
                <w:b w:val="false"/>
                <w:bCs w:val="false"/>
                <w:sz w:val="18"/>
                <w:szCs w:val="18"/>
              </w:rPr>
              <w:t xml:space="preserve">900 USD</w:t>
            </w:r>
          </w:p>
        </w:tc>
        <w:tc>
          <w:tcPr>
            <w:tcW w:type="dxa" w:w="1872"/>
            <w:tcMar>
              <w:top w:type="dxa" w:w="60"/>
              <w:left w:type="dxa" w:w="90"/>
              <w:bottom w:type="dxa" w:w="60"/>
              <w:right w:type="dxa" w:w="90"/>
            </w:tcMar>
          </w:tcPr>
          <w:p>
            <w:pPr>
              <w:spacing w:after="20" w:line="240"/>
            </w:pPr>
            <w:r>
              <w:rPr>
                <w:b w:val="false"/>
                <w:bCs w:val="false"/>
                <w:sz w:val="18"/>
                <w:szCs w:val="18"/>
              </w:rPr>
              <w:t xml:space="preserve">30 % → 80 %</w:t>
            </w:r>
          </w:p>
        </w:tc>
        <w:tc>
          <w:tcPr>
            <w:tcW w:type="dxa" w:w="1685"/>
            <w:tcMar>
              <w:top w:type="dxa" w:w="60"/>
              <w:left w:type="dxa" w:w="90"/>
              <w:bottom w:type="dxa" w:w="60"/>
              <w:right w:type="dxa" w:w="90"/>
            </w:tcMar>
          </w:tcPr>
          <w:p>
            <w:pPr>
              <w:spacing w:after="20" w:line="240"/>
            </w:pPr>
            <w:r>
              <w:rPr>
                <w:b w:val="false"/>
                <w:bCs w:val="false"/>
                <w:sz w:val="18"/>
                <w:szCs w:val="18"/>
              </w:rPr>
              <w:t xml:space="preserve">≈ 7 M USD</w:t>
            </w:r>
          </w:p>
        </w:tc>
      </w:tr>
    </w:tbl>
    <w:p>
      <w:pPr>
        <w:pBdr>
          <w:left w:val="single" w:color="1BA996" w:sz="18" w:space="8"/>
        </w:pBdr>
        <w:spacing w:after="160" w:before="120" w:line="264"/>
        <w:ind w:left="180"/>
      </w:pPr>
      <w:r>
        <w:rPr>
          <w:b/>
          <w:bCs/>
          <w:color w:val="10262C"/>
          <w:sz w:val="20"/>
          <w:szCs w:val="20"/>
        </w:rPr>
        <w:t xml:space="preserve">Avertissement méthodologique. </w:t>
      </w:r>
      <w:r>
        <w:rPr>
          <w:sz w:val="20"/>
          <w:szCs w:val="20"/>
        </w:rPr>
        <w:t xml:space="preserve">Les valeurs du tableau ci-dessus sont des hypothèses de travail destinées à illustrer la mécanique de calcul. Elles ne constituent ni une prévision, ni un engagement. Elles doivent être remplacées par les comptages du recensement pilote et par les tarifs officiels des arrêtés en vigueur avant toute présentation budgétaire.</w:t>
      </w:r>
    </w:p>
    <w:p>
      <w:pPr>
        <w:pStyle w:val="Heading2"/>
        <w:spacing w:after="120" w:before="260"/>
      </w:pPr>
      <w:r>
        <w:t xml:space="preserve">39.4 Scénarios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685"/>
        <w:gridCol w:w="3182"/>
        <w:gridCol w:w="2246"/>
        <w:gridCol w:w="2246"/>
      </w:tblGrid>
      <w:tr>
        <w:trPr>
          <w:tblHeader/>
        </w:trPr>
        <w:tc>
          <w:tcPr>
            <w:tcW w:type="dxa" w:w="1685"/>
            <w:shd w:fill="E6F4F1" w:color="auto" w:val="clear"/>
            <w:tcMar>
              <w:top w:type="dxa" w:w="60"/>
              <w:left w:type="dxa" w:w="90"/>
              <w:bottom w:type="dxa" w:w="60"/>
              <w:right w:type="dxa" w:w="90"/>
            </w:tcMar>
          </w:tcPr>
          <w:p>
            <w:pPr>
              <w:spacing w:after="20" w:line="240"/>
            </w:pPr>
            <w:r>
              <w:rPr>
                <w:b/>
                <w:bCs/>
                <w:sz w:val="18"/>
                <w:szCs w:val="18"/>
              </w:rPr>
              <w:t xml:space="preserve">Scénario</w:t>
            </w:r>
          </w:p>
        </w:tc>
        <w:tc>
          <w:tcPr>
            <w:tcW w:type="dxa" w:w="3182"/>
            <w:shd w:fill="E6F4F1" w:color="auto" w:val="clear"/>
            <w:tcMar>
              <w:top w:type="dxa" w:w="60"/>
              <w:left w:type="dxa" w:w="90"/>
              <w:bottom w:type="dxa" w:w="60"/>
              <w:right w:type="dxa" w:w="90"/>
            </w:tcMar>
          </w:tcPr>
          <w:p>
            <w:pPr>
              <w:spacing w:after="20" w:line="240"/>
            </w:pPr>
            <w:r>
              <w:rPr>
                <w:b/>
                <w:bCs/>
                <w:sz w:val="18"/>
                <w:szCs w:val="18"/>
              </w:rPr>
              <w:t xml:space="preserve">Hypothèse de conformité</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Coût</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Lecture</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Prudent</w:t>
            </w:r>
          </w:p>
        </w:tc>
        <w:tc>
          <w:tcPr>
            <w:tcW w:type="dxa" w:w="3182"/>
            <w:tcMar>
              <w:top w:type="dxa" w:w="60"/>
              <w:left w:type="dxa" w:w="90"/>
              <w:bottom w:type="dxa" w:w="60"/>
              <w:right w:type="dxa" w:w="90"/>
            </w:tcMar>
          </w:tcPr>
          <w:p>
            <w:pPr>
              <w:spacing w:after="20" w:line="240"/>
            </w:pPr>
            <w:r>
              <w:rPr>
                <w:b w:val="false"/>
                <w:bCs w:val="false"/>
                <w:sz w:val="18"/>
                <w:szCs w:val="18"/>
              </w:rPr>
              <w:t xml:space="preserve">Progression lente, résistance forte, extension limitée</w:t>
            </w:r>
          </w:p>
        </w:tc>
        <w:tc>
          <w:tcPr>
            <w:tcW w:type="dxa" w:w="2246"/>
            <w:tcMar>
              <w:top w:type="dxa" w:w="60"/>
              <w:left w:type="dxa" w:w="90"/>
              <w:bottom w:type="dxa" w:w="60"/>
              <w:right w:type="dxa" w:w="90"/>
            </w:tcMar>
          </w:tcPr>
          <w:p>
            <w:pPr>
              <w:spacing w:after="20" w:line="240"/>
            </w:pPr>
            <w:r>
              <w:rPr>
                <w:b w:val="false"/>
                <w:bCs w:val="false"/>
                <w:sz w:val="18"/>
                <w:szCs w:val="18"/>
              </w:rPr>
              <w:t xml:space="preserve">Investissement complet, gains différés</w:t>
            </w:r>
          </w:p>
        </w:tc>
        <w:tc>
          <w:tcPr>
            <w:tcW w:type="dxa" w:w="2246"/>
            <w:tcMar>
              <w:top w:type="dxa" w:w="60"/>
              <w:left w:type="dxa" w:w="90"/>
              <w:bottom w:type="dxa" w:w="60"/>
              <w:right w:type="dxa" w:w="90"/>
            </w:tcMar>
          </w:tcPr>
          <w:p>
            <w:pPr>
              <w:spacing w:after="20" w:line="240"/>
            </w:pPr>
            <w:r>
              <w:rPr>
                <w:b w:val="false"/>
                <w:bCs w:val="false"/>
                <w:sz w:val="18"/>
                <w:szCs w:val="18"/>
              </w:rPr>
              <w:t xml:space="preserve">Retour sur investissement au-delà de 24 mois</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Attendu</w:t>
            </w:r>
          </w:p>
        </w:tc>
        <w:tc>
          <w:tcPr>
            <w:tcW w:type="dxa" w:w="3182"/>
            <w:tcMar>
              <w:top w:type="dxa" w:w="60"/>
              <w:left w:type="dxa" w:w="90"/>
              <w:bottom w:type="dxa" w:w="60"/>
              <w:right w:type="dxa" w:w="90"/>
            </w:tcMar>
          </w:tcPr>
          <w:p>
            <w:pPr>
              <w:spacing w:after="20" w:line="240"/>
            </w:pPr>
            <w:r>
              <w:rPr>
                <w:b w:val="false"/>
                <w:bCs w:val="false"/>
                <w:sz w:val="18"/>
                <w:szCs w:val="18"/>
              </w:rPr>
              <w:t xml:space="preserve">Pilote réussi, extension régulière, protocoles de données obtenus</w:t>
            </w:r>
          </w:p>
        </w:tc>
        <w:tc>
          <w:tcPr>
            <w:tcW w:type="dxa" w:w="2246"/>
            <w:tcMar>
              <w:top w:type="dxa" w:w="60"/>
              <w:left w:type="dxa" w:w="90"/>
              <w:bottom w:type="dxa" w:w="60"/>
              <w:right w:type="dxa" w:w="90"/>
            </w:tcMar>
          </w:tcPr>
          <w:p>
            <w:pPr>
              <w:spacing w:after="20" w:line="240"/>
            </w:pPr>
            <w:r>
              <w:rPr>
                <w:b w:val="false"/>
                <w:bCs w:val="false"/>
                <w:sz w:val="18"/>
                <w:szCs w:val="18"/>
              </w:rPr>
              <w:t xml:space="preserve">Investissement complet, gains progressifs</w:t>
            </w:r>
          </w:p>
        </w:tc>
        <w:tc>
          <w:tcPr>
            <w:tcW w:type="dxa" w:w="2246"/>
            <w:tcMar>
              <w:top w:type="dxa" w:w="60"/>
              <w:left w:type="dxa" w:w="90"/>
              <w:bottom w:type="dxa" w:w="60"/>
              <w:right w:type="dxa" w:w="90"/>
            </w:tcMar>
          </w:tcPr>
          <w:p>
            <w:pPr>
              <w:spacing w:after="20" w:line="240"/>
            </w:pPr>
            <w:r>
              <w:rPr>
                <w:b w:val="false"/>
                <w:bCs w:val="false"/>
                <w:sz w:val="18"/>
                <w:szCs w:val="18"/>
              </w:rPr>
              <w:t xml:space="preserve">Retour sur investissement attendu entre 12 et 24 mois</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Transformationnel</w:t>
            </w:r>
          </w:p>
        </w:tc>
        <w:tc>
          <w:tcPr>
            <w:tcW w:type="dxa" w:w="3182"/>
            <w:tcMar>
              <w:top w:type="dxa" w:w="60"/>
              <w:left w:type="dxa" w:w="90"/>
              <w:bottom w:type="dxa" w:w="60"/>
              <w:right w:type="dxa" w:w="90"/>
            </w:tcMar>
          </w:tcPr>
          <w:p>
            <w:pPr>
              <w:spacing w:after="20" w:line="240"/>
            </w:pPr>
            <w:r>
              <w:rPr>
                <w:b w:val="false"/>
                <w:bCs w:val="false"/>
                <w:sz w:val="18"/>
                <w:szCs w:val="18"/>
              </w:rPr>
              <w:t xml:space="preserve">Quitus généralisé, grands redevables fiabilisés, arriérés recouvrés</w:t>
            </w:r>
          </w:p>
        </w:tc>
        <w:tc>
          <w:tcPr>
            <w:tcW w:type="dxa" w:w="2246"/>
            <w:tcMar>
              <w:top w:type="dxa" w:w="60"/>
              <w:left w:type="dxa" w:w="90"/>
              <w:bottom w:type="dxa" w:w="60"/>
              <w:right w:type="dxa" w:w="90"/>
            </w:tcMar>
          </w:tcPr>
          <w:p>
            <w:pPr>
              <w:spacing w:after="20" w:line="240"/>
            </w:pPr>
            <w:r>
              <w:rPr>
                <w:b w:val="false"/>
                <w:bCs w:val="false"/>
                <w:sz w:val="18"/>
                <w:szCs w:val="18"/>
              </w:rPr>
              <w:t xml:space="preserve">Investissement complet plus campagnes</w:t>
            </w:r>
          </w:p>
        </w:tc>
        <w:tc>
          <w:tcPr>
            <w:tcW w:type="dxa" w:w="2246"/>
            <w:tcMar>
              <w:top w:type="dxa" w:w="60"/>
              <w:left w:type="dxa" w:w="90"/>
              <w:bottom w:type="dxa" w:w="60"/>
              <w:right w:type="dxa" w:w="90"/>
            </w:tcMar>
          </w:tcPr>
          <w:p>
            <w:pPr>
              <w:spacing w:after="20" w:line="240"/>
            </w:pPr>
            <w:r>
              <w:rPr>
                <w:b w:val="false"/>
                <w:bCs w:val="false"/>
                <w:sz w:val="18"/>
                <w:szCs w:val="18"/>
              </w:rPr>
              <w:t xml:space="preserve">Changement d'échelle du budget provincial</w:t>
            </w:r>
          </w:p>
        </w:tc>
      </w:tr>
    </w:tbl>
    <w:p>
      <w:pPr>
        <w:spacing w:after="120" w:line="276"/>
        <w:jc w:val="both"/>
      </w:pPr>
      <w:r>
        <w:rPr>
          <w:b w:val="false"/>
          <w:bCs w:val="false"/>
          <w:i w:val="false"/>
          <w:iCs w:val="false"/>
          <w:sz w:val="21"/>
          <w:szCs w:val="21"/>
        </w:rPr>
        <w:t xml:space="preserve">Chaque scénario est accompagné d'une analyse de sensibilité sur trois variables : taux de conformité atteint, taux de change, et délai d'obtention des protocoles de données.</w:t>
      </w:r>
    </w:p>
    <w:p>
      <w:pPr>
        <w:pStyle w:val="Heading1"/>
        <w:spacing w:after="160" w:before="360"/>
      </w:pPr>
      <w:r>
        <w:t xml:space="preserve">40. Indicateurs de performance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4118"/>
        <w:gridCol w:w="2808"/>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Indicateur</w:t>
            </w:r>
          </w:p>
        </w:tc>
        <w:tc>
          <w:tcPr>
            <w:tcW w:type="dxa" w:w="4118"/>
            <w:shd w:fill="E6F4F1" w:color="auto" w:val="clear"/>
            <w:tcMar>
              <w:top w:type="dxa" w:w="60"/>
              <w:left w:type="dxa" w:w="90"/>
              <w:bottom w:type="dxa" w:w="60"/>
              <w:right w:type="dxa" w:w="90"/>
            </w:tcMar>
          </w:tcPr>
          <w:p>
            <w:pPr>
              <w:spacing w:after="20" w:line="240"/>
            </w:pPr>
            <w:r>
              <w:rPr>
                <w:b/>
                <w:bCs/>
                <w:sz w:val="18"/>
                <w:szCs w:val="18"/>
              </w:rPr>
              <w:t xml:space="preserve">Définition</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Cible à 18 mois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Taux de couverture du recensement</w:t>
            </w:r>
          </w:p>
        </w:tc>
        <w:tc>
          <w:tcPr>
            <w:tcW w:type="dxa" w:w="4118"/>
            <w:tcMar>
              <w:top w:type="dxa" w:w="60"/>
              <w:left w:type="dxa" w:w="90"/>
              <w:bottom w:type="dxa" w:w="60"/>
              <w:right w:type="dxa" w:w="90"/>
            </w:tcMar>
          </w:tcPr>
          <w:p>
            <w:pPr>
              <w:spacing w:after="20" w:line="240"/>
            </w:pPr>
            <w:r>
              <w:rPr>
                <w:b w:val="false"/>
                <w:bCs w:val="false"/>
                <w:sz w:val="18"/>
                <w:szCs w:val="18"/>
              </w:rPr>
              <w:t xml:space="preserve">Objets enregistrés / objets estimés, par commune et catégorie</w:t>
            </w:r>
          </w:p>
        </w:tc>
        <w:tc>
          <w:tcPr>
            <w:tcW w:type="dxa" w:w="2808"/>
            <w:tcMar>
              <w:top w:type="dxa" w:w="60"/>
              <w:left w:type="dxa" w:w="90"/>
              <w:bottom w:type="dxa" w:w="60"/>
              <w:right w:type="dxa" w:w="90"/>
            </w:tcMar>
          </w:tcPr>
          <w:p>
            <w:pPr>
              <w:spacing w:after="20" w:line="240"/>
            </w:pPr>
            <w:r>
              <w:rPr>
                <w:b w:val="false"/>
                <w:bCs w:val="false"/>
                <w:sz w:val="18"/>
                <w:szCs w:val="18"/>
              </w:rPr>
              <w:t xml:space="preserve">Communes pilotes : supérieur à 80 %</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Part électronique des recettes</w:t>
            </w:r>
          </w:p>
        </w:tc>
        <w:tc>
          <w:tcPr>
            <w:tcW w:type="dxa" w:w="4118"/>
            <w:tcMar>
              <w:top w:type="dxa" w:w="60"/>
              <w:left w:type="dxa" w:w="90"/>
              <w:bottom w:type="dxa" w:w="60"/>
              <w:right w:type="dxa" w:w="90"/>
            </w:tcMar>
          </w:tcPr>
          <w:p>
            <w:pPr>
              <w:spacing w:after="20" w:line="240"/>
            </w:pPr>
            <w:r>
              <w:rPr>
                <w:b w:val="false"/>
                <w:bCs w:val="false"/>
                <w:sz w:val="18"/>
                <w:szCs w:val="18"/>
              </w:rPr>
              <w:t xml:space="preserve">Recettes encaissées par voie électronique / total</w:t>
            </w:r>
          </w:p>
        </w:tc>
        <w:tc>
          <w:tcPr>
            <w:tcW w:type="dxa" w:w="2808"/>
            <w:tcMar>
              <w:top w:type="dxa" w:w="60"/>
              <w:left w:type="dxa" w:w="90"/>
              <w:bottom w:type="dxa" w:w="60"/>
              <w:right w:type="dxa" w:w="90"/>
            </w:tcMar>
          </w:tcPr>
          <w:p>
            <w:pPr>
              <w:spacing w:after="20" w:line="240"/>
            </w:pPr>
            <w:r>
              <w:rPr>
                <w:b w:val="false"/>
                <w:bCs w:val="false"/>
                <w:sz w:val="18"/>
                <w:szCs w:val="18"/>
              </w:rPr>
              <w:t xml:space="preserve">Supérieure à 90 % sur le périmètre couvert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Délai paiement → quittance</w:t>
            </w:r>
          </w:p>
        </w:tc>
        <w:tc>
          <w:tcPr>
            <w:tcW w:type="dxa" w:w="4118"/>
            <w:tcMar>
              <w:top w:type="dxa" w:w="60"/>
              <w:left w:type="dxa" w:w="90"/>
              <w:bottom w:type="dxa" w:w="60"/>
              <w:right w:type="dxa" w:w="90"/>
            </w:tcMar>
          </w:tcPr>
          <w:p>
            <w:pPr>
              <w:spacing w:after="20" w:line="240"/>
            </w:pPr>
            <w:r>
              <w:rPr>
                <w:b w:val="false"/>
                <w:bCs w:val="false"/>
                <w:sz w:val="18"/>
                <w:szCs w:val="18"/>
              </w:rPr>
              <w:t xml:space="preserve">Médiane</w:t>
            </w:r>
          </w:p>
        </w:tc>
        <w:tc>
          <w:tcPr>
            <w:tcW w:type="dxa" w:w="2808"/>
            <w:tcMar>
              <w:top w:type="dxa" w:w="60"/>
              <w:left w:type="dxa" w:w="90"/>
              <w:bottom w:type="dxa" w:w="60"/>
              <w:right w:type="dxa" w:w="90"/>
            </w:tcMar>
          </w:tcPr>
          <w:p>
            <w:pPr>
              <w:spacing w:after="20" w:line="240"/>
            </w:pPr>
            <w:r>
              <w:rPr>
                <w:b w:val="false"/>
                <w:bCs w:val="false"/>
                <w:sz w:val="18"/>
                <w:szCs w:val="18"/>
              </w:rPr>
              <w:t xml:space="preserve">Inférieur à 60 secondes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Délai paiement → rapprochement bancaire</w:t>
            </w:r>
          </w:p>
        </w:tc>
        <w:tc>
          <w:tcPr>
            <w:tcW w:type="dxa" w:w="4118"/>
            <w:tcMar>
              <w:top w:type="dxa" w:w="60"/>
              <w:left w:type="dxa" w:w="90"/>
              <w:bottom w:type="dxa" w:w="60"/>
              <w:right w:type="dxa" w:w="90"/>
            </w:tcMar>
          </w:tcPr>
          <w:p>
            <w:pPr>
              <w:spacing w:after="20" w:line="240"/>
            </w:pPr>
            <w:r>
              <w:rPr>
                <w:b w:val="false"/>
                <w:bCs w:val="false"/>
                <w:sz w:val="18"/>
                <w:szCs w:val="18"/>
              </w:rPr>
              <w:t xml:space="preserve">Médiane</w:t>
            </w:r>
          </w:p>
        </w:tc>
        <w:tc>
          <w:tcPr>
            <w:tcW w:type="dxa" w:w="2808"/>
            <w:tcMar>
              <w:top w:type="dxa" w:w="60"/>
              <w:left w:type="dxa" w:w="90"/>
              <w:bottom w:type="dxa" w:w="60"/>
              <w:right w:type="dxa" w:w="90"/>
            </w:tcMar>
          </w:tcPr>
          <w:p>
            <w:pPr>
              <w:spacing w:after="20" w:line="240"/>
            </w:pPr>
            <w:r>
              <w:rPr>
                <w:b w:val="false"/>
                <w:bCs w:val="false"/>
                <w:sz w:val="18"/>
                <w:szCs w:val="18"/>
              </w:rPr>
              <w:t xml:space="preserve">Inférieur à 24 heures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Manipulations d'espèces par les agents</w:t>
            </w:r>
          </w:p>
        </w:tc>
        <w:tc>
          <w:tcPr>
            <w:tcW w:type="dxa" w:w="4118"/>
            <w:tcMar>
              <w:top w:type="dxa" w:w="60"/>
              <w:left w:type="dxa" w:w="90"/>
              <w:bottom w:type="dxa" w:w="60"/>
              <w:right w:type="dxa" w:w="90"/>
            </w:tcMar>
          </w:tcPr>
          <w:p>
            <w:pPr>
              <w:spacing w:after="20" w:line="240"/>
            </w:pPr>
            <w:r>
              <w:rPr>
                <w:b w:val="false"/>
                <w:bCs w:val="false"/>
                <w:sz w:val="18"/>
                <w:szCs w:val="18"/>
              </w:rPr>
              <w:t xml:space="preserve">Nombre d'encaissements agents sur le périmètre</w:t>
            </w:r>
          </w:p>
        </w:tc>
        <w:tc>
          <w:tcPr>
            <w:tcW w:type="dxa" w:w="2808"/>
            <w:tcMar>
              <w:top w:type="dxa" w:w="60"/>
              <w:left w:type="dxa" w:w="90"/>
              <w:bottom w:type="dxa" w:w="60"/>
              <w:right w:type="dxa" w:w="90"/>
            </w:tcMar>
          </w:tcPr>
          <w:p>
            <w:pPr>
              <w:spacing w:after="20" w:line="240"/>
            </w:pPr>
            <w:r>
              <w:rPr>
                <w:b w:val="false"/>
                <w:bCs w:val="false"/>
                <w:sz w:val="18"/>
                <w:szCs w:val="18"/>
              </w:rPr>
              <w:t xml:space="preserve">Zéro</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Taux de régularisation après notification</w:t>
            </w:r>
          </w:p>
        </w:tc>
        <w:tc>
          <w:tcPr>
            <w:tcW w:type="dxa" w:w="4118"/>
            <w:tcMar>
              <w:top w:type="dxa" w:w="60"/>
              <w:left w:type="dxa" w:w="90"/>
              <w:bottom w:type="dxa" w:w="60"/>
              <w:right w:type="dxa" w:w="90"/>
            </w:tcMar>
          </w:tcPr>
          <w:p>
            <w:pPr>
              <w:spacing w:after="20" w:line="240"/>
            </w:pPr>
            <w:r>
              <w:rPr>
                <w:b w:val="false"/>
                <w:bCs w:val="false"/>
                <w:sz w:val="18"/>
                <w:szCs w:val="18"/>
              </w:rPr>
              <w:t xml:space="preserve">Objets notifiés payant dans le délai légal</w:t>
            </w:r>
          </w:p>
        </w:tc>
        <w:tc>
          <w:tcPr>
            <w:tcW w:type="dxa" w:w="2808"/>
            <w:tcMar>
              <w:top w:type="dxa" w:w="60"/>
              <w:left w:type="dxa" w:w="90"/>
              <w:bottom w:type="dxa" w:w="60"/>
              <w:right w:type="dxa" w:w="90"/>
            </w:tcMar>
          </w:tcPr>
          <w:p>
            <w:pPr>
              <w:spacing w:after="20" w:line="240"/>
            </w:pPr>
            <w:r>
              <w:rPr>
                <w:b w:val="false"/>
                <w:bCs w:val="false"/>
                <w:sz w:val="18"/>
                <w:szCs w:val="18"/>
              </w:rPr>
              <w:t xml:space="preserve">Supérieur à 50 %</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Écart de rapprochement</w:t>
            </w:r>
          </w:p>
        </w:tc>
        <w:tc>
          <w:tcPr>
            <w:tcW w:type="dxa" w:w="4118"/>
            <w:tcMar>
              <w:top w:type="dxa" w:w="60"/>
              <w:left w:type="dxa" w:w="90"/>
              <w:bottom w:type="dxa" w:w="60"/>
              <w:right w:type="dxa" w:w="90"/>
            </w:tcMar>
          </w:tcPr>
          <w:p>
            <w:pPr>
              <w:spacing w:after="20" w:line="240"/>
            </w:pPr>
            <w:r>
              <w:rPr>
                <w:b w:val="false"/>
                <w:bCs w:val="false"/>
                <w:sz w:val="18"/>
                <w:szCs w:val="18"/>
              </w:rPr>
              <w:t xml:space="preserve">Paiements sans appariement à J+2</w:t>
            </w:r>
          </w:p>
        </w:tc>
        <w:tc>
          <w:tcPr>
            <w:tcW w:type="dxa" w:w="2808"/>
            <w:tcMar>
              <w:top w:type="dxa" w:w="60"/>
              <w:left w:type="dxa" w:w="90"/>
              <w:bottom w:type="dxa" w:w="60"/>
              <w:right w:type="dxa" w:w="90"/>
            </w:tcMar>
          </w:tcPr>
          <w:p>
            <w:pPr>
              <w:spacing w:after="20" w:line="240"/>
            </w:pPr>
            <w:r>
              <w:rPr>
                <w:b w:val="false"/>
                <w:bCs w:val="false"/>
                <w:sz w:val="18"/>
                <w:szCs w:val="18"/>
              </w:rPr>
              <w:t xml:space="preserve">Inférieur à 1 %</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Délai de traitement des recours</w:t>
            </w:r>
          </w:p>
        </w:tc>
        <w:tc>
          <w:tcPr>
            <w:tcW w:type="dxa" w:w="4118"/>
            <w:tcMar>
              <w:top w:type="dxa" w:w="60"/>
              <w:left w:type="dxa" w:w="90"/>
              <w:bottom w:type="dxa" w:w="60"/>
              <w:right w:type="dxa" w:w="90"/>
            </w:tcMar>
          </w:tcPr>
          <w:p>
            <w:pPr>
              <w:spacing w:after="20" w:line="240"/>
            </w:pPr>
            <w:r>
              <w:rPr>
                <w:b w:val="false"/>
                <w:bCs w:val="false"/>
                <w:sz w:val="18"/>
                <w:szCs w:val="18"/>
              </w:rPr>
              <w:t xml:space="preserve">Recours clos dans le délai légal</w:t>
            </w:r>
          </w:p>
        </w:tc>
        <w:tc>
          <w:tcPr>
            <w:tcW w:type="dxa" w:w="2808"/>
            <w:tcMar>
              <w:top w:type="dxa" w:w="60"/>
              <w:left w:type="dxa" w:w="90"/>
              <w:bottom w:type="dxa" w:w="60"/>
              <w:right w:type="dxa" w:w="90"/>
            </w:tcMar>
          </w:tcPr>
          <w:p>
            <w:pPr>
              <w:spacing w:after="20" w:line="240"/>
            </w:pPr>
            <w:r>
              <w:rPr>
                <w:b w:val="false"/>
                <w:bCs w:val="false"/>
                <w:sz w:val="18"/>
                <w:szCs w:val="18"/>
              </w:rPr>
              <w:t xml:space="preserve">Supérieur à 90 %</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Baux enregistrés</w:t>
            </w:r>
          </w:p>
        </w:tc>
        <w:tc>
          <w:tcPr>
            <w:tcW w:type="dxa" w:w="4118"/>
            <w:tcMar>
              <w:top w:type="dxa" w:w="60"/>
              <w:left w:type="dxa" w:w="90"/>
              <w:bottom w:type="dxa" w:w="60"/>
              <w:right w:type="dxa" w:w="90"/>
            </w:tcMar>
          </w:tcPr>
          <w:p>
            <w:pPr>
              <w:spacing w:after="20" w:line="240"/>
            </w:pPr>
            <w:r>
              <w:rPr>
                <w:b w:val="false"/>
                <w:bCs w:val="false"/>
                <w:sz w:val="18"/>
                <w:szCs w:val="18"/>
              </w:rPr>
              <w:t xml:space="preserve">Nombre de baux actifs enregistrés</w:t>
            </w:r>
          </w:p>
        </w:tc>
        <w:tc>
          <w:tcPr>
            <w:tcW w:type="dxa" w:w="2808"/>
            <w:tcMar>
              <w:top w:type="dxa" w:w="60"/>
              <w:left w:type="dxa" w:w="90"/>
              <w:bottom w:type="dxa" w:w="60"/>
              <w:right w:type="dxa" w:w="90"/>
            </w:tcMar>
          </w:tcPr>
          <w:p>
            <w:pPr>
              <w:spacing w:after="20" w:line="240"/>
            </w:pPr>
            <w:r>
              <w:rPr>
                <w:b w:val="false"/>
                <w:bCs w:val="false"/>
                <w:sz w:val="18"/>
                <w:szCs w:val="18"/>
              </w:rPr>
              <w:t xml:space="preserve">Croissance continue, publiée mensuellement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Coût de collecte</w:t>
            </w:r>
          </w:p>
        </w:tc>
        <w:tc>
          <w:tcPr>
            <w:tcW w:type="dxa" w:w="4118"/>
            <w:tcMar>
              <w:top w:type="dxa" w:w="60"/>
              <w:left w:type="dxa" w:w="90"/>
              <w:bottom w:type="dxa" w:w="60"/>
              <w:right w:type="dxa" w:w="90"/>
            </w:tcMar>
          </w:tcPr>
          <w:p>
            <w:pPr>
              <w:spacing w:after="20" w:line="240"/>
            </w:pPr>
            <w:r>
              <w:rPr>
                <w:b w:val="false"/>
                <w:bCs w:val="false"/>
                <w:sz w:val="18"/>
                <w:szCs w:val="18"/>
              </w:rPr>
              <w:t xml:space="preserve">Coût total de recouvrement / recettes encaissées</w:t>
            </w:r>
          </w:p>
        </w:tc>
        <w:tc>
          <w:tcPr>
            <w:tcW w:type="dxa" w:w="2808"/>
            <w:tcMar>
              <w:top w:type="dxa" w:w="60"/>
              <w:left w:type="dxa" w:w="90"/>
              <w:bottom w:type="dxa" w:w="60"/>
              <w:right w:type="dxa" w:w="90"/>
            </w:tcMar>
          </w:tcPr>
          <w:p>
            <w:pPr>
              <w:spacing w:after="20" w:line="240"/>
            </w:pPr>
            <w:r>
              <w:rPr>
                <w:b w:val="false"/>
                <w:bCs w:val="false"/>
                <w:sz w:val="18"/>
                <w:szCs w:val="18"/>
              </w:rPr>
              <w:t xml:space="preserve">En baisse d'exercice en exercice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Satisfaction des contribuables</w:t>
            </w:r>
          </w:p>
        </w:tc>
        <w:tc>
          <w:tcPr>
            <w:tcW w:type="dxa" w:w="4118"/>
            <w:tcMar>
              <w:top w:type="dxa" w:w="60"/>
              <w:left w:type="dxa" w:w="90"/>
              <w:bottom w:type="dxa" w:w="60"/>
              <w:right w:type="dxa" w:w="90"/>
            </w:tcMar>
          </w:tcPr>
          <w:p>
            <w:pPr>
              <w:spacing w:after="20" w:line="240"/>
            </w:pPr>
            <w:r>
              <w:rPr>
                <w:b w:val="false"/>
                <w:bCs w:val="false"/>
                <w:sz w:val="18"/>
                <w:szCs w:val="18"/>
              </w:rPr>
              <w:t xml:space="preserve">Enquête après paiement et après visite</w:t>
            </w:r>
          </w:p>
        </w:tc>
        <w:tc>
          <w:tcPr>
            <w:tcW w:type="dxa" w:w="2808"/>
            <w:tcMar>
              <w:top w:type="dxa" w:w="60"/>
              <w:left w:type="dxa" w:w="90"/>
              <w:bottom w:type="dxa" w:w="60"/>
              <w:right w:type="dxa" w:w="90"/>
            </w:tcMar>
          </w:tcPr>
          <w:p>
            <w:pPr>
              <w:spacing w:after="20" w:line="240"/>
            </w:pPr>
            <w:r>
              <w:rPr>
                <w:b w:val="false"/>
                <w:bCs w:val="false"/>
                <w:sz w:val="18"/>
                <w:szCs w:val="18"/>
              </w:rPr>
              <w:t xml:space="preserve">Suivi publié, en progression</w:t>
            </w:r>
          </w:p>
        </w:tc>
      </w:tr>
    </w:tbl>
    <w:p>
      <w:pPr>
        <w:pStyle w:val="Heading1"/>
        <w:spacing w:after="160" w:before="360"/>
      </w:pPr>
      <w:r>
        <w:t xml:space="preserve">41. Registre des risques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434"/>
        <w:gridCol w:w="1123"/>
        <w:gridCol w:w="1123"/>
        <w:gridCol w:w="4680"/>
      </w:tblGrid>
      <w:tr>
        <w:trPr>
          <w:tblHeader/>
        </w:trPr>
        <w:tc>
          <w:tcPr>
            <w:tcW w:type="dxa" w:w="2434"/>
            <w:shd w:fill="E6F4F1" w:color="auto" w:val="clear"/>
            <w:tcMar>
              <w:top w:type="dxa" w:w="60"/>
              <w:left w:type="dxa" w:w="90"/>
              <w:bottom w:type="dxa" w:w="60"/>
              <w:right w:type="dxa" w:w="90"/>
            </w:tcMar>
          </w:tcPr>
          <w:p>
            <w:pPr>
              <w:spacing w:after="20" w:line="240"/>
            </w:pPr>
            <w:r>
              <w:rPr>
                <w:b/>
                <w:bCs/>
                <w:sz w:val="18"/>
                <w:szCs w:val="18"/>
              </w:rPr>
              <w:t xml:space="preserve">Risque</w:t>
            </w:r>
          </w:p>
        </w:tc>
        <w:tc>
          <w:tcPr>
            <w:tcW w:type="dxa" w:w="1123"/>
            <w:shd w:fill="E6F4F1" w:color="auto" w:val="clear"/>
            <w:tcMar>
              <w:top w:type="dxa" w:w="60"/>
              <w:left w:type="dxa" w:w="90"/>
              <w:bottom w:type="dxa" w:w="60"/>
              <w:right w:type="dxa" w:w="90"/>
            </w:tcMar>
          </w:tcPr>
          <w:p>
            <w:pPr>
              <w:spacing w:after="20" w:line="240"/>
            </w:pPr>
            <w:r>
              <w:rPr>
                <w:b/>
                <w:bCs/>
                <w:sz w:val="18"/>
                <w:szCs w:val="18"/>
              </w:rPr>
              <w:t xml:space="preserve">Probabilité</w:t>
            </w:r>
          </w:p>
        </w:tc>
        <w:tc>
          <w:tcPr>
            <w:tcW w:type="dxa" w:w="1123"/>
            <w:shd w:fill="E6F4F1" w:color="auto" w:val="clear"/>
            <w:tcMar>
              <w:top w:type="dxa" w:w="60"/>
              <w:left w:type="dxa" w:w="90"/>
              <w:bottom w:type="dxa" w:w="60"/>
              <w:right w:type="dxa" w:w="90"/>
            </w:tcMar>
          </w:tcPr>
          <w:p>
            <w:pPr>
              <w:spacing w:after="20" w:line="240"/>
            </w:pPr>
            <w:r>
              <w:rPr>
                <w:b/>
                <w:bCs/>
                <w:sz w:val="18"/>
                <w:szCs w:val="18"/>
              </w:rPr>
              <w:t xml:space="preserve">Impact</w:t>
            </w:r>
          </w:p>
        </w:tc>
        <w:tc>
          <w:tcPr>
            <w:tcW w:type="dxa" w:w="4680"/>
            <w:shd w:fill="E6F4F1" w:color="auto" w:val="clear"/>
            <w:tcMar>
              <w:top w:type="dxa" w:w="60"/>
              <w:left w:type="dxa" w:w="90"/>
              <w:bottom w:type="dxa" w:w="60"/>
              <w:right w:type="dxa" w:w="90"/>
            </w:tcMar>
          </w:tcPr>
          <w:p>
            <w:pPr>
              <w:spacing w:after="20" w:line="240"/>
            </w:pPr>
            <w:r>
              <w:rPr>
                <w:b/>
                <w:bCs/>
                <w:sz w:val="18"/>
                <w:szCs w:val="18"/>
              </w:rPr>
              <w:t xml:space="preserve">Traitement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Référentiel appuyé sur un texte abrogé</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Très élevé</w:t>
            </w:r>
          </w:p>
        </w:tc>
        <w:tc>
          <w:tcPr>
            <w:tcW w:type="dxa" w:w="4680"/>
            <w:tcMar>
              <w:top w:type="dxa" w:w="60"/>
              <w:left w:type="dxa" w:w="90"/>
              <w:bottom w:type="dxa" w:w="60"/>
              <w:right w:type="dxa" w:w="90"/>
            </w:tcMar>
          </w:tcPr>
          <w:p>
            <w:pPr>
              <w:spacing w:after="20" w:line="240"/>
            </w:pPr>
            <w:r>
              <w:rPr>
                <w:b w:val="false"/>
                <w:bCs w:val="false"/>
                <w:sz w:val="18"/>
                <w:szCs w:val="18"/>
              </w:rPr>
              <w:t xml:space="preserve">Relevé juridique certifié avant paramétrage, blocage technique sans référence légale valide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Résistance des agents perdant des revenus informels</w:t>
            </w:r>
          </w:p>
        </w:tc>
        <w:tc>
          <w:tcPr>
            <w:tcW w:type="dxa" w:w="1123"/>
            <w:tcMar>
              <w:top w:type="dxa" w:w="60"/>
              <w:left w:type="dxa" w:w="90"/>
              <w:bottom w:type="dxa" w:w="60"/>
              <w:right w:type="dxa" w:w="90"/>
            </w:tcMar>
          </w:tcPr>
          <w:p>
            <w:pPr>
              <w:spacing w:after="20" w:line="240"/>
            </w:pPr>
            <w:r>
              <w:rPr>
                <w:b w:val="false"/>
                <w:bCs w:val="false"/>
                <w:sz w:val="18"/>
                <w:szCs w:val="18"/>
              </w:rPr>
              <w:t xml:space="preserve">Élevée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Primes sur résultats vérifiés, dialogue social préalable, déploiement progressif, rotation des zones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Rejet politique ou social de la pression fiscale</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Valeur d'abord (attestation de bail, échéancier, quittance unique), publication des réalisations financées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Refus ou retard des protocoles de données</w:t>
            </w:r>
          </w:p>
        </w:tc>
        <w:tc>
          <w:tcPr>
            <w:tcW w:type="dxa" w:w="1123"/>
            <w:tcMar>
              <w:top w:type="dxa" w:w="60"/>
              <w:left w:type="dxa" w:w="90"/>
              <w:bottom w:type="dxa" w:w="60"/>
              <w:right w:type="dxa" w:w="90"/>
            </w:tcMar>
          </w:tcPr>
          <w:p>
            <w:pPr>
              <w:spacing w:after="20" w:line="240"/>
            </w:pPr>
            <w:r>
              <w:rPr>
                <w:b w:val="false"/>
                <w:bCs w:val="false"/>
                <w:sz w:val="18"/>
                <w:szCs w:val="18"/>
              </w:rPr>
              <w:t xml:space="preserve">Élevée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Recensement terrain en parallèle, négociation au niveau du Gouvernement provincial, séquencement par source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Double imposition province / commune / pouvoir central</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Référentiel unique avec autorité compétente, refus des doublons sur un même fait générateur</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Changement institutionnel (nouvelles régies)</w:t>
            </w:r>
          </w:p>
        </w:tc>
        <w:tc>
          <w:tcPr>
            <w:tcW w:type="dxa" w:w="1123"/>
            <w:tcMar>
              <w:top w:type="dxa" w:w="60"/>
              <w:left w:type="dxa" w:w="90"/>
              <w:bottom w:type="dxa" w:w="60"/>
              <w:right w:type="dxa" w:w="90"/>
            </w:tcMar>
          </w:tcPr>
          <w:p>
            <w:pPr>
              <w:spacing w:after="20" w:line="240"/>
            </w:pPr>
            <w:r>
              <w:rPr>
                <w:b w:val="false"/>
                <w:bCs w:val="false"/>
                <w:sz w:val="18"/>
                <w:szCs w:val="18"/>
              </w:rPr>
              <w:t xml:space="preserve">Élevée</w:t>
            </w:r>
          </w:p>
        </w:tc>
        <w:tc>
          <w:tcPr>
            <w:tcW w:type="dxa" w:w="1123"/>
            <w:tcMar>
              <w:top w:type="dxa" w:w="60"/>
              <w:left w:type="dxa" w:w="90"/>
              <w:bottom w:type="dxa" w:w="60"/>
              <w:right w:type="dxa" w:w="90"/>
            </w:tcMar>
          </w:tcPr>
          <w:p>
            <w:pPr>
              <w:spacing w:after="20" w:line="240"/>
            </w:pPr>
            <w:r>
              <w:rPr>
                <w:b w:val="false"/>
                <w:bCs w:val="false"/>
                <w:sz w:val="18"/>
                <w:szCs w:val="18"/>
              </w:rPr>
              <w:t xml:space="preserve">Moyen</w:t>
            </w:r>
          </w:p>
        </w:tc>
        <w:tc>
          <w:tcPr>
            <w:tcW w:type="dxa" w:w="4680"/>
            <w:tcMar>
              <w:top w:type="dxa" w:w="60"/>
              <w:left w:type="dxa" w:w="90"/>
              <w:bottom w:type="dxa" w:w="60"/>
              <w:right w:type="dxa" w:w="90"/>
            </w:tcMar>
          </w:tcPr>
          <w:p>
            <w:pPr>
              <w:spacing w:after="20" w:line="240"/>
            </w:pPr>
            <w:r>
              <w:rPr>
                <w:b w:val="false"/>
                <w:bCs w:val="false"/>
                <w:sz w:val="18"/>
                <w:szCs w:val="18"/>
              </w:rPr>
              <w:t xml:space="preserve">Régie paramétrable, rôles reconfigurables sans redéveloppement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Dépendance au prestataire</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Séquestre du code, formats ouverts, transfert de compétences contractuel, test annuel de réversibilité</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Incident de sécurité ou fuite de données</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Très élevé</w:t>
            </w:r>
          </w:p>
        </w:tc>
        <w:tc>
          <w:tcPr>
            <w:tcW w:type="dxa" w:w="4680"/>
            <w:tcMar>
              <w:top w:type="dxa" w:w="60"/>
              <w:left w:type="dxa" w:w="90"/>
              <w:bottom w:type="dxa" w:w="60"/>
              <w:right w:type="dxa" w:w="90"/>
            </w:tcMar>
          </w:tcPr>
          <w:p>
            <w:pPr>
              <w:spacing w:after="20" w:line="240"/>
            </w:pPr>
            <w:r>
              <w:rPr>
                <w:b w:val="false"/>
                <w:bCs w:val="false"/>
                <w:sz w:val="18"/>
                <w:szCs w:val="18"/>
              </w:rPr>
              <w:t xml:space="preserve">Zéro confiance, chiffrement, tests d'intrusion, plan d'incident, sauvegarde immuable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Fraude interne aux postes sensibles</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Très élevé</w:t>
            </w:r>
          </w:p>
        </w:tc>
        <w:tc>
          <w:tcPr>
            <w:tcW w:type="dxa" w:w="4680"/>
            <w:tcMar>
              <w:top w:type="dxa" w:w="60"/>
              <w:left w:type="dxa" w:w="90"/>
              <w:bottom w:type="dxa" w:w="60"/>
              <w:right w:type="dxa" w:w="90"/>
            </w:tcMar>
          </w:tcPr>
          <w:p>
            <w:pPr>
              <w:spacing w:after="20" w:line="240"/>
            </w:pPr>
            <w:r>
              <w:rPr>
                <w:b w:val="false"/>
                <w:bCs w:val="false"/>
                <w:sz w:val="18"/>
                <w:szCs w:val="18"/>
              </w:rPr>
              <w:t xml:space="preserve">Séparation des fonctions, quatre yeux, accès temporaire, audit indépendant</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Imprécision GPS et contestations de localisation</w:t>
            </w:r>
          </w:p>
        </w:tc>
        <w:tc>
          <w:tcPr>
            <w:tcW w:type="dxa" w:w="1123"/>
            <w:tcMar>
              <w:top w:type="dxa" w:w="60"/>
              <w:left w:type="dxa" w:w="90"/>
              <w:bottom w:type="dxa" w:w="60"/>
              <w:right w:type="dxa" w:w="90"/>
            </w:tcMar>
          </w:tcPr>
          <w:p>
            <w:pPr>
              <w:spacing w:after="20" w:line="240"/>
            </w:pPr>
            <w:r>
              <w:rPr>
                <w:b w:val="false"/>
                <w:bCs w:val="false"/>
                <w:sz w:val="18"/>
                <w:szCs w:val="18"/>
              </w:rPr>
              <w:t xml:space="preserve">Élevée</w:t>
            </w:r>
          </w:p>
        </w:tc>
        <w:tc>
          <w:tcPr>
            <w:tcW w:type="dxa" w:w="1123"/>
            <w:tcMar>
              <w:top w:type="dxa" w:w="60"/>
              <w:left w:type="dxa" w:w="90"/>
              <w:bottom w:type="dxa" w:w="60"/>
              <w:right w:type="dxa" w:w="90"/>
            </w:tcMar>
          </w:tcPr>
          <w:p>
            <w:pPr>
              <w:spacing w:after="20" w:line="240"/>
            </w:pPr>
            <w:r>
              <w:rPr>
                <w:b w:val="false"/>
                <w:bCs w:val="false"/>
                <w:sz w:val="18"/>
                <w:szCs w:val="18"/>
              </w:rPr>
              <w:t xml:space="preserve">Moyen</w:t>
            </w:r>
          </w:p>
        </w:tc>
        <w:tc>
          <w:tcPr>
            <w:tcW w:type="dxa" w:w="4680"/>
            <w:tcMar>
              <w:top w:type="dxa" w:w="60"/>
              <w:left w:type="dxa" w:w="90"/>
              <w:bottom w:type="dxa" w:w="60"/>
              <w:right w:type="dxa" w:w="90"/>
            </w:tcMar>
          </w:tcPr>
          <w:p>
            <w:pPr>
              <w:spacing w:after="20" w:line="240"/>
            </w:pPr>
            <w:r>
              <w:rPr>
                <w:b w:val="false"/>
                <w:bCs w:val="false"/>
                <w:sz w:val="18"/>
                <w:szCs w:val="18"/>
              </w:rPr>
              <w:t xml:space="preserve">Tolérance paramétrée, preuve photographique, validation hiérarchique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Connectivité insuffisante sur le terrain</w:t>
            </w:r>
          </w:p>
        </w:tc>
        <w:tc>
          <w:tcPr>
            <w:tcW w:type="dxa" w:w="1123"/>
            <w:tcMar>
              <w:top w:type="dxa" w:w="60"/>
              <w:left w:type="dxa" w:w="90"/>
              <w:bottom w:type="dxa" w:w="60"/>
              <w:right w:type="dxa" w:w="90"/>
            </w:tcMar>
          </w:tcPr>
          <w:p>
            <w:pPr>
              <w:spacing w:after="20" w:line="240"/>
            </w:pPr>
            <w:r>
              <w:rPr>
                <w:b w:val="false"/>
                <w:bCs w:val="false"/>
                <w:sz w:val="18"/>
                <w:szCs w:val="18"/>
              </w:rPr>
              <w:t xml:space="preserve">Élevée</w:t>
            </w:r>
          </w:p>
        </w:tc>
        <w:tc>
          <w:tcPr>
            <w:tcW w:type="dxa" w:w="1123"/>
            <w:tcMar>
              <w:top w:type="dxa" w:w="60"/>
              <w:left w:type="dxa" w:w="90"/>
              <w:bottom w:type="dxa" w:w="60"/>
              <w:right w:type="dxa" w:w="90"/>
            </w:tcMar>
          </w:tcPr>
          <w:p>
            <w:pPr>
              <w:spacing w:after="20" w:line="240"/>
            </w:pPr>
            <w:r>
              <w:rPr>
                <w:b w:val="false"/>
                <w:bCs w:val="false"/>
                <w:sz w:val="18"/>
                <w:szCs w:val="18"/>
              </w:rPr>
              <w:t xml:space="preserve">Moyen</w:t>
            </w:r>
          </w:p>
        </w:tc>
        <w:tc>
          <w:tcPr>
            <w:tcW w:type="dxa" w:w="4680"/>
            <w:tcMar>
              <w:top w:type="dxa" w:w="60"/>
              <w:left w:type="dxa" w:w="90"/>
              <w:bottom w:type="dxa" w:w="60"/>
              <w:right w:type="dxa" w:w="90"/>
            </w:tcMar>
          </w:tcPr>
          <w:p>
            <w:pPr>
              <w:spacing w:after="20" w:line="240"/>
            </w:pPr>
            <w:r>
              <w:rPr>
                <w:b w:val="false"/>
                <w:bCs w:val="false"/>
                <w:sz w:val="18"/>
                <w:szCs w:val="18"/>
              </w:rPr>
              <w:t xml:space="preserve">Hors ligne d'abord, synchronisation différée, files locales</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Surdimensionnement technique</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Monolithe modulaire, périmètre pilote restreint, portes de phase</w:t>
            </w:r>
          </w:p>
        </w:tc>
      </w:tr>
      <w:tr>
        <w:trPr>
          <w:tblHeader w:val="false"/>
        </w:trPr>
        <w:tc>
          <w:tcPr>
            <w:tcW w:type="dxa" w:w="2434"/>
            <w:tcMar>
              <w:top w:type="dxa" w:w="60"/>
              <w:left w:type="dxa" w:w="90"/>
              <w:bottom w:type="dxa" w:w="60"/>
              <w:right w:type="dxa" w:w="90"/>
            </w:tcMar>
          </w:tcPr>
          <w:p>
            <w:pPr>
              <w:spacing w:after="20" w:line="240"/>
            </w:pPr>
            <w:r>
              <w:rPr>
                <w:b w:val="false"/>
                <w:bCs w:val="false"/>
                <w:sz w:val="18"/>
                <w:szCs w:val="18"/>
              </w:rPr>
              <w:t xml:space="preserve">Promesses de recettes non tenues</w:t>
            </w:r>
          </w:p>
        </w:tc>
        <w:tc>
          <w:tcPr>
            <w:tcW w:type="dxa" w:w="1123"/>
            <w:tcMar>
              <w:top w:type="dxa" w:w="60"/>
              <w:left w:type="dxa" w:w="90"/>
              <w:bottom w:type="dxa" w:w="60"/>
              <w:right w:type="dxa" w:w="90"/>
            </w:tcMar>
          </w:tcPr>
          <w:p>
            <w:pPr>
              <w:spacing w:after="20" w:line="240"/>
            </w:pPr>
            <w:r>
              <w:rPr>
                <w:b w:val="false"/>
                <w:bCs w:val="false"/>
                <w:sz w:val="18"/>
                <w:szCs w:val="18"/>
              </w:rPr>
              <w:t xml:space="preserve">Moyenne</w:t>
            </w:r>
          </w:p>
        </w:tc>
        <w:tc>
          <w:tcPr>
            <w:tcW w:type="dxa" w:w="1123"/>
            <w:tcMar>
              <w:top w:type="dxa" w:w="60"/>
              <w:left w:type="dxa" w:w="90"/>
              <w:bottom w:type="dxa" w:w="60"/>
              <w:right w:type="dxa" w:w="90"/>
            </w:tcMar>
          </w:tcPr>
          <w:p>
            <w:pPr>
              <w:spacing w:after="20" w:line="240"/>
            </w:pPr>
            <w:r>
              <w:rPr>
                <w:b w:val="false"/>
                <w:bCs w:val="false"/>
                <w:sz w:val="18"/>
                <w:szCs w:val="18"/>
              </w:rPr>
              <w:t xml:space="preserve">Élevé</w:t>
            </w:r>
          </w:p>
        </w:tc>
        <w:tc>
          <w:tcPr>
            <w:tcW w:type="dxa" w:w="4680"/>
            <w:tcMar>
              <w:top w:type="dxa" w:w="60"/>
              <w:left w:type="dxa" w:w="90"/>
              <w:bottom w:type="dxa" w:w="60"/>
              <w:right w:type="dxa" w:w="90"/>
            </w:tcMar>
          </w:tcPr>
          <w:p>
            <w:pPr>
              <w:spacing w:after="20" w:line="240"/>
            </w:pPr>
            <w:r>
              <w:rPr>
                <w:b w:val="false"/>
                <w:bCs w:val="false"/>
                <w:sz w:val="18"/>
                <w:szCs w:val="18"/>
              </w:rPr>
              <w:t xml:space="preserve">Base de référence mesurée, scénarios, communication prudente</w:t>
            </w:r>
          </w:p>
        </w:tc>
      </w:tr>
    </w:tbl>
    <w:p>
      <w:pPr>
        <w:pStyle w:val="Heading1"/>
        <w:spacing w:after="160" w:before="360"/>
      </w:pPr>
      <w:r>
        <w:t xml:space="preserve">42. Critères d'acceptation</w:t>
      </w:r>
    </w:p>
    <w:p>
      <w:pPr>
        <w:pStyle w:val="ListItem"/>
        <w:numPr>
          <w:ilvl w:val="0"/>
          <w:numId w:val="1"/>
        </w:numPr>
        <w:spacing w:after="60" w:line="264"/>
      </w:pPr>
      <w:r>
        <w:t xml:space="preserve">Aucune obligation ne peut être créée sans règle publiée portant une référence légale valide : test négatif obligatoire.</w:t>
      </w:r>
    </w:p>
    <w:p>
      <w:pPr>
        <w:pStyle w:val="ListItem"/>
        <w:numPr>
          <w:ilvl w:val="0"/>
          <w:numId w:val="1"/>
        </w:numPr>
        <w:spacing w:after="60" w:line="264"/>
      </w:pPr>
      <w:r>
        <w:t xml:space="preserve">Aucune quittance ne peut être générée sans confirmation serveur à serveur d'un prestataire agréé.</w:t>
      </w:r>
    </w:p>
    <w:p>
      <w:pPr>
        <w:pStyle w:val="ListItem"/>
        <w:numPr>
          <w:ilvl w:val="0"/>
          <w:numId w:val="1"/>
        </w:numPr>
        <w:spacing w:after="60" w:line="264"/>
      </w:pPr>
      <w:r>
        <w:t xml:space="preserve">Aucun compte bénéficiaire ne peut être modifié par un seul utilisateur, quel que soit son rôle.</w:t>
      </w:r>
    </w:p>
    <w:p>
      <w:pPr>
        <w:pStyle w:val="ListItem"/>
        <w:numPr>
          <w:ilvl w:val="0"/>
          <w:numId w:val="1"/>
        </w:numPr>
        <w:spacing w:after="60" w:line="264"/>
      </w:pPr>
      <w:r>
        <w:t xml:space="preserve">Aucun événement d'audit ne peut être modifié ou supprimé, y compris par le super-administrateur : test d'altération obligatoire.</w:t>
      </w:r>
    </w:p>
    <w:p>
      <w:pPr>
        <w:pStyle w:val="ListItem"/>
        <w:numPr>
          <w:ilvl w:val="0"/>
          <w:numId w:val="1"/>
        </w:numPr>
        <w:spacing w:after="60" w:line="264"/>
      </w:pPr>
      <w:r>
        <w:t xml:space="preserve">Toute consultation d'un dossier individuel est journalisée avec acteur, motif et horodatage.</w:t>
      </w:r>
    </w:p>
    <w:p>
      <w:pPr>
        <w:pStyle w:val="ListItem"/>
        <w:numPr>
          <w:ilvl w:val="0"/>
          <w:numId w:val="1"/>
        </w:numPr>
        <w:spacing w:after="60" w:line="264"/>
      </w:pPr>
      <w:r>
        <w:t xml:space="preserve">L'application terrain fonctionne sans réseau pendant une journée complète de mission et synchronise sans perte.</w:t>
      </w:r>
    </w:p>
    <w:p>
      <w:pPr>
        <w:pStyle w:val="ListItem"/>
        <w:numPr>
          <w:ilvl w:val="0"/>
          <w:numId w:val="1"/>
        </w:numPr>
        <w:spacing w:after="60" w:line="264"/>
      </w:pPr>
      <w:r>
        <w:t xml:space="preserve">Le rapprochement quotidien produit des files d'exception exploitables et traçables.</w:t>
      </w:r>
    </w:p>
    <w:p>
      <w:pPr>
        <w:pStyle w:val="ListItem"/>
        <w:numPr>
          <w:ilvl w:val="0"/>
          <w:numId w:val="1"/>
        </w:numPr>
        <w:spacing w:after="60" w:line="264"/>
      </w:pPr>
      <w:r>
        <w:t xml:space="preserve">La vérification publique d'une quittance ne divulgue aucune donnée personnelle au-delà du nécessaire.</w:t>
      </w:r>
    </w:p>
    <w:p>
      <w:pPr>
        <w:pStyle w:val="ListItem"/>
        <w:numPr>
          <w:ilvl w:val="0"/>
          <w:numId w:val="1"/>
        </w:numPr>
        <w:spacing w:after="60" w:line="264"/>
      </w:pPr>
      <w:r>
        <w:t xml:space="preserve">Un recours déposé est horodaté, affecté et suivi jusqu'à décision motivée.</w:t>
      </w:r>
    </w:p>
    <w:p>
      <w:pPr>
        <w:pStyle w:val="ListItem"/>
        <w:numPr>
          <w:ilvl w:val="0"/>
          <w:numId w:val="1"/>
        </w:numPr>
        <w:spacing w:after="60" w:line="264"/>
      </w:pPr>
      <w:r>
        <w:t xml:space="preserve">Les tableaux de bord distinguent explicitement potentiel, constaté, encaissé, réglé, rapproché et disponible.</w:t>
      </w:r>
    </w:p>
    <w:p>
      <w:pPr>
        <w:pStyle w:val="Heading1"/>
        <w:spacing w:after="160" w:before="360"/>
      </w:pPr>
      <w:r>
        <w:t xml:space="preserve">43. Carnet de développement</w:t>
      </w:r>
    </w:p>
    <w:p>
      <w:pPr>
        <w:spacing w:after="120" w:line="276"/>
        <w:jc w:val="both"/>
      </w:pPr>
      <w:r>
        <w:rPr>
          <w:b w:val="false"/>
          <w:bCs w:val="false"/>
          <w:i w:val="false"/>
          <w:iCs w:val="false"/>
          <w:sz w:val="21"/>
          <w:szCs w:val="21"/>
        </w:rPr>
        <w:t xml:space="preserve">Extrait du carnet initial, formulé en récits utilisateurs avec critères d'acceptation. Le carnet complet est produit en phase 1 et priorisé par valeur de recette et par risque.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3744"/>
        <w:gridCol w:w="5616"/>
      </w:tblGrid>
      <w:tr>
        <w:trPr>
          <w:tblHeader/>
        </w:trPr>
        <w:tc>
          <w:tcPr>
            <w:tcW w:type="dxa" w:w="3744"/>
            <w:shd w:fill="E6F4F1" w:color="auto" w:val="clear"/>
            <w:tcMar>
              <w:top w:type="dxa" w:w="60"/>
              <w:left w:type="dxa" w:w="90"/>
              <w:bottom w:type="dxa" w:w="60"/>
              <w:right w:type="dxa" w:w="90"/>
            </w:tcMar>
          </w:tcPr>
          <w:p>
            <w:pPr>
              <w:spacing w:after="20" w:line="240"/>
            </w:pPr>
            <w:r>
              <w:rPr>
                <w:b/>
                <w:bCs/>
                <w:sz w:val="18"/>
                <w:szCs w:val="18"/>
              </w:rPr>
              <w:t xml:space="preserve">Récit</w:t>
            </w:r>
          </w:p>
        </w:tc>
        <w:tc>
          <w:tcPr>
            <w:tcW w:type="dxa" w:w="5616"/>
            <w:shd w:fill="E6F4F1" w:color="auto" w:val="clear"/>
            <w:tcMar>
              <w:top w:type="dxa" w:w="60"/>
              <w:left w:type="dxa" w:w="90"/>
              <w:bottom w:type="dxa" w:w="60"/>
              <w:right w:type="dxa" w:w="90"/>
            </w:tcMar>
          </w:tcPr>
          <w:p>
            <w:pPr>
              <w:spacing w:after="20" w:line="240"/>
            </w:pPr>
            <w:r>
              <w:rPr>
                <w:b/>
                <w:bCs/>
                <w:sz w:val="18"/>
                <w:szCs w:val="18"/>
              </w:rPr>
              <w:t xml:space="preserve">Critères d'acceptation</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Kinois, je veux créer un compte avec mon téléphone pour voir ce que je dois</w:t>
            </w:r>
          </w:p>
        </w:tc>
        <w:tc>
          <w:tcPr>
            <w:tcW w:type="dxa" w:w="5616"/>
            <w:tcMar>
              <w:top w:type="dxa" w:w="60"/>
              <w:left w:type="dxa" w:w="90"/>
              <w:bottom w:type="dxa" w:w="60"/>
              <w:right w:type="dxa" w:w="90"/>
            </w:tcMar>
          </w:tcPr>
          <w:p>
            <w:pPr>
              <w:spacing w:after="20" w:line="240"/>
            </w:pPr>
            <w:r>
              <w:rPr>
                <w:b w:val="false"/>
                <w:bCs w:val="false"/>
                <w:sz w:val="18"/>
                <w:szCs w:val="18"/>
              </w:rPr>
              <w:t xml:space="preserve">Code à usage unique ; pièce d'identité facultative au niveau N0 ; aucune obligation affichée sans objet rattaché</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bailleur, je veux déclarer mes unités louées pour régulariser mon IRL</w:t>
            </w:r>
          </w:p>
        </w:tc>
        <w:tc>
          <w:tcPr>
            <w:tcW w:type="dxa" w:w="5616"/>
            <w:tcMar>
              <w:top w:type="dxa" w:w="60"/>
              <w:left w:type="dxa" w:w="90"/>
              <w:bottom w:type="dxa" w:w="60"/>
              <w:right w:type="dxa" w:w="90"/>
            </w:tcMar>
          </w:tcPr>
          <w:p>
            <w:pPr>
              <w:spacing w:after="20" w:line="240"/>
            </w:pPr>
            <w:r>
              <w:rPr>
                <w:b w:val="false"/>
                <w:bCs w:val="false"/>
                <w:sz w:val="18"/>
                <w:szCs w:val="18"/>
              </w:rPr>
              <w:t xml:space="preserve">Une unité par déclaration ; calcul affiché avec taux, retenue et référence de l'arrêté ; pièce justificative optionnelle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locataire, je veux enregistrer mon bail et obtenir une attestation</w:t>
            </w:r>
          </w:p>
        </w:tc>
        <w:tc>
          <w:tcPr>
            <w:tcW w:type="dxa" w:w="5616"/>
            <w:tcMar>
              <w:top w:type="dxa" w:w="60"/>
              <w:left w:type="dxa" w:w="90"/>
              <w:bottom w:type="dxa" w:w="60"/>
              <w:right w:type="dxa" w:w="90"/>
            </w:tcMar>
          </w:tcPr>
          <w:p>
            <w:pPr>
              <w:spacing w:after="20" w:line="240"/>
            </w:pPr>
            <w:r>
              <w:rPr>
                <w:b w:val="false"/>
                <w:bCs w:val="false"/>
                <w:sz w:val="18"/>
                <w:szCs w:val="18"/>
              </w:rPr>
              <w:t xml:space="preserve">Attestation générée avec QR ; notification au bailleur ; aucune donnée sensible exposée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qu'agent recenseur, je veux créer un objet non enregistré hors ligne</w:t>
            </w:r>
          </w:p>
        </w:tc>
        <w:tc>
          <w:tcPr>
            <w:tcW w:type="dxa" w:w="5616"/>
            <w:tcMar>
              <w:top w:type="dxa" w:w="60"/>
              <w:left w:type="dxa" w:w="90"/>
              <w:bottom w:type="dxa" w:w="60"/>
              <w:right w:type="dxa" w:w="90"/>
            </w:tcMar>
          </w:tcPr>
          <w:p>
            <w:pPr>
              <w:spacing w:after="20" w:line="240"/>
            </w:pPr>
            <w:r>
              <w:rPr>
                <w:b w:val="false"/>
                <w:bCs w:val="false"/>
                <w:sz w:val="18"/>
                <w:szCs w:val="18"/>
              </w:rPr>
              <w:t xml:space="preserve">Objet provisoire avec GPS, photo, catégorie ; aucun effet fiscal avant qualification ; synchronisation sans perte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contrôleur, je veux vérifier une plaque et connaître la situation</w:t>
            </w:r>
          </w:p>
        </w:tc>
        <w:tc>
          <w:tcPr>
            <w:tcW w:type="dxa" w:w="5616"/>
            <w:tcMar>
              <w:top w:type="dxa" w:w="60"/>
              <w:left w:type="dxa" w:w="90"/>
              <w:bottom w:type="dxa" w:w="60"/>
              <w:right w:type="dxa" w:w="90"/>
            </w:tcMar>
          </w:tcPr>
          <w:p>
            <w:pPr>
              <w:spacing w:after="20" w:line="240"/>
            </w:pPr>
            <w:r>
              <w:rPr>
                <w:b w:val="false"/>
                <w:bCs w:val="false"/>
                <w:sz w:val="18"/>
                <w:szCs w:val="18"/>
              </w:rPr>
              <w:t xml:space="preserve">Réponse en moins de 3 secondes en ligne ; statut minimal hors ligne ; journalisation de la consultation</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juriste, je veux publier une règle après validation</w:t>
            </w:r>
          </w:p>
        </w:tc>
        <w:tc>
          <w:tcPr>
            <w:tcW w:type="dxa" w:w="5616"/>
            <w:tcMar>
              <w:top w:type="dxa" w:w="60"/>
              <w:left w:type="dxa" w:w="90"/>
              <w:bottom w:type="dxa" w:w="60"/>
              <w:right w:type="dxa" w:w="90"/>
            </w:tcMar>
          </w:tcPr>
          <w:p>
            <w:pPr>
              <w:spacing w:after="20" w:line="240"/>
            </w:pPr>
            <w:r>
              <w:rPr>
                <w:b w:val="false"/>
                <w:bCs w:val="false"/>
                <w:sz w:val="18"/>
                <w:szCs w:val="18"/>
              </w:rPr>
              <w:t xml:space="preserve">Impossible de créer, valider et publier par la même personne ; version et dates obligatoires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comptable public, je veux rapprocher les règlements du jour</w:t>
            </w:r>
          </w:p>
        </w:tc>
        <w:tc>
          <w:tcPr>
            <w:tcW w:type="dxa" w:w="5616"/>
            <w:tcMar>
              <w:top w:type="dxa" w:w="60"/>
              <w:left w:type="dxa" w:w="90"/>
              <w:bottom w:type="dxa" w:w="60"/>
              <w:right w:type="dxa" w:w="90"/>
            </w:tcMar>
          </w:tcPr>
          <w:p>
            <w:pPr>
              <w:spacing w:after="20" w:line="240"/>
            </w:pPr>
            <w:r>
              <w:rPr>
                <w:b w:val="false"/>
                <w:bCs w:val="false"/>
                <w:sz w:val="18"/>
                <w:szCs w:val="18"/>
              </w:rPr>
              <w:t xml:space="preserve">Import de relevé ; appariement automatique ; file d'exception ; aucune modification silencieuse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Gouverneur, je veux voir l'écart entre assignation et rapproché par commune</w:t>
            </w:r>
          </w:p>
        </w:tc>
        <w:tc>
          <w:tcPr>
            <w:tcW w:type="dxa" w:w="5616"/>
            <w:tcMar>
              <w:top w:type="dxa" w:w="60"/>
              <w:left w:type="dxa" w:w="90"/>
              <w:bottom w:type="dxa" w:w="60"/>
              <w:right w:type="dxa" w:w="90"/>
            </w:tcMar>
          </w:tcPr>
          <w:p>
            <w:pPr>
              <w:spacing w:after="20" w:line="240"/>
            </w:pPr>
            <w:r>
              <w:rPr>
                <w:b w:val="false"/>
                <w:bCs w:val="false"/>
                <w:sz w:val="18"/>
                <w:szCs w:val="18"/>
              </w:rPr>
              <w:t xml:space="preserve">Carte et tableau ; distinction des six états ; exportation signée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qu'auditeur, je veux reconstituer une chaîne complète pour un objet</w:t>
            </w:r>
          </w:p>
        </w:tc>
        <w:tc>
          <w:tcPr>
            <w:tcW w:type="dxa" w:w="5616"/>
            <w:tcMar>
              <w:top w:type="dxa" w:w="60"/>
              <w:left w:type="dxa" w:w="90"/>
              <w:bottom w:type="dxa" w:w="60"/>
              <w:right w:type="dxa" w:w="90"/>
            </w:tcMar>
          </w:tcPr>
          <w:p>
            <w:pPr>
              <w:spacing w:after="20" w:line="240"/>
            </w:pPr>
            <w:r>
              <w:rPr>
                <w:b w:val="false"/>
                <w:bCs w:val="false"/>
                <w:sz w:val="18"/>
                <w:szCs w:val="18"/>
              </w:rPr>
              <w:t xml:space="preserve">De la création de l'objet à la comptabilisation, avec acteurs, horodatages et preuves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En tant que contribuable, je veux contester une donnée erronée</w:t>
            </w:r>
          </w:p>
        </w:tc>
        <w:tc>
          <w:tcPr>
            <w:tcW w:type="dxa" w:w="5616"/>
            <w:tcMar>
              <w:top w:type="dxa" w:w="60"/>
              <w:left w:type="dxa" w:w="90"/>
              <w:bottom w:type="dxa" w:w="60"/>
              <w:right w:type="dxa" w:w="90"/>
            </w:tcMar>
          </w:tcPr>
          <w:p>
            <w:pPr>
              <w:spacing w:after="20" w:line="240"/>
            </w:pPr>
            <w:r>
              <w:rPr>
                <w:b w:val="false"/>
                <w:bCs w:val="false"/>
                <w:sz w:val="18"/>
                <w:szCs w:val="18"/>
              </w:rPr>
              <w:t xml:space="preserve">Formulaire typé ; accusé horodaté ; suivi du délai légal ; décision motivée</w:t>
            </w:r>
          </w:p>
        </w:tc>
      </w:tr>
    </w:tbl>
    <w:p>
      <w:pPr>
        <w:pStyle w:val="Heading1"/>
        <w:spacing w:after="160" w:before="360"/>
      </w:pPr>
      <w:r>
        <w:t xml:space="preserve">44. Plan de livraison par versions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685"/>
        <w:gridCol w:w="4867"/>
        <w:gridCol w:w="2808"/>
      </w:tblGrid>
      <w:tr>
        <w:trPr>
          <w:tblHeader/>
        </w:trPr>
        <w:tc>
          <w:tcPr>
            <w:tcW w:type="dxa" w:w="1685"/>
            <w:shd w:fill="E6F4F1" w:color="auto" w:val="clear"/>
            <w:tcMar>
              <w:top w:type="dxa" w:w="60"/>
              <w:left w:type="dxa" w:w="90"/>
              <w:bottom w:type="dxa" w:w="60"/>
              <w:right w:type="dxa" w:w="90"/>
            </w:tcMar>
          </w:tcPr>
          <w:p>
            <w:pPr>
              <w:spacing w:after="20" w:line="240"/>
            </w:pPr>
            <w:r>
              <w:rPr>
                <w:b/>
                <w:bCs/>
                <w:sz w:val="18"/>
                <w:szCs w:val="18"/>
              </w:rPr>
              <w:t xml:space="preserve">Version</w:t>
            </w:r>
          </w:p>
        </w:tc>
        <w:tc>
          <w:tcPr>
            <w:tcW w:type="dxa" w:w="4867"/>
            <w:shd w:fill="E6F4F1" w:color="auto" w:val="clear"/>
            <w:tcMar>
              <w:top w:type="dxa" w:w="60"/>
              <w:left w:type="dxa" w:w="90"/>
              <w:bottom w:type="dxa" w:w="60"/>
              <w:right w:type="dxa" w:w="90"/>
            </w:tcMar>
          </w:tcPr>
          <w:p>
            <w:pPr>
              <w:spacing w:after="20" w:line="240"/>
            </w:pPr>
            <w:r>
              <w:rPr>
                <w:b/>
                <w:bCs/>
                <w:sz w:val="18"/>
                <w:szCs w:val="18"/>
              </w:rPr>
              <w:t xml:space="preserve">Contenu</w:t>
            </w:r>
          </w:p>
        </w:tc>
        <w:tc>
          <w:tcPr>
            <w:tcW w:type="dxa" w:w="2808"/>
            <w:shd w:fill="E6F4F1" w:color="auto" w:val="clear"/>
            <w:tcMar>
              <w:top w:type="dxa" w:w="60"/>
              <w:left w:type="dxa" w:w="90"/>
              <w:bottom w:type="dxa" w:w="60"/>
              <w:right w:type="dxa" w:w="90"/>
            </w:tcMar>
          </w:tcPr>
          <w:p>
            <w:pPr>
              <w:spacing w:after="20" w:line="240"/>
            </w:pPr>
            <w:r>
              <w:rPr>
                <w:b/>
                <w:bCs/>
                <w:sz w:val="18"/>
                <w:szCs w:val="18"/>
              </w:rPr>
              <w:t xml:space="preserve">Public</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V0.1 socle interne</w:t>
            </w:r>
          </w:p>
        </w:tc>
        <w:tc>
          <w:tcPr>
            <w:tcW w:type="dxa" w:w="4867"/>
            <w:tcMar>
              <w:top w:type="dxa" w:w="60"/>
              <w:left w:type="dxa" w:w="90"/>
              <w:bottom w:type="dxa" w:w="60"/>
              <w:right w:type="dxa" w:w="90"/>
            </w:tcMar>
          </w:tcPr>
          <w:p>
            <w:pPr>
              <w:spacing w:after="20" w:line="240"/>
            </w:pPr>
            <w:r>
              <w:rPr>
                <w:b w:val="false"/>
                <w:bCs w:val="false"/>
                <w:sz w:val="18"/>
                <w:szCs w:val="18"/>
              </w:rPr>
              <w:t xml:space="preserve">Identité, objets, référentiel, audit</w:t>
            </w:r>
          </w:p>
        </w:tc>
        <w:tc>
          <w:tcPr>
            <w:tcW w:type="dxa" w:w="2808"/>
            <w:tcMar>
              <w:top w:type="dxa" w:w="60"/>
              <w:left w:type="dxa" w:w="90"/>
              <w:bottom w:type="dxa" w:w="60"/>
              <w:right w:type="dxa" w:w="90"/>
            </w:tcMar>
          </w:tcPr>
          <w:p>
            <w:pPr>
              <w:spacing w:after="20" w:line="240"/>
            </w:pPr>
            <w:r>
              <w:rPr>
                <w:b w:val="false"/>
                <w:bCs w:val="false"/>
                <w:sz w:val="18"/>
                <w:szCs w:val="18"/>
              </w:rPr>
              <w:t xml:space="preserve">Équipes internes</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V0.5 pilote restreint</w:t>
            </w:r>
          </w:p>
        </w:tc>
        <w:tc>
          <w:tcPr>
            <w:tcW w:type="dxa" w:w="4867"/>
            <w:tcMar>
              <w:top w:type="dxa" w:w="60"/>
              <w:left w:type="dxa" w:w="90"/>
              <w:bottom w:type="dxa" w:w="60"/>
              <w:right w:type="dxa" w:w="90"/>
            </w:tcMar>
          </w:tcPr>
          <w:p>
            <w:pPr>
              <w:spacing w:after="20" w:line="240"/>
            </w:pPr>
            <w:r>
              <w:rPr>
                <w:b w:val="false"/>
                <w:bCs w:val="false"/>
                <w:sz w:val="18"/>
                <w:szCs w:val="18"/>
              </w:rPr>
              <w:t xml:space="preserve">Déclaration, liquidation, paiement mobile, quittance, application terrain</w:t>
            </w:r>
          </w:p>
        </w:tc>
        <w:tc>
          <w:tcPr>
            <w:tcW w:type="dxa" w:w="2808"/>
            <w:tcMar>
              <w:top w:type="dxa" w:w="60"/>
              <w:left w:type="dxa" w:w="90"/>
              <w:bottom w:type="dxa" w:w="60"/>
              <w:right w:type="dxa" w:w="90"/>
            </w:tcMar>
          </w:tcPr>
          <w:p>
            <w:pPr>
              <w:spacing w:after="20" w:line="240"/>
            </w:pPr>
            <w:r>
              <w:rPr>
                <w:b w:val="false"/>
                <w:bCs w:val="false"/>
                <w:sz w:val="18"/>
                <w:szCs w:val="18"/>
              </w:rPr>
              <w:t xml:space="preserve">Une commune pilote</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V1.0 pilote complet</w:t>
            </w:r>
          </w:p>
        </w:tc>
        <w:tc>
          <w:tcPr>
            <w:tcW w:type="dxa" w:w="4867"/>
            <w:tcMar>
              <w:top w:type="dxa" w:w="60"/>
              <w:left w:type="dxa" w:w="90"/>
              <w:bottom w:type="dxa" w:w="60"/>
              <w:right w:type="dxa" w:w="90"/>
            </w:tcMar>
          </w:tcPr>
          <w:p>
            <w:pPr>
              <w:spacing w:after="20" w:line="240"/>
            </w:pPr>
            <w:r>
              <w:rPr>
                <w:b w:val="false"/>
                <w:bCs w:val="false"/>
                <w:sz w:val="18"/>
                <w:szCs w:val="18"/>
              </w:rPr>
              <w:t xml:space="preserve">Quatre communes, tableaux de bord, rapprochement, recours</w:t>
            </w:r>
          </w:p>
        </w:tc>
        <w:tc>
          <w:tcPr>
            <w:tcW w:type="dxa" w:w="2808"/>
            <w:tcMar>
              <w:top w:type="dxa" w:w="60"/>
              <w:left w:type="dxa" w:w="90"/>
              <w:bottom w:type="dxa" w:w="60"/>
              <w:right w:type="dxa" w:w="90"/>
            </w:tcMar>
          </w:tcPr>
          <w:p>
            <w:pPr>
              <w:spacing w:after="20" w:line="240"/>
            </w:pPr>
            <w:r>
              <w:rPr>
                <w:b w:val="false"/>
                <w:bCs w:val="false"/>
                <w:sz w:val="18"/>
                <w:szCs w:val="18"/>
              </w:rPr>
              <w:t xml:space="preserve">Régies et Gouvernement provincial</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V1.5 campagne</w:t>
            </w:r>
          </w:p>
        </w:tc>
        <w:tc>
          <w:tcPr>
            <w:tcW w:type="dxa" w:w="4867"/>
            <w:tcMar>
              <w:top w:type="dxa" w:w="60"/>
              <w:left w:type="dxa" w:w="90"/>
              <w:bottom w:type="dxa" w:w="60"/>
              <w:right w:type="dxa" w:w="90"/>
            </w:tcMar>
          </w:tcPr>
          <w:p>
            <w:pPr>
              <w:spacing w:after="20" w:line="240"/>
            </w:pPr>
            <w:r>
              <w:rPr>
                <w:b w:val="false"/>
                <w:bCs w:val="false"/>
                <w:sz w:val="18"/>
                <w:szCs w:val="18"/>
              </w:rPr>
              <w:t xml:space="preserve">Déclarations pré-remplies, relances, quitus numérique</w:t>
            </w:r>
          </w:p>
        </w:tc>
        <w:tc>
          <w:tcPr>
            <w:tcW w:type="dxa" w:w="2808"/>
            <w:tcMar>
              <w:top w:type="dxa" w:w="60"/>
              <w:left w:type="dxa" w:w="90"/>
              <w:bottom w:type="dxa" w:w="60"/>
              <w:right w:type="dxa" w:w="90"/>
            </w:tcMar>
          </w:tcPr>
          <w:p>
            <w:pPr>
              <w:spacing w:after="20" w:line="240"/>
            </w:pPr>
            <w:r>
              <w:rPr>
                <w:b w:val="false"/>
                <w:bCs w:val="false"/>
                <w:sz w:val="18"/>
                <w:szCs w:val="18"/>
              </w:rPr>
              <w:t xml:space="preserve">Contribuables des communes pilotes</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V2.0 extension</w:t>
            </w:r>
          </w:p>
        </w:tc>
        <w:tc>
          <w:tcPr>
            <w:tcW w:type="dxa" w:w="4867"/>
            <w:tcMar>
              <w:top w:type="dxa" w:w="60"/>
              <w:left w:type="dxa" w:w="90"/>
              <w:bottom w:type="dxa" w:w="60"/>
              <w:right w:type="dxa" w:w="90"/>
            </w:tcMar>
          </w:tcPr>
          <w:p>
            <w:pPr>
              <w:spacing w:after="20" w:line="240"/>
            </w:pPr>
            <w:r>
              <w:rPr>
                <w:b w:val="false"/>
                <w:bCs w:val="false"/>
                <w:sz w:val="18"/>
                <w:szCs w:val="18"/>
              </w:rPr>
              <w:t xml:space="preserve">Nouvelles communes, grands redevables, publicité, antennes, domaine public</w:t>
            </w:r>
          </w:p>
        </w:tc>
        <w:tc>
          <w:tcPr>
            <w:tcW w:type="dxa" w:w="2808"/>
            <w:tcMar>
              <w:top w:type="dxa" w:w="60"/>
              <w:left w:type="dxa" w:w="90"/>
              <w:bottom w:type="dxa" w:w="60"/>
              <w:right w:type="dxa" w:w="90"/>
            </w:tcMar>
          </w:tcPr>
          <w:p>
            <w:pPr>
              <w:spacing w:after="20" w:line="240"/>
            </w:pPr>
            <w:r>
              <w:rPr>
                <w:b w:val="false"/>
                <w:bCs w:val="false"/>
                <w:sz w:val="18"/>
                <w:szCs w:val="18"/>
              </w:rPr>
              <w:t xml:space="preserve">Ville</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V2.5 intelligence</w:t>
            </w:r>
          </w:p>
        </w:tc>
        <w:tc>
          <w:tcPr>
            <w:tcW w:type="dxa" w:w="4867"/>
            <w:tcMar>
              <w:top w:type="dxa" w:w="60"/>
              <w:left w:type="dxa" w:w="90"/>
              <w:bottom w:type="dxa" w:w="60"/>
              <w:right w:type="dxa" w:w="90"/>
            </w:tcMar>
          </w:tcPr>
          <w:p>
            <w:pPr>
              <w:spacing w:after="20" w:line="240"/>
            </w:pPr>
            <w:r>
              <w:rPr>
                <w:b w:val="false"/>
                <w:bCs w:val="false"/>
                <w:sz w:val="18"/>
                <w:szCs w:val="18"/>
              </w:rPr>
              <w:t xml:space="preserve">Agents IA de priorisation, prévision, détection de fraude</w:t>
            </w:r>
          </w:p>
        </w:tc>
        <w:tc>
          <w:tcPr>
            <w:tcW w:type="dxa" w:w="2808"/>
            <w:tcMar>
              <w:top w:type="dxa" w:w="60"/>
              <w:left w:type="dxa" w:w="90"/>
              <w:bottom w:type="dxa" w:w="60"/>
              <w:right w:type="dxa" w:w="90"/>
            </w:tcMar>
          </w:tcPr>
          <w:p>
            <w:pPr>
              <w:spacing w:after="20" w:line="240"/>
            </w:pPr>
            <w:r>
              <w:rPr>
                <w:b w:val="false"/>
                <w:bCs w:val="false"/>
                <w:sz w:val="18"/>
                <w:szCs w:val="18"/>
              </w:rPr>
              <w:t xml:space="preserve">Régies et audit</w:t>
            </w:r>
          </w:p>
        </w:tc>
      </w:tr>
      <w:tr>
        <w:trPr>
          <w:tblHeader w:val="false"/>
        </w:trPr>
        <w:tc>
          <w:tcPr>
            <w:tcW w:type="dxa" w:w="1685"/>
            <w:tcMar>
              <w:top w:type="dxa" w:w="60"/>
              <w:left w:type="dxa" w:w="90"/>
              <w:bottom w:type="dxa" w:w="60"/>
              <w:right w:type="dxa" w:w="90"/>
            </w:tcMar>
          </w:tcPr>
          <w:p>
            <w:pPr>
              <w:spacing w:after="20" w:line="240"/>
            </w:pPr>
            <w:r>
              <w:rPr>
                <w:b w:val="false"/>
                <w:bCs w:val="false"/>
                <w:sz w:val="18"/>
                <w:szCs w:val="18"/>
              </w:rPr>
              <w:t xml:space="preserve">V3.0 généralisation</w:t>
            </w:r>
          </w:p>
        </w:tc>
        <w:tc>
          <w:tcPr>
            <w:tcW w:type="dxa" w:w="4867"/>
            <w:tcMar>
              <w:top w:type="dxa" w:w="60"/>
              <w:left w:type="dxa" w:w="90"/>
              <w:bottom w:type="dxa" w:w="60"/>
              <w:right w:type="dxa" w:w="90"/>
            </w:tcMar>
          </w:tcPr>
          <w:p>
            <w:pPr>
              <w:spacing w:after="20" w:line="240"/>
            </w:pPr>
            <w:r>
              <w:rPr>
                <w:b w:val="false"/>
                <w:bCs w:val="false"/>
                <w:sz w:val="18"/>
                <w:szCs w:val="18"/>
              </w:rPr>
              <w:t xml:space="preserve">24 communes, affectation et transparence publique</w:t>
            </w:r>
          </w:p>
        </w:tc>
        <w:tc>
          <w:tcPr>
            <w:tcW w:type="dxa" w:w="2808"/>
            <w:tcMar>
              <w:top w:type="dxa" w:w="60"/>
              <w:left w:type="dxa" w:w="90"/>
              <w:bottom w:type="dxa" w:w="60"/>
              <w:right w:type="dxa" w:w="90"/>
            </w:tcMar>
          </w:tcPr>
          <w:p>
            <w:pPr>
              <w:spacing w:after="20" w:line="240"/>
            </w:pPr>
            <w:r>
              <w:rPr>
                <w:b w:val="false"/>
                <w:bCs w:val="false"/>
                <w:sz w:val="18"/>
                <w:szCs w:val="18"/>
              </w:rPr>
              <w:t xml:space="preserve">Ville et public</w:t>
            </w:r>
          </w:p>
        </w:tc>
      </w:tr>
    </w:tbl>
    <w:p>
      <w:pPr>
        <w:pStyle w:val="Heading1"/>
        <w:spacing w:after="160" w:before="360"/>
      </w:pPr>
      <w:r>
        <w:t xml:space="preserve">45. Stratégie de tests</w:t>
      </w:r>
    </w:p>
    <w:p>
      <w:pPr>
        <w:pStyle w:val="ListItem"/>
        <w:numPr>
          <w:ilvl w:val="0"/>
          <w:numId w:val="1"/>
        </w:numPr>
        <w:spacing w:after="60" w:line="264"/>
      </w:pPr>
      <w:r>
        <w:t xml:space="preserve">Tests unitaires et d'intégration sur le moteur de règles, avec jeux de cas juridiques validés par les juristes provinciaux.</w:t>
      </w:r>
    </w:p>
    <w:p>
      <w:pPr>
        <w:pStyle w:val="ListItem"/>
        <w:numPr>
          <w:ilvl w:val="0"/>
          <w:numId w:val="1"/>
        </w:numPr>
        <w:spacing w:after="60" w:line="264"/>
      </w:pPr>
      <w:r>
        <w:t xml:space="preserve">Tests de liquidation comparés à des dossiers réels anonymisés des campagnes précédentes.</w:t>
      </w:r>
    </w:p>
    <w:p>
      <w:pPr>
        <w:pStyle w:val="ListItem"/>
        <w:numPr>
          <w:ilvl w:val="0"/>
          <w:numId w:val="1"/>
        </w:numPr>
        <w:spacing w:after="60" w:line="264"/>
      </w:pPr>
      <w:r>
        <w:t xml:space="preserve">Tests de bout en bout du paiement avec chaque prestataire, en environnement de recette, y compris scénarios d'échec, de doublon et de rappel frauduleux.</w:t>
      </w:r>
    </w:p>
    <w:p>
      <w:pPr>
        <w:pStyle w:val="ListItem"/>
        <w:numPr>
          <w:ilvl w:val="0"/>
          <w:numId w:val="1"/>
        </w:numPr>
        <w:spacing w:after="60" w:line="264"/>
      </w:pPr>
      <w:r>
        <w:t xml:space="preserve">Tests de charge calés sur les pics de campagne de fin janvier.</w:t>
      </w:r>
    </w:p>
    <w:p>
      <w:pPr>
        <w:pStyle w:val="ListItem"/>
        <w:numPr>
          <w:ilvl w:val="0"/>
          <w:numId w:val="1"/>
        </w:numPr>
        <w:spacing w:after="60" w:line="264"/>
      </w:pPr>
      <w:r>
        <w:t xml:space="preserve">Tests hors ligne : journée complète sans réseau, perte d'appareil, conflit de synchronisation.</w:t>
      </w:r>
    </w:p>
    <w:p>
      <w:pPr>
        <w:pStyle w:val="ListItem"/>
        <w:numPr>
          <w:ilvl w:val="0"/>
          <w:numId w:val="1"/>
        </w:numPr>
        <w:spacing w:after="60" w:line="264"/>
      </w:pPr>
      <w:r>
        <w:t xml:space="preserve">Tests de sécurité : intrusion externe, élévation de privilèges, tentative d'altération du journal d'audit, exfiltration massive.</w:t>
      </w:r>
    </w:p>
    <w:p>
      <w:pPr>
        <w:pStyle w:val="ListItem"/>
        <w:numPr>
          <w:ilvl w:val="0"/>
          <w:numId w:val="1"/>
        </w:numPr>
        <w:spacing w:after="60" w:line="264"/>
      </w:pPr>
      <w:r>
        <w:t xml:space="preserve">Tests d'accessibilité et d'usage sur terminaux d'entrée de gamme et connexions lentes.</w:t>
      </w:r>
    </w:p>
    <w:p>
      <w:pPr>
        <w:pStyle w:val="ListItem"/>
        <w:numPr>
          <w:ilvl w:val="0"/>
          <w:numId w:val="1"/>
        </w:numPr>
        <w:spacing w:after="60" w:line="264"/>
      </w:pPr>
      <w:r>
        <w:t xml:space="preserve">Recette utilisateur avec agents réels dans une commune, avant toute mise en production.</w:t>
      </w:r>
    </w:p>
    <w:p>
      <w:pPr>
        <w:pStyle w:val="ListItem"/>
        <w:numPr>
          <w:ilvl w:val="0"/>
          <w:numId w:val="1"/>
        </w:numPr>
        <w:spacing w:after="60" w:line="264"/>
      </w:pPr>
      <w:r>
        <w:t xml:space="preserve">Répétition de la reprise après sinistre avec restauration complète et vérification d'intégrité.</w:t>
      </w:r>
    </w:p>
    <w:p>
      <w:pPr>
        <w:pStyle w:val="Heading1"/>
        <w:spacing w:after="160" w:before="360"/>
      </w:pPr>
      <w:r>
        <w:t xml:space="preserve">46. Plan de pilote de 180 jours</w:t>
      </w:r>
    </w:p>
    <w:p>
      <w:pPr>
        <w:pStyle w:val="Heading2"/>
        <w:spacing w:after="120" w:before="260"/>
      </w:pPr>
      <w:r>
        <w:t xml:space="preserve">46.1 Communes proposées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498"/>
        <w:gridCol w:w="4306"/>
        <w:gridCol w:w="3557"/>
      </w:tblGrid>
      <w:tr>
        <w:trPr>
          <w:tblHeader/>
        </w:trPr>
        <w:tc>
          <w:tcPr>
            <w:tcW w:type="dxa" w:w="1498"/>
            <w:shd w:fill="E6F4F1" w:color="auto" w:val="clear"/>
            <w:tcMar>
              <w:top w:type="dxa" w:w="60"/>
              <w:left w:type="dxa" w:w="90"/>
              <w:bottom w:type="dxa" w:w="60"/>
              <w:right w:type="dxa" w:w="90"/>
            </w:tcMar>
          </w:tcPr>
          <w:p>
            <w:pPr>
              <w:spacing w:after="20" w:line="240"/>
            </w:pPr>
            <w:r>
              <w:rPr>
                <w:b/>
                <w:bCs/>
                <w:sz w:val="18"/>
                <w:szCs w:val="18"/>
              </w:rPr>
              <w:t xml:space="preserve">Commune</w:t>
            </w:r>
          </w:p>
        </w:tc>
        <w:tc>
          <w:tcPr>
            <w:tcW w:type="dxa" w:w="4306"/>
            <w:shd w:fill="E6F4F1" w:color="auto" w:val="clear"/>
            <w:tcMar>
              <w:top w:type="dxa" w:w="60"/>
              <w:left w:type="dxa" w:w="90"/>
              <w:bottom w:type="dxa" w:w="60"/>
              <w:right w:type="dxa" w:w="90"/>
            </w:tcMar>
          </w:tcPr>
          <w:p>
            <w:pPr>
              <w:spacing w:after="20" w:line="240"/>
            </w:pPr>
            <w:r>
              <w:rPr>
                <w:b/>
                <w:bCs/>
                <w:sz w:val="18"/>
                <w:szCs w:val="18"/>
              </w:rPr>
              <w:t xml:space="preserve">Raison du choix</w:t>
            </w:r>
          </w:p>
        </w:tc>
        <w:tc>
          <w:tcPr>
            <w:tcW w:type="dxa" w:w="3557"/>
            <w:shd w:fill="E6F4F1" w:color="auto" w:val="clear"/>
            <w:tcMar>
              <w:top w:type="dxa" w:w="60"/>
              <w:left w:type="dxa" w:w="90"/>
              <w:bottom w:type="dxa" w:w="60"/>
              <w:right w:type="dxa" w:w="90"/>
            </w:tcMar>
          </w:tcPr>
          <w:p>
            <w:pPr>
              <w:spacing w:after="20" w:line="240"/>
            </w:pPr>
            <w:r>
              <w:rPr>
                <w:b/>
                <w:bCs/>
                <w:sz w:val="18"/>
                <w:szCs w:val="18"/>
              </w:rPr>
              <w:t xml:space="preserve">Objets prioritaires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Gombe</w:t>
            </w:r>
          </w:p>
        </w:tc>
        <w:tc>
          <w:tcPr>
            <w:tcW w:type="dxa" w:w="4306"/>
            <w:tcMar>
              <w:top w:type="dxa" w:w="60"/>
              <w:left w:type="dxa" w:w="90"/>
              <w:bottom w:type="dxa" w:w="60"/>
              <w:right w:type="dxa" w:w="90"/>
            </w:tcMar>
          </w:tcPr>
          <w:p>
            <w:pPr>
              <w:spacing w:after="20" w:line="240"/>
            </w:pPr>
            <w:r>
              <w:rPr>
                <w:b w:val="false"/>
                <w:bCs w:val="false"/>
                <w:sz w:val="18"/>
                <w:szCs w:val="18"/>
              </w:rPr>
              <w:t xml:space="preserve">Localité de premier rang, bureaux, forte valeur locative, publicité, point fluvial</w:t>
            </w:r>
          </w:p>
        </w:tc>
        <w:tc>
          <w:tcPr>
            <w:tcW w:type="dxa" w:w="3557"/>
            <w:tcMar>
              <w:top w:type="dxa" w:w="60"/>
              <w:left w:type="dxa" w:w="90"/>
              <w:bottom w:type="dxa" w:w="60"/>
              <w:right w:type="dxa" w:w="90"/>
            </w:tcMar>
          </w:tcPr>
          <w:p>
            <w:pPr>
              <w:spacing w:after="20" w:line="240"/>
            </w:pPr>
            <w:r>
              <w:rPr>
                <w:b w:val="false"/>
                <w:bCs w:val="false"/>
                <w:sz w:val="18"/>
                <w:szCs w:val="18"/>
              </w:rPr>
              <w:t xml:space="preserve">IRL, IF, publicité, embarquement</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Limete</w:t>
            </w:r>
          </w:p>
        </w:tc>
        <w:tc>
          <w:tcPr>
            <w:tcW w:type="dxa" w:w="4306"/>
            <w:tcMar>
              <w:top w:type="dxa" w:w="60"/>
              <w:left w:type="dxa" w:w="90"/>
              <w:bottom w:type="dxa" w:w="60"/>
              <w:right w:type="dxa" w:w="90"/>
            </w:tcMar>
          </w:tcPr>
          <w:p>
            <w:pPr>
              <w:spacing w:after="20" w:line="240"/>
            </w:pPr>
            <w:r>
              <w:rPr>
                <w:b w:val="false"/>
                <w:bCs w:val="false"/>
                <w:sz w:val="18"/>
                <w:szCs w:val="18"/>
              </w:rPr>
              <w:t xml:space="preserve">Tissu industriel et logistique, entrepôts, poids lourds</w:t>
            </w:r>
          </w:p>
        </w:tc>
        <w:tc>
          <w:tcPr>
            <w:tcW w:type="dxa" w:w="3557"/>
            <w:tcMar>
              <w:top w:type="dxa" w:w="60"/>
              <w:left w:type="dxa" w:w="90"/>
              <w:bottom w:type="dxa" w:w="60"/>
              <w:right w:type="dxa" w:w="90"/>
            </w:tcMar>
          </w:tcPr>
          <w:p>
            <w:pPr>
              <w:spacing w:after="20" w:line="240"/>
            </w:pPr>
            <w:r>
              <w:rPr>
                <w:b w:val="false"/>
                <w:bCs w:val="false"/>
                <w:sz w:val="18"/>
                <w:szCs w:val="18"/>
              </w:rPr>
              <w:t xml:space="preserve">IF, patente, véhicules, domaine public</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Kalamu</w:t>
            </w:r>
          </w:p>
        </w:tc>
        <w:tc>
          <w:tcPr>
            <w:tcW w:type="dxa" w:w="4306"/>
            <w:tcMar>
              <w:top w:type="dxa" w:w="60"/>
              <w:left w:type="dxa" w:w="90"/>
              <w:bottom w:type="dxa" w:w="60"/>
              <w:right w:type="dxa" w:w="90"/>
            </w:tcMar>
          </w:tcPr>
          <w:p>
            <w:pPr>
              <w:spacing w:after="20" w:line="240"/>
            </w:pPr>
            <w:r>
              <w:rPr>
                <w:b w:val="false"/>
                <w:bCs w:val="false"/>
                <w:sz w:val="18"/>
                <w:szCs w:val="18"/>
              </w:rPr>
              <w:t xml:space="preserve">Commerce dense de Matonge, habitat locatif compact</w:t>
            </w:r>
          </w:p>
        </w:tc>
        <w:tc>
          <w:tcPr>
            <w:tcW w:type="dxa" w:w="3557"/>
            <w:tcMar>
              <w:top w:type="dxa" w:w="60"/>
              <w:left w:type="dxa" w:w="90"/>
              <w:bottom w:type="dxa" w:w="60"/>
              <w:right w:type="dxa" w:w="90"/>
            </w:tcMar>
          </w:tcPr>
          <w:p>
            <w:pPr>
              <w:spacing w:after="20" w:line="240"/>
            </w:pPr>
            <w:r>
              <w:rPr>
                <w:b w:val="false"/>
                <w:bCs w:val="false"/>
                <w:sz w:val="18"/>
                <w:szCs w:val="18"/>
              </w:rPr>
              <w:t xml:space="preserve">IRL, patente, débits de boissons</w:t>
            </w:r>
          </w:p>
        </w:tc>
      </w:tr>
      <w:tr>
        <w:trPr>
          <w:tblHeader w:val="false"/>
        </w:trPr>
        <w:tc>
          <w:tcPr>
            <w:tcW w:type="dxa" w:w="1498"/>
            <w:tcMar>
              <w:top w:type="dxa" w:w="60"/>
              <w:left w:type="dxa" w:w="90"/>
              <w:bottom w:type="dxa" w:w="60"/>
              <w:right w:type="dxa" w:w="90"/>
            </w:tcMar>
          </w:tcPr>
          <w:p>
            <w:pPr>
              <w:spacing w:after="20" w:line="240"/>
            </w:pPr>
            <w:r>
              <w:rPr>
                <w:b w:val="false"/>
                <w:bCs w:val="false"/>
                <w:sz w:val="18"/>
                <w:szCs w:val="18"/>
              </w:rPr>
              <w:t xml:space="preserve">Ngaliema</w:t>
            </w:r>
          </w:p>
        </w:tc>
        <w:tc>
          <w:tcPr>
            <w:tcW w:type="dxa" w:w="4306"/>
            <w:tcMar>
              <w:top w:type="dxa" w:w="60"/>
              <w:left w:type="dxa" w:w="90"/>
              <w:bottom w:type="dxa" w:w="60"/>
              <w:right w:type="dxa" w:w="90"/>
            </w:tcMar>
          </w:tcPr>
          <w:p>
            <w:pPr>
              <w:spacing w:after="20" w:line="240"/>
            </w:pPr>
            <w:r>
              <w:rPr>
                <w:b w:val="false"/>
                <w:bCs w:val="false"/>
                <w:sz w:val="18"/>
                <w:szCs w:val="18"/>
              </w:rPr>
              <w:t xml:space="preserve">Habitat résidentiel de valeur élevée, bailleurs institutionnels</w:t>
            </w:r>
          </w:p>
        </w:tc>
        <w:tc>
          <w:tcPr>
            <w:tcW w:type="dxa" w:w="3557"/>
            <w:tcMar>
              <w:top w:type="dxa" w:w="60"/>
              <w:left w:type="dxa" w:w="90"/>
              <w:bottom w:type="dxa" w:w="60"/>
              <w:right w:type="dxa" w:w="90"/>
            </w:tcMar>
          </w:tcPr>
          <w:p>
            <w:pPr>
              <w:spacing w:after="20" w:line="240"/>
            </w:pPr>
            <w:r>
              <w:rPr>
                <w:b w:val="false"/>
                <w:bCs w:val="false"/>
                <w:sz w:val="18"/>
                <w:szCs w:val="18"/>
              </w:rPr>
              <w:t xml:space="preserve">IRL, IF</w:t>
            </w:r>
          </w:p>
        </w:tc>
      </w:tr>
    </w:tbl>
    <w:p>
      <w:pPr>
        <w:pStyle w:val="Heading2"/>
        <w:spacing w:after="120" w:before="260"/>
      </w:pPr>
      <w:r>
        <w:t xml:space="preserve">46.2 Séquence</w:t>
      </w:r>
    </w:p>
    <w:p>
      <w:pPr>
        <w:spacing w:after="60" w:line="264"/>
        <w:ind w:left="360" w:hanging="260"/>
      </w:pPr>
      <w:r>
        <w:rPr>
          <w:b/>
          <w:bCs/>
          <w:sz w:val="21"/>
          <w:szCs w:val="21"/>
        </w:rPr>
        <w:t xml:space="preserve">1. </w:t>
      </w:r>
      <w:r>
        <w:rPr>
          <w:sz w:val="21"/>
          <w:szCs w:val="21"/>
        </w:rPr>
        <w:t xml:space="preserve">Semaines 1 à 4 : paramétrage du référentiel des recettes pilotes, conventions de données, recrutement et certification des agents.</w:t>
      </w:r>
    </w:p>
    <w:p>
      <w:pPr>
        <w:spacing w:after="60" w:line="264"/>
        <w:ind w:left="360" w:hanging="260"/>
      </w:pPr>
      <w:r>
        <w:rPr>
          <w:b/>
          <w:bCs/>
          <w:sz w:val="21"/>
          <w:szCs w:val="21"/>
        </w:rPr>
        <w:t xml:space="preserve">2. </w:t>
      </w:r>
      <w:r>
        <w:rPr>
          <w:sz w:val="21"/>
          <w:szCs w:val="21"/>
        </w:rPr>
        <w:t xml:space="preserve">Semaines 5 à 12 : recensement locatif et commercial, création des objets, plaques QR sur les commerces et panneaux.</w:t>
      </w:r>
    </w:p>
    <w:p>
      <w:pPr>
        <w:spacing w:after="60" w:line="264"/>
        <w:ind w:left="360" w:hanging="260"/>
      </w:pPr>
      <w:r>
        <w:rPr>
          <w:b/>
          <w:bCs/>
          <w:sz w:val="21"/>
          <w:szCs w:val="21"/>
        </w:rPr>
        <w:t xml:space="preserve">3. </w:t>
      </w:r>
      <w:r>
        <w:rPr>
          <w:sz w:val="21"/>
          <w:szCs w:val="21"/>
        </w:rPr>
        <w:t xml:space="preserve">Semaines 13 à 16 : ouverture des paiements électroniques, quittance vérifiable, assistance en centres communaux.</w:t>
      </w:r>
    </w:p>
    <w:p>
      <w:pPr>
        <w:spacing w:after="60" w:line="264"/>
        <w:ind w:left="360" w:hanging="260"/>
      </w:pPr>
      <w:r>
        <w:rPr>
          <w:b/>
          <w:bCs/>
          <w:sz w:val="21"/>
          <w:szCs w:val="21"/>
        </w:rPr>
        <w:t xml:space="preserve">4. </w:t>
      </w:r>
      <w:r>
        <w:rPr>
          <w:sz w:val="21"/>
          <w:szCs w:val="21"/>
        </w:rPr>
        <w:t xml:space="preserve">Semaines 17 à 22 : campagne de déclaration pré-remplie calée sur l'échéance de début février, relances graduées.</w:t>
      </w:r>
    </w:p>
    <w:p>
      <w:pPr>
        <w:spacing w:after="60" w:line="264"/>
        <w:ind w:left="360" w:hanging="260"/>
      </w:pPr>
      <w:r>
        <w:rPr>
          <w:b/>
          <w:bCs/>
          <w:sz w:val="21"/>
          <w:szCs w:val="21"/>
        </w:rPr>
        <w:t xml:space="preserve">5. </w:t>
      </w:r>
      <w:r>
        <w:rPr>
          <w:sz w:val="21"/>
          <w:szCs w:val="21"/>
        </w:rPr>
        <w:t xml:space="preserve">Semaines 23 à 26 : évaluation indépendante, comparaison avec les communes non pilotes, décision d'extension.</w:t>
      </w:r>
    </w:p>
    <w:p>
      <w:pPr>
        <w:pStyle w:val="Heading2"/>
        <w:spacing w:after="120" w:before="260"/>
      </w:pPr>
      <w:r>
        <w:t xml:space="preserve">46.3 Critères de succès du pilote</w:t>
      </w:r>
    </w:p>
    <w:p>
      <w:pPr>
        <w:spacing w:after="120" w:line="276"/>
        <w:jc w:val="both"/>
      </w:pPr>
      <w:r>
        <w:rPr>
          <w:b w:val="false"/>
          <w:bCs w:val="false"/>
          <w:i w:val="false"/>
          <w:iCs w:val="false"/>
          <w:sz w:val="21"/>
          <w:szCs w:val="21"/>
        </w:rPr>
        <w:t xml:space="preserve">Couverture des objets prioritaires supérieure à 80 % dans les zones traitées ; part électronique des encaissements supérieure à 90 % sur le périmètre ; aucun encaissement d'espèces par un agent ; écart de rapprochement inférieur à 1 % ; délai moyen de quittance inférieur à une minute ; taux de contestation traité dans le délai légal supérieur à 90 % ; progression des recettes des communes pilotes significativement supérieure à celle des communes témoins.</w:t>
      </w:r>
    </w:p>
    <w:p>
      <w:pPr>
        <w:pStyle w:val="Heading1"/>
        <w:spacing w:after="160" w:before="360"/>
      </w:pPr>
      <w:r>
        <w:t xml:space="preserve">47. Plan des 100 premiers jours</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1123"/>
        <w:gridCol w:w="5990"/>
        <w:gridCol w:w="2246"/>
      </w:tblGrid>
      <w:tr>
        <w:trPr>
          <w:tblHeader/>
        </w:trPr>
        <w:tc>
          <w:tcPr>
            <w:tcW w:type="dxa" w:w="1123"/>
            <w:shd w:fill="E6F4F1" w:color="auto" w:val="clear"/>
            <w:tcMar>
              <w:top w:type="dxa" w:w="60"/>
              <w:left w:type="dxa" w:w="90"/>
              <w:bottom w:type="dxa" w:w="60"/>
              <w:right w:type="dxa" w:w="90"/>
            </w:tcMar>
          </w:tcPr>
          <w:p>
            <w:pPr>
              <w:spacing w:after="20" w:line="240"/>
            </w:pPr>
            <w:r>
              <w:rPr>
                <w:b/>
                <w:bCs/>
                <w:sz w:val="18"/>
                <w:szCs w:val="18"/>
              </w:rPr>
              <w:t xml:space="preserve">Jours</w:t>
            </w:r>
          </w:p>
        </w:tc>
        <w:tc>
          <w:tcPr>
            <w:tcW w:type="dxa" w:w="5990"/>
            <w:shd w:fill="E6F4F1" w:color="auto" w:val="clear"/>
            <w:tcMar>
              <w:top w:type="dxa" w:w="60"/>
              <w:left w:type="dxa" w:w="90"/>
              <w:bottom w:type="dxa" w:w="60"/>
              <w:right w:type="dxa" w:w="90"/>
            </w:tcMar>
          </w:tcPr>
          <w:p>
            <w:pPr>
              <w:spacing w:after="20" w:line="240"/>
            </w:pPr>
            <w:r>
              <w:rPr>
                <w:b/>
                <w:bCs/>
                <w:sz w:val="18"/>
                <w:szCs w:val="18"/>
              </w:rPr>
              <w:t xml:space="preserve">Actions</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Responsable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1 à 15</w:t>
            </w:r>
          </w:p>
        </w:tc>
        <w:tc>
          <w:tcPr>
            <w:tcW w:type="dxa" w:w="5990"/>
            <w:tcMar>
              <w:top w:type="dxa" w:w="60"/>
              <w:left w:type="dxa" w:w="90"/>
              <w:bottom w:type="dxa" w:w="60"/>
              <w:right w:type="dxa" w:w="90"/>
            </w:tcMar>
          </w:tcPr>
          <w:p>
            <w:pPr>
              <w:spacing w:after="20" w:line="240"/>
            </w:pPr>
            <w:r>
              <w:rPr>
                <w:b w:val="false"/>
                <w:bCs w:val="false"/>
                <w:sz w:val="18"/>
                <w:szCs w:val="18"/>
              </w:rPr>
              <w:t xml:space="preserve">Décision provinciale, nomination du directeur de programme et du comité de pilotage, lettre de mission</w:t>
            </w:r>
          </w:p>
        </w:tc>
        <w:tc>
          <w:tcPr>
            <w:tcW w:type="dxa" w:w="2246"/>
            <w:tcMar>
              <w:top w:type="dxa" w:w="60"/>
              <w:left w:type="dxa" w:w="90"/>
              <w:bottom w:type="dxa" w:w="60"/>
              <w:right w:type="dxa" w:w="90"/>
            </w:tcMar>
          </w:tcPr>
          <w:p>
            <w:pPr>
              <w:spacing w:after="20" w:line="240"/>
            </w:pPr>
            <w:r>
              <w:rPr>
                <w:b w:val="false"/>
                <w:bCs w:val="false"/>
                <w:sz w:val="18"/>
                <w:szCs w:val="18"/>
              </w:rPr>
              <w:t xml:space="preserve">Gouverneur et ministre provincial des Finances</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16 à 30</w:t>
            </w:r>
          </w:p>
        </w:tc>
        <w:tc>
          <w:tcPr>
            <w:tcW w:type="dxa" w:w="5990"/>
            <w:tcMar>
              <w:top w:type="dxa" w:w="60"/>
              <w:left w:type="dxa" w:w="90"/>
              <w:bottom w:type="dxa" w:w="60"/>
              <w:right w:type="dxa" w:w="90"/>
            </w:tcMar>
          </w:tcPr>
          <w:p>
            <w:pPr>
              <w:spacing w:after="20" w:line="240"/>
            </w:pPr>
            <w:r>
              <w:rPr>
                <w:b w:val="false"/>
                <w:bCs w:val="false"/>
                <w:sz w:val="18"/>
                <w:szCs w:val="18"/>
              </w:rPr>
              <w:t xml:space="preserve">Relevé juridique certifié sur la base de l'Ordonnance-loi n° 18/004 et de l'édit en vigueur ; inventaire des systèmes et bases existants ; base de référence des recettes</w:t>
            </w:r>
          </w:p>
        </w:tc>
        <w:tc>
          <w:tcPr>
            <w:tcW w:type="dxa" w:w="2246"/>
            <w:tcMar>
              <w:top w:type="dxa" w:w="60"/>
              <w:left w:type="dxa" w:w="90"/>
              <w:bottom w:type="dxa" w:w="60"/>
              <w:right w:type="dxa" w:w="90"/>
            </w:tcMar>
          </w:tcPr>
          <w:p>
            <w:pPr>
              <w:spacing w:after="20" w:line="240"/>
            </w:pPr>
            <w:r>
              <w:rPr>
                <w:b w:val="false"/>
                <w:bCs w:val="false"/>
                <w:sz w:val="18"/>
                <w:szCs w:val="18"/>
              </w:rPr>
              <w:t xml:space="preserve">Services juridiques, régies, programme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31 à 45</w:t>
            </w:r>
          </w:p>
        </w:tc>
        <w:tc>
          <w:tcPr>
            <w:tcW w:type="dxa" w:w="5990"/>
            <w:tcMar>
              <w:top w:type="dxa" w:w="60"/>
              <w:left w:type="dxa" w:w="90"/>
              <w:bottom w:type="dxa" w:w="60"/>
              <w:right w:type="dxa" w:w="90"/>
            </w:tcMar>
          </w:tcPr>
          <w:p>
            <w:pPr>
              <w:spacing w:after="20" w:line="240"/>
            </w:pPr>
            <w:r>
              <w:rPr>
                <w:b w:val="false"/>
                <w:bCs w:val="false"/>
                <w:sz w:val="18"/>
                <w:szCs w:val="18"/>
              </w:rPr>
              <w:t xml:space="preserve">Signature des protocoles de données prioritaires ; sélection des communes pilotes ; cadrage de l'architecture et de la sécurité</w:t>
            </w:r>
          </w:p>
        </w:tc>
        <w:tc>
          <w:tcPr>
            <w:tcW w:type="dxa" w:w="2246"/>
            <w:tcMar>
              <w:top w:type="dxa" w:w="60"/>
              <w:left w:type="dxa" w:w="90"/>
              <w:bottom w:type="dxa" w:w="60"/>
              <w:right w:type="dxa" w:w="90"/>
            </w:tcMar>
          </w:tcPr>
          <w:p>
            <w:pPr>
              <w:spacing w:after="20" w:line="240"/>
            </w:pPr>
            <w:r>
              <w:rPr>
                <w:b w:val="false"/>
                <w:bCs w:val="false"/>
                <w:sz w:val="18"/>
                <w:szCs w:val="18"/>
              </w:rPr>
              <w:t xml:space="preserve">Comité de pilotage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46 à 60</w:t>
            </w:r>
          </w:p>
        </w:tc>
        <w:tc>
          <w:tcPr>
            <w:tcW w:type="dxa" w:w="5990"/>
            <w:tcMar>
              <w:top w:type="dxa" w:w="60"/>
              <w:left w:type="dxa" w:w="90"/>
              <w:bottom w:type="dxa" w:w="60"/>
              <w:right w:type="dxa" w:w="90"/>
            </w:tcMar>
          </w:tcPr>
          <w:p>
            <w:pPr>
              <w:spacing w:after="20" w:line="240"/>
            </w:pPr>
            <w:r>
              <w:rPr>
                <w:b w:val="false"/>
                <w:bCs w:val="false"/>
                <w:sz w:val="18"/>
                <w:szCs w:val="18"/>
              </w:rPr>
              <w:t xml:space="preserve">Paramétrage des premières fiches de recettes ; conventions avec les prestataires de paiement ; recrutement des agents</w:t>
            </w:r>
          </w:p>
        </w:tc>
        <w:tc>
          <w:tcPr>
            <w:tcW w:type="dxa" w:w="2246"/>
            <w:tcMar>
              <w:top w:type="dxa" w:w="60"/>
              <w:left w:type="dxa" w:w="90"/>
              <w:bottom w:type="dxa" w:w="60"/>
              <w:right w:type="dxa" w:w="90"/>
            </w:tcMar>
          </w:tcPr>
          <w:p>
            <w:pPr>
              <w:spacing w:after="20" w:line="240"/>
            </w:pPr>
            <w:r>
              <w:rPr>
                <w:b w:val="false"/>
                <w:bCs w:val="false"/>
                <w:sz w:val="18"/>
                <w:szCs w:val="18"/>
              </w:rPr>
              <w:t xml:space="preserve">Programme et régies</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61 à 80</w:t>
            </w:r>
          </w:p>
        </w:tc>
        <w:tc>
          <w:tcPr>
            <w:tcW w:type="dxa" w:w="5990"/>
            <w:tcMar>
              <w:top w:type="dxa" w:w="60"/>
              <w:left w:type="dxa" w:w="90"/>
              <w:bottom w:type="dxa" w:w="60"/>
              <w:right w:type="dxa" w:w="90"/>
            </w:tcMar>
          </w:tcPr>
          <w:p>
            <w:pPr>
              <w:spacing w:after="20" w:line="240"/>
            </w:pPr>
            <w:r>
              <w:rPr>
                <w:b w:val="false"/>
                <w:bCs w:val="false"/>
                <w:sz w:val="18"/>
                <w:szCs w:val="18"/>
              </w:rPr>
              <w:t xml:space="preserve">Développement du socle ; formation et certification des agents recenseurs ; préparation des terminaux</w:t>
            </w:r>
          </w:p>
        </w:tc>
        <w:tc>
          <w:tcPr>
            <w:tcW w:type="dxa" w:w="2246"/>
            <w:tcMar>
              <w:top w:type="dxa" w:w="60"/>
              <w:left w:type="dxa" w:w="90"/>
              <w:bottom w:type="dxa" w:w="60"/>
              <w:right w:type="dxa" w:w="90"/>
            </w:tcMar>
          </w:tcPr>
          <w:p>
            <w:pPr>
              <w:spacing w:after="20" w:line="240"/>
            </w:pPr>
            <w:r>
              <w:rPr>
                <w:b w:val="false"/>
                <w:bCs w:val="false"/>
                <w:sz w:val="18"/>
                <w:szCs w:val="18"/>
              </w:rPr>
              <w:t xml:space="preserve">Programme</w:t>
            </w:r>
          </w:p>
        </w:tc>
      </w:tr>
      <w:tr>
        <w:trPr>
          <w:tblHeader w:val="false"/>
        </w:trPr>
        <w:tc>
          <w:tcPr>
            <w:tcW w:type="dxa" w:w="1123"/>
            <w:tcMar>
              <w:top w:type="dxa" w:w="60"/>
              <w:left w:type="dxa" w:w="90"/>
              <w:bottom w:type="dxa" w:w="60"/>
              <w:right w:type="dxa" w:w="90"/>
            </w:tcMar>
          </w:tcPr>
          <w:p>
            <w:pPr>
              <w:spacing w:after="20" w:line="240"/>
            </w:pPr>
            <w:r>
              <w:rPr>
                <w:b w:val="false"/>
                <w:bCs w:val="false"/>
                <w:sz w:val="18"/>
                <w:szCs w:val="18"/>
              </w:rPr>
              <w:t xml:space="preserve">81 à 100</w:t>
            </w:r>
          </w:p>
        </w:tc>
        <w:tc>
          <w:tcPr>
            <w:tcW w:type="dxa" w:w="5990"/>
            <w:tcMar>
              <w:top w:type="dxa" w:w="60"/>
              <w:left w:type="dxa" w:w="90"/>
              <w:bottom w:type="dxa" w:w="60"/>
              <w:right w:type="dxa" w:w="90"/>
            </w:tcMar>
          </w:tcPr>
          <w:p>
            <w:pPr>
              <w:spacing w:after="20" w:line="240"/>
            </w:pPr>
            <w:r>
              <w:rPr>
                <w:b w:val="false"/>
                <w:bCs w:val="false"/>
                <w:sz w:val="18"/>
                <w:szCs w:val="18"/>
              </w:rPr>
              <w:t xml:space="preserve">Recette technique et test d'intrusion ; démarrage du recensement dans la première commune ; premier tableau de bord en service</w:t>
            </w:r>
          </w:p>
        </w:tc>
        <w:tc>
          <w:tcPr>
            <w:tcW w:type="dxa" w:w="2246"/>
            <w:tcMar>
              <w:top w:type="dxa" w:w="60"/>
              <w:left w:type="dxa" w:w="90"/>
              <w:bottom w:type="dxa" w:w="60"/>
              <w:right w:type="dxa" w:w="90"/>
            </w:tcMar>
          </w:tcPr>
          <w:p>
            <w:pPr>
              <w:spacing w:after="20" w:line="240"/>
            </w:pPr>
            <w:r>
              <w:rPr>
                <w:b w:val="false"/>
                <w:bCs w:val="false"/>
                <w:sz w:val="18"/>
                <w:szCs w:val="18"/>
              </w:rPr>
              <w:t xml:space="preserve">Programme, sécurité, régie</w:t>
            </w:r>
          </w:p>
        </w:tc>
      </w:tr>
    </w:tbl>
    <w:p>
      <w:pPr>
        <w:pStyle w:val="Heading1"/>
        <w:spacing w:after="160" w:before="360"/>
      </w:pPr>
      <w:r>
        <w:t xml:space="preserve">48. Décisions requises du Gouvernement provincial</w:t>
      </w:r>
    </w:p>
    <w:p>
      <w:pPr>
        <w:pStyle w:val="Heading2"/>
        <w:spacing w:after="120" w:before="260"/>
      </w:pPr>
      <w:r>
        <w:t xml:space="preserve">48.1 Dix décisions immédiates</w:t>
      </w:r>
    </w:p>
    <w:p>
      <w:pPr>
        <w:spacing w:after="60" w:line="264"/>
        <w:ind w:left="360" w:hanging="260"/>
      </w:pPr>
      <w:r>
        <w:rPr>
          <w:b/>
          <w:bCs/>
          <w:sz w:val="21"/>
          <w:szCs w:val="21"/>
        </w:rPr>
        <w:t xml:space="preserve">1. </w:t>
      </w:r>
      <w:r>
        <w:rPr>
          <w:sz w:val="21"/>
          <w:szCs w:val="21"/>
        </w:rPr>
        <w:t xml:space="preserve">Approuver KINSHASA MOSOLO comme système unique de recensement, de liquidation, de paiement, de contrôle et d'audit des recettes provinciales.</w:t>
      </w:r>
    </w:p>
    <w:p>
      <w:pPr>
        <w:spacing w:after="60" w:line="264"/>
        <w:ind w:left="360" w:hanging="260"/>
      </w:pPr>
      <w:r>
        <w:rPr>
          <w:b/>
          <w:bCs/>
          <w:sz w:val="21"/>
          <w:szCs w:val="21"/>
        </w:rPr>
        <w:t xml:space="preserve">2. </w:t>
      </w:r>
      <w:r>
        <w:rPr>
          <w:sz w:val="21"/>
          <w:szCs w:val="21"/>
        </w:rPr>
        <w:t xml:space="preserve">Désigner l'autorité porteuse et installer le comité de pilotage, avec un mandat écrit.</w:t>
      </w:r>
    </w:p>
    <w:p>
      <w:pPr>
        <w:spacing w:after="60" w:line="264"/>
        <w:ind w:left="360" w:hanging="260"/>
      </w:pPr>
      <w:r>
        <w:rPr>
          <w:b/>
          <w:bCs/>
          <w:sz w:val="21"/>
          <w:szCs w:val="21"/>
        </w:rPr>
        <w:t xml:space="preserve">3. </w:t>
      </w:r>
      <w:r>
        <w:rPr>
          <w:sz w:val="21"/>
          <w:szCs w:val="21"/>
        </w:rPr>
        <w:t xml:space="preserve">Ordonner la refondation du référentiel sur l'Ordonnance-loi n° 18/004 du 13 mars 2018 et sur l'édit budgétaire en vigueur, en écartant expressément l'Ordonnance-loi n° 13/001 abrogée.</w:t>
      </w:r>
    </w:p>
    <w:p>
      <w:pPr>
        <w:spacing w:after="60" w:line="264"/>
        <w:ind w:left="360" w:hanging="260"/>
      </w:pPr>
      <w:r>
        <w:rPr>
          <w:b/>
          <w:bCs/>
          <w:sz w:val="21"/>
          <w:szCs w:val="21"/>
        </w:rPr>
        <w:t xml:space="preserve">4. </w:t>
      </w:r>
      <w:r>
        <w:rPr>
          <w:sz w:val="21"/>
          <w:szCs w:val="21"/>
        </w:rPr>
        <w:t xml:space="preserve">Faire certifier par les services juridiques les taux applicables, notamment le taux de l'impôt sur les revenus locatifs et la retenue par rang de localité.</w:t>
      </w:r>
    </w:p>
    <w:p>
      <w:pPr>
        <w:spacing w:after="60" w:line="264"/>
        <w:ind w:left="360" w:hanging="260"/>
      </w:pPr>
      <w:r>
        <w:rPr>
          <w:b/>
          <w:bCs/>
          <w:sz w:val="21"/>
          <w:szCs w:val="21"/>
        </w:rPr>
        <w:t xml:space="preserve">5. </w:t>
      </w:r>
      <w:r>
        <w:rPr>
          <w:sz w:val="21"/>
          <w:szCs w:val="21"/>
        </w:rPr>
        <w:t xml:space="preserve">Autoriser la signature des protocoles d'échange de données avec les distributeurs d'énergie et d'eau, le registre des immatriculations, les opérateurs télécoms et les brasseries.</w:t>
      </w:r>
    </w:p>
    <w:p>
      <w:pPr>
        <w:spacing w:after="60" w:line="264"/>
        <w:ind w:left="360" w:hanging="260"/>
      </w:pPr>
      <w:r>
        <w:rPr>
          <w:b/>
          <w:bCs/>
          <w:sz w:val="21"/>
          <w:szCs w:val="21"/>
        </w:rPr>
        <w:t xml:space="preserve">6. </w:t>
      </w:r>
      <w:r>
        <w:rPr>
          <w:sz w:val="21"/>
          <w:szCs w:val="21"/>
        </w:rPr>
        <w:t xml:space="preserve">Approuver les quatre communes pilotes et l'objectif de campagne de février 2027.</w:t>
      </w:r>
    </w:p>
    <w:p>
      <w:pPr>
        <w:spacing w:after="60" w:line="264"/>
        <w:ind w:left="360" w:hanging="260"/>
      </w:pPr>
      <w:r>
        <w:rPr>
          <w:b/>
          <w:bCs/>
          <w:sz w:val="21"/>
          <w:szCs w:val="21"/>
        </w:rPr>
        <w:t xml:space="preserve">7. </w:t>
      </w:r>
      <w:r>
        <w:rPr>
          <w:sz w:val="21"/>
          <w:szCs w:val="21"/>
        </w:rPr>
        <w:t xml:space="preserve">Adopter l'acte autorisant le paiement fractionné par voie mobile pour l'impôt foncier et l'impôt sur les revenus locatifs.</w:t>
      </w:r>
    </w:p>
    <w:p>
      <w:pPr>
        <w:spacing w:after="60" w:line="264"/>
        <w:ind w:left="360" w:hanging="260"/>
      </w:pPr>
      <w:r>
        <w:rPr>
          <w:b/>
          <w:bCs/>
          <w:sz w:val="21"/>
          <w:szCs w:val="21"/>
        </w:rPr>
        <w:t xml:space="preserve">8. </w:t>
      </w:r>
      <w:r>
        <w:rPr>
          <w:sz w:val="21"/>
          <w:szCs w:val="21"/>
        </w:rPr>
        <w:t xml:space="preserve">Étendre l'exigence du quitus fiscal numérique aux permis de bâtir, aux mutations foncières et aux mutations de véhicules.</w:t>
      </w:r>
    </w:p>
    <w:p>
      <w:pPr>
        <w:spacing w:after="60" w:line="264"/>
        <w:ind w:left="360" w:hanging="260"/>
      </w:pPr>
      <w:r>
        <w:rPr>
          <w:b/>
          <w:bCs/>
          <w:sz w:val="21"/>
          <w:szCs w:val="21"/>
        </w:rPr>
        <w:t xml:space="preserve">9. </w:t>
      </w:r>
      <w:r>
        <w:rPr>
          <w:sz w:val="21"/>
          <w:szCs w:val="21"/>
        </w:rPr>
        <w:t xml:space="preserve">Interdire formellement toute manipulation d'espèces par les agents dans les circuits couverts par la plateforme et fixer le régime légal des primes de performance.</w:t>
      </w:r>
    </w:p>
    <w:p>
      <w:pPr>
        <w:spacing w:after="60" w:line="264"/>
        <w:ind w:left="360" w:hanging="260"/>
      </w:pPr>
      <w:r>
        <w:rPr>
          <w:b/>
          <w:bCs/>
          <w:sz w:val="21"/>
          <w:szCs w:val="21"/>
        </w:rPr>
        <w:t xml:space="preserve">10. </w:t>
      </w:r>
      <w:r>
        <w:rPr>
          <w:sz w:val="21"/>
          <w:szCs w:val="21"/>
        </w:rPr>
        <w:t xml:space="preserve">Retenir un modèle contractuel hybride, sans pourcentage automatique sur les recettes publiques, et exiger le séquestre du code source et la réversibilité.</w:t>
      </w:r>
    </w:p>
    <w:p>
      <w:pPr>
        <w:pStyle w:val="Heading2"/>
        <w:spacing w:after="120" w:before="260"/>
      </w:pPr>
      <w:r>
        <w:t xml:space="preserve">48.2 Synthèse finale</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2621"/>
        <w:gridCol w:w="6739"/>
      </w:tblGrid>
      <w:tr>
        <w:trPr>
          <w:tblHeader/>
        </w:trPr>
        <w:tc>
          <w:tcPr>
            <w:tcW w:type="dxa" w:w="2621"/>
            <w:shd w:fill="E6F4F1" w:color="auto" w:val="clear"/>
            <w:tcMar>
              <w:top w:type="dxa" w:w="60"/>
              <w:left w:type="dxa" w:w="90"/>
              <w:bottom w:type="dxa" w:w="60"/>
              <w:right w:type="dxa" w:w="90"/>
            </w:tcMar>
          </w:tcPr>
          <w:p>
            <w:pPr>
              <w:spacing w:after="20" w:line="240"/>
            </w:pPr>
            <w:r>
              <w:rPr>
                <w:b/>
                <w:bCs/>
                <w:sz w:val="18"/>
                <w:szCs w:val="18"/>
              </w:rPr>
              <w:t xml:space="preserve">Objet</w:t>
            </w:r>
          </w:p>
        </w:tc>
        <w:tc>
          <w:tcPr>
            <w:tcW w:type="dxa" w:w="6739"/>
            <w:shd w:fill="E6F4F1" w:color="auto" w:val="clear"/>
            <w:tcMar>
              <w:top w:type="dxa" w:w="60"/>
              <w:left w:type="dxa" w:w="90"/>
              <w:bottom w:type="dxa" w:w="60"/>
              <w:right w:type="dxa" w:w="90"/>
            </w:tcMar>
          </w:tcPr>
          <w:p>
            <w:pPr>
              <w:spacing w:after="20" w:line="240"/>
            </w:pPr>
            <w:r>
              <w:rPr>
                <w:b/>
                <w:bCs/>
                <w:sz w:val="18"/>
                <w:szCs w:val="18"/>
              </w:rPr>
              <w:t xml:space="preserve">Position recommandée</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Pilote</w:t>
            </w:r>
          </w:p>
        </w:tc>
        <w:tc>
          <w:tcPr>
            <w:tcW w:type="dxa" w:w="6739"/>
            <w:tcMar>
              <w:top w:type="dxa" w:w="60"/>
              <w:left w:type="dxa" w:w="90"/>
              <w:bottom w:type="dxa" w:w="60"/>
              <w:right w:type="dxa" w:w="90"/>
            </w:tcMar>
          </w:tcPr>
          <w:p>
            <w:pPr>
              <w:spacing w:after="20" w:line="240"/>
            </w:pPr>
            <w:r>
              <w:rPr>
                <w:b w:val="false"/>
                <w:bCs w:val="false"/>
                <w:sz w:val="18"/>
                <w:szCs w:val="18"/>
              </w:rPr>
              <w:t xml:space="preserve">180 jours à Gombe, Limete, Kalamu et Ngaliema, calé sur la campagne de février</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Gouvernance</w:t>
            </w:r>
          </w:p>
        </w:tc>
        <w:tc>
          <w:tcPr>
            <w:tcW w:type="dxa" w:w="6739"/>
            <w:tcMar>
              <w:top w:type="dxa" w:w="60"/>
              <w:left w:type="dxa" w:w="90"/>
              <w:bottom w:type="dxa" w:w="60"/>
              <w:right w:type="dxa" w:w="90"/>
            </w:tcMar>
          </w:tcPr>
          <w:p>
            <w:pPr>
              <w:spacing w:after="20" w:line="240"/>
            </w:pPr>
            <w:r>
              <w:rPr>
                <w:b w:val="false"/>
                <w:bCs w:val="false"/>
                <w:sz w:val="18"/>
                <w:szCs w:val="18"/>
              </w:rPr>
              <w:t xml:space="preserve">Comité de pilotage présidé par le ministère provincial des Finances, contrôle indépendant trimestriel, comité juridique permanent</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Catégories budgétaires initiales</w:t>
            </w:r>
          </w:p>
        </w:tc>
        <w:tc>
          <w:tcPr>
            <w:tcW w:type="dxa" w:w="6739"/>
            <w:tcMar>
              <w:top w:type="dxa" w:w="60"/>
              <w:left w:type="dxa" w:w="90"/>
              <w:bottom w:type="dxa" w:w="60"/>
              <w:right w:type="dxa" w:w="90"/>
            </w:tcMar>
          </w:tcPr>
          <w:p>
            <w:pPr>
              <w:spacing w:after="20" w:line="240"/>
            </w:pPr>
            <w:r>
              <w:rPr>
                <w:b w:val="false"/>
                <w:bCs w:val="false"/>
                <w:sz w:val="18"/>
                <w:szCs w:val="18"/>
              </w:rPr>
              <w:t xml:space="preserve">Cadrage et juridique ; développement du socle ; hébergement souverain ; équipements terrain ; formation ; communication ; cybersécurité et tests ; audit indépendant ; exploitation</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Gisements les plus élevés</w:t>
            </w:r>
          </w:p>
        </w:tc>
        <w:tc>
          <w:tcPr>
            <w:tcW w:type="dxa" w:w="6739"/>
            <w:tcMar>
              <w:top w:type="dxa" w:w="60"/>
              <w:left w:type="dxa" w:w="90"/>
              <w:bottom w:type="dxa" w:w="60"/>
              <w:right w:type="dxa" w:w="90"/>
            </w:tcMar>
          </w:tcPr>
          <w:p>
            <w:pPr>
              <w:spacing w:after="20" w:line="240"/>
            </w:pPr>
            <w:r>
              <w:rPr>
                <w:b w:val="false"/>
                <w:bCs w:val="false"/>
                <w:sz w:val="18"/>
                <w:szCs w:val="18"/>
              </w:rPr>
              <w:t xml:space="preserve">Revenus locatifs ; impôt foncier ; taxe de consommation sur les boissons et le tabac ; véhicules ; publicité et antennes ; domaine public et marchés</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Contrôles anti-fraude les plus forts</w:t>
            </w:r>
          </w:p>
        </w:tc>
        <w:tc>
          <w:tcPr>
            <w:tcW w:type="dxa" w:w="6739"/>
            <w:tcMar>
              <w:top w:type="dxa" w:w="60"/>
              <w:left w:type="dxa" w:w="90"/>
              <w:bottom w:type="dxa" w:w="60"/>
              <w:right w:type="dxa" w:w="90"/>
            </w:tcMar>
          </w:tcPr>
          <w:p>
            <w:pPr>
              <w:spacing w:after="20" w:line="240"/>
            </w:pPr>
            <w:r>
              <w:rPr>
                <w:b w:val="false"/>
                <w:bCs w:val="false"/>
                <w:sz w:val="18"/>
                <w:szCs w:val="18"/>
              </w:rPr>
              <w:t xml:space="preserve">Zéro espèces pour les agents ; comptes bénéficiaires verrouillés à double validation ; quittance vérifiable publiquement ; journal d'audit en ajout seul avec sauvegarde indépendante</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Validations juridiques critiques</w:t>
            </w:r>
          </w:p>
        </w:tc>
        <w:tc>
          <w:tcPr>
            <w:tcW w:type="dxa" w:w="6739"/>
            <w:tcMar>
              <w:top w:type="dxa" w:w="60"/>
              <w:left w:type="dxa" w:w="90"/>
              <w:bottom w:type="dxa" w:w="60"/>
              <w:right w:type="dxa" w:w="90"/>
            </w:tcMar>
          </w:tcPr>
          <w:p>
            <w:pPr>
              <w:spacing w:after="20" w:line="240"/>
            </w:pPr>
            <w:r>
              <w:rPr>
                <w:b w:val="false"/>
                <w:bCs w:val="false"/>
                <w:sz w:val="18"/>
                <w:szCs w:val="18"/>
              </w:rPr>
              <w:t xml:space="preserve">Nomenclature en vigueur ; taux et retenues ; valeur de la quittance électronique ; base des échéanciers ; partage de données ; habilitation des agrégateurs ; régime des primes</w:t>
            </w:r>
          </w:p>
        </w:tc>
      </w:tr>
      <w:tr>
        <w:trPr>
          <w:tblHeader w:val="false"/>
        </w:trPr>
        <w:tc>
          <w:tcPr>
            <w:tcW w:type="dxa" w:w="2621"/>
            <w:tcMar>
              <w:top w:type="dxa" w:w="60"/>
              <w:left w:type="dxa" w:w="90"/>
              <w:bottom w:type="dxa" w:w="60"/>
              <w:right w:type="dxa" w:w="90"/>
            </w:tcMar>
          </w:tcPr>
          <w:p>
            <w:pPr>
              <w:spacing w:after="20" w:line="240"/>
            </w:pPr>
            <w:r>
              <w:rPr>
                <w:b w:val="false"/>
                <w:bCs w:val="false"/>
                <w:sz w:val="18"/>
                <w:szCs w:val="18"/>
              </w:rPr>
              <w:t xml:space="preserve">Prochaine action</w:t>
            </w:r>
          </w:p>
        </w:tc>
        <w:tc>
          <w:tcPr>
            <w:tcW w:type="dxa" w:w="6739"/>
            <w:tcMar>
              <w:top w:type="dxa" w:w="60"/>
              <w:left w:type="dxa" w:w="90"/>
              <w:bottom w:type="dxa" w:w="60"/>
              <w:right w:type="dxa" w:w="90"/>
            </w:tcMar>
          </w:tcPr>
          <w:p>
            <w:pPr>
              <w:spacing w:after="20" w:line="240"/>
            </w:pPr>
            <w:r>
              <w:rPr>
                <w:b w:val="false"/>
                <w:bCs w:val="false"/>
                <w:sz w:val="18"/>
                <w:szCs w:val="18"/>
              </w:rPr>
              <w:t xml:space="preserve">Signer la décision de lancement et convoquer le comité de pilotage dans les quinze jours, afin d'engager le relevé juridique et le recensement avant la campagne de février</w:t>
            </w:r>
          </w:p>
        </w:tc>
      </w:tr>
    </w:tbl>
    <w:p>
      <w:pPr>
        <w:spacing w:after="100"/>
      </w:pPr>
    </w:p>
    <w:p>
      <w:pPr>
        <w:spacing w:after="120" w:line="276"/>
        <w:jc w:val="center"/>
      </w:pPr>
      <w:r>
        <w:rPr>
          <w:b/>
          <w:bCs/>
          <w:i w:val="false"/>
          <w:iCs w:val="false"/>
          <w:sz w:val="21"/>
          <w:szCs w:val="21"/>
        </w:rPr>
        <w:t xml:space="preserve">KINSHASA MOSOLO — chaque contribuable identifié, chaque activité localisée, chaque obligation légalement calculée, chaque paiement vérifiable et chaque franc public traçable.</w:t>
      </w:r>
    </w:p>
    <w:p>
      <w:pPr>
        <w:pStyle w:val="Heading1"/>
        <w:spacing w:after="160" w:before="360"/>
      </w:pPr>
      <w:r>
        <w:t xml:space="preserve">Annexe A — Sources consultées et niveau de fiabilité</w:t>
      </w:r>
    </w:p>
    <w:tbl>
      <w:tblPr>
        <w:tblW w:type="dxa" w:w="9360"/>
        <w:tblBorders>
          <w:top w:val="single" w:color="BFCFCB" w:sz="2"/>
          <w:left w:val="single" w:color="BFCFCB" w:sz="2"/>
          <w:bottom w:val="single" w:color="BFCFCB" w:sz="2"/>
          <w:right w:val="single" w:color="BFCFCB" w:sz="2"/>
          <w:insideH w:val="single" w:color="BFCFCB" w:sz="2"/>
          <w:insideV w:val="single" w:color="BFCFCB" w:sz="2"/>
        </w:tblBorders>
      </w:tblPr>
      <w:tblGrid>
        <w:gridCol w:w="3744"/>
        <w:gridCol w:w="3370"/>
        <w:gridCol w:w="2246"/>
      </w:tblGrid>
      <w:tr>
        <w:trPr>
          <w:tblHeader/>
        </w:trPr>
        <w:tc>
          <w:tcPr>
            <w:tcW w:type="dxa" w:w="3744"/>
            <w:shd w:fill="E6F4F1" w:color="auto" w:val="clear"/>
            <w:tcMar>
              <w:top w:type="dxa" w:w="60"/>
              <w:left w:type="dxa" w:w="90"/>
              <w:bottom w:type="dxa" w:w="60"/>
              <w:right w:type="dxa" w:w="90"/>
            </w:tcMar>
          </w:tcPr>
          <w:p>
            <w:pPr>
              <w:spacing w:after="20" w:line="240"/>
            </w:pPr>
            <w:r>
              <w:rPr>
                <w:b/>
                <w:bCs/>
                <w:sz w:val="18"/>
                <w:szCs w:val="18"/>
              </w:rPr>
              <w:t xml:space="preserve">Source</w:t>
            </w:r>
          </w:p>
        </w:tc>
        <w:tc>
          <w:tcPr>
            <w:tcW w:type="dxa" w:w="3370"/>
            <w:shd w:fill="E6F4F1" w:color="auto" w:val="clear"/>
            <w:tcMar>
              <w:top w:type="dxa" w:w="60"/>
              <w:left w:type="dxa" w:w="90"/>
              <w:bottom w:type="dxa" w:w="60"/>
              <w:right w:type="dxa" w:w="90"/>
            </w:tcMar>
          </w:tcPr>
          <w:p>
            <w:pPr>
              <w:spacing w:after="20" w:line="240"/>
            </w:pPr>
            <w:r>
              <w:rPr>
                <w:b/>
                <w:bCs/>
                <w:sz w:val="18"/>
                <w:szCs w:val="18"/>
              </w:rPr>
              <w:t xml:space="preserve">Usage</w:t>
            </w:r>
          </w:p>
        </w:tc>
        <w:tc>
          <w:tcPr>
            <w:tcW w:type="dxa" w:w="2246"/>
            <w:shd w:fill="E6F4F1" w:color="auto" w:val="clear"/>
            <w:tcMar>
              <w:top w:type="dxa" w:w="60"/>
              <w:left w:type="dxa" w:w="90"/>
              <w:bottom w:type="dxa" w:w="60"/>
              <w:right w:type="dxa" w:w="90"/>
            </w:tcMar>
          </w:tcPr>
          <w:p>
            <w:pPr>
              <w:spacing w:after="20" w:line="240"/>
            </w:pPr>
            <w:r>
              <w:rPr>
                <w:b/>
                <w:bCs/>
                <w:sz w:val="18"/>
                <w:szCs w:val="18"/>
              </w:rPr>
              <w:t xml:space="preserve">Fiabilité</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Ordonnance-loi n° 18/004 du 13 mars 2018 (bases documentaires juridiques internationales)</w:t>
            </w:r>
          </w:p>
        </w:tc>
        <w:tc>
          <w:tcPr>
            <w:tcW w:type="dxa" w:w="3370"/>
            <w:tcMar>
              <w:top w:type="dxa" w:w="60"/>
              <w:left w:type="dxa" w:w="90"/>
              <w:bottom w:type="dxa" w:w="60"/>
              <w:right w:type="dxa" w:w="90"/>
            </w:tcMar>
          </w:tcPr>
          <w:p>
            <w:pPr>
              <w:spacing w:after="20" w:line="240"/>
            </w:pPr>
            <w:r>
              <w:rPr>
                <w:b w:val="false"/>
                <w:bCs w:val="false"/>
                <w:sz w:val="18"/>
                <w:szCs w:val="18"/>
              </w:rPr>
              <w:t xml:space="preserve">Nomenclature provinciale en vigueur, abrogation de l'Ordonnance-loi n° 13/001</w:t>
            </w:r>
          </w:p>
        </w:tc>
        <w:tc>
          <w:tcPr>
            <w:tcW w:type="dxa" w:w="2246"/>
            <w:tcMar>
              <w:top w:type="dxa" w:w="60"/>
              <w:left w:type="dxa" w:w="90"/>
              <w:bottom w:type="dxa" w:w="60"/>
              <w:right w:type="dxa" w:w="90"/>
            </w:tcMar>
          </w:tcPr>
          <w:p>
            <w:pPr>
              <w:spacing w:after="20" w:line="240"/>
            </w:pPr>
            <w:r>
              <w:rPr>
                <w:b w:val="false"/>
                <w:bCs w:val="false"/>
                <w:sz w:val="18"/>
                <w:szCs w:val="18"/>
              </w:rPr>
              <w:t xml:space="preserve">Élevée, à confirmer sur le Journal officiel</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Ordonnance-loi n° 18/003 du 13 mars 2018</w:t>
            </w:r>
          </w:p>
        </w:tc>
        <w:tc>
          <w:tcPr>
            <w:tcW w:type="dxa" w:w="3370"/>
            <w:tcMar>
              <w:top w:type="dxa" w:w="60"/>
              <w:left w:type="dxa" w:w="90"/>
              <w:bottom w:type="dxa" w:w="60"/>
              <w:right w:type="dxa" w:w="90"/>
            </w:tcMar>
          </w:tcPr>
          <w:p>
            <w:pPr>
              <w:spacing w:after="20" w:line="240"/>
            </w:pPr>
            <w:r>
              <w:rPr>
                <w:b w:val="false"/>
                <w:bCs w:val="false"/>
                <w:sz w:val="18"/>
                <w:szCs w:val="18"/>
              </w:rPr>
              <w:t xml:space="preserve">Nomenclature du pouvoir central, exclusion des doublons</w:t>
            </w:r>
          </w:p>
        </w:tc>
        <w:tc>
          <w:tcPr>
            <w:tcW w:type="dxa" w:w="2246"/>
            <w:tcMar>
              <w:top w:type="dxa" w:w="60"/>
              <w:left w:type="dxa" w:w="90"/>
              <w:bottom w:type="dxa" w:w="60"/>
              <w:right w:type="dxa" w:w="90"/>
            </w:tcMar>
          </w:tcPr>
          <w:p>
            <w:pPr>
              <w:spacing w:after="20" w:line="240"/>
            </w:pPr>
            <w:r>
              <w:rPr>
                <w:b w:val="false"/>
                <w:bCs w:val="false"/>
                <w:sz w:val="18"/>
                <w:szCs w:val="18"/>
              </w:rPr>
              <w:t xml:space="preserve">Élevée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Restitution de l'évaluation TADAT de la DGRK, septembre 2025</w:t>
            </w:r>
          </w:p>
        </w:tc>
        <w:tc>
          <w:tcPr>
            <w:tcW w:type="dxa" w:w="3370"/>
            <w:tcMar>
              <w:top w:type="dxa" w:w="60"/>
              <w:left w:type="dxa" w:w="90"/>
              <w:bottom w:type="dxa" w:w="60"/>
              <w:right w:type="dxa" w:w="90"/>
            </w:tcMar>
          </w:tcPr>
          <w:p>
            <w:pPr>
              <w:spacing w:after="20" w:line="240"/>
            </w:pPr>
            <w:r>
              <w:rPr>
                <w:b w:val="false"/>
                <w:bCs w:val="false"/>
                <w:sz w:val="18"/>
                <w:szCs w:val="18"/>
              </w:rPr>
              <w:t xml:space="preserve">Diagnostic des faiblesses administratives</w:t>
            </w:r>
          </w:p>
        </w:tc>
        <w:tc>
          <w:tcPr>
            <w:tcW w:type="dxa" w:w="2246"/>
            <w:tcMar>
              <w:top w:type="dxa" w:w="60"/>
              <w:left w:type="dxa" w:w="90"/>
              <w:bottom w:type="dxa" w:w="60"/>
              <w:right w:type="dxa" w:w="90"/>
            </w:tcMar>
          </w:tcPr>
          <w:p>
            <w:pPr>
              <w:spacing w:after="20" w:line="240"/>
            </w:pPr>
            <w:r>
              <w:rPr>
                <w:b w:val="false"/>
                <w:bCs w:val="false"/>
                <w:sz w:val="18"/>
                <w:szCs w:val="18"/>
              </w:rPr>
              <w:t xml:space="preserve">Élevée, presse spécialisée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Communiqués et campagnes fiscales de la Ville, janvier à mars 2026</w:t>
            </w:r>
          </w:p>
        </w:tc>
        <w:tc>
          <w:tcPr>
            <w:tcW w:type="dxa" w:w="3370"/>
            <w:tcMar>
              <w:top w:type="dxa" w:w="60"/>
              <w:left w:type="dxa" w:w="90"/>
              <w:bottom w:type="dxa" w:w="60"/>
              <w:right w:type="dxa" w:w="90"/>
            </w:tcMar>
          </w:tcPr>
          <w:p>
            <w:pPr>
              <w:spacing w:after="20" w:line="240"/>
            </w:pPr>
            <w:r>
              <w:rPr>
                <w:b w:val="false"/>
                <w:bCs w:val="false"/>
                <w:sz w:val="18"/>
                <w:szCs w:val="18"/>
              </w:rPr>
              <w:t xml:space="preserve">Taux IF et IRL, retenues par rang, échéances, quitus fiscal, télédéclaration</w:t>
            </w:r>
          </w:p>
        </w:tc>
        <w:tc>
          <w:tcPr>
            <w:tcW w:type="dxa" w:w="2246"/>
            <w:tcMar>
              <w:top w:type="dxa" w:w="60"/>
              <w:left w:type="dxa" w:w="90"/>
              <w:bottom w:type="dxa" w:w="60"/>
              <w:right w:type="dxa" w:w="90"/>
            </w:tcMar>
          </w:tcPr>
          <w:p>
            <w:pPr>
              <w:spacing w:after="20" w:line="240"/>
            </w:pPr>
            <w:r>
              <w:rPr>
                <w:b w:val="false"/>
                <w:bCs w:val="false"/>
                <w:sz w:val="18"/>
                <w:szCs w:val="18"/>
              </w:rPr>
              <w:t xml:space="preserve">Moyenne à élevée, à confirmer par les arrêtés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Matinée fiscale FEC–DGRK, mars 2026</w:t>
            </w:r>
          </w:p>
        </w:tc>
        <w:tc>
          <w:tcPr>
            <w:tcW w:type="dxa" w:w="3370"/>
            <w:tcMar>
              <w:top w:type="dxa" w:w="60"/>
              <w:left w:type="dxa" w:w="90"/>
              <w:bottom w:type="dxa" w:w="60"/>
              <w:right w:type="dxa" w:w="90"/>
            </w:tcMar>
          </w:tcPr>
          <w:p>
            <w:pPr>
              <w:spacing w:after="20" w:line="240"/>
            </w:pPr>
            <w:r>
              <w:rPr>
                <w:b w:val="false"/>
                <w:bCs w:val="false"/>
                <w:sz w:val="18"/>
                <w:szCs w:val="18"/>
              </w:rPr>
              <w:t xml:space="preserve">Innovations de l'édit budgétaire 2026</w:t>
            </w:r>
          </w:p>
        </w:tc>
        <w:tc>
          <w:tcPr>
            <w:tcW w:type="dxa" w:w="2246"/>
            <w:tcMar>
              <w:top w:type="dxa" w:w="60"/>
              <w:left w:type="dxa" w:w="90"/>
              <w:bottom w:type="dxa" w:w="60"/>
              <w:right w:type="dxa" w:w="90"/>
            </w:tcMar>
          </w:tcPr>
          <w:p>
            <w:pPr>
              <w:spacing w:after="20" w:line="240"/>
            </w:pPr>
            <w:r>
              <w:rPr>
                <w:b w:val="false"/>
                <w:bCs w:val="false"/>
                <w:sz w:val="18"/>
                <w:szCs w:val="18"/>
              </w:rPr>
              <w:t xml:space="preserve">Moyenne, à confirmer par le texte de l'édit</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Atelier du 14 mai 2026 sur la création de la DGRFK et de la DGTK</w:t>
            </w:r>
          </w:p>
        </w:tc>
        <w:tc>
          <w:tcPr>
            <w:tcW w:type="dxa" w:w="3370"/>
            <w:tcMar>
              <w:top w:type="dxa" w:w="60"/>
              <w:left w:type="dxa" w:w="90"/>
              <w:bottom w:type="dxa" w:w="60"/>
              <w:right w:type="dxa" w:w="90"/>
            </w:tcMar>
          </w:tcPr>
          <w:p>
            <w:pPr>
              <w:spacing w:after="20" w:line="240"/>
            </w:pPr>
            <w:r>
              <w:rPr>
                <w:b w:val="false"/>
                <w:bCs w:val="false"/>
                <w:sz w:val="18"/>
                <w:szCs w:val="18"/>
              </w:rPr>
              <w:t xml:space="preserve">Réforme institutionnelle en cours</w:t>
            </w:r>
          </w:p>
        </w:tc>
        <w:tc>
          <w:tcPr>
            <w:tcW w:type="dxa" w:w="2246"/>
            <w:tcMar>
              <w:top w:type="dxa" w:w="60"/>
              <w:left w:type="dxa" w:w="90"/>
              <w:bottom w:type="dxa" w:w="60"/>
              <w:right w:type="dxa" w:w="90"/>
            </w:tcMar>
          </w:tcPr>
          <w:p>
            <w:pPr>
              <w:spacing w:after="20" w:line="240"/>
            </w:pPr>
            <w:r>
              <w:rPr>
                <w:b w:val="false"/>
                <w:bCs w:val="false"/>
                <w:sz w:val="18"/>
                <w:szCs w:val="18"/>
              </w:rPr>
              <w:t xml:space="preserve">Moyenne, presse partiellement générée automatiquement, à confirmer par les textes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Contrat de performance de la DGRK et recettes IF/IRL de janvier 2026</w:t>
            </w:r>
          </w:p>
        </w:tc>
        <w:tc>
          <w:tcPr>
            <w:tcW w:type="dxa" w:w="3370"/>
            <w:tcMar>
              <w:top w:type="dxa" w:w="60"/>
              <w:left w:type="dxa" w:w="90"/>
              <w:bottom w:type="dxa" w:w="60"/>
              <w:right w:type="dxa" w:w="90"/>
            </w:tcMar>
          </w:tcPr>
          <w:p>
            <w:pPr>
              <w:spacing w:after="20" w:line="240"/>
            </w:pPr>
            <w:r>
              <w:rPr>
                <w:b w:val="false"/>
                <w:bCs w:val="false"/>
                <w:sz w:val="18"/>
                <w:szCs w:val="18"/>
              </w:rPr>
              <w:t xml:space="preserve">Ordre de grandeur des assignations et du réalisé</w:t>
            </w:r>
          </w:p>
        </w:tc>
        <w:tc>
          <w:tcPr>
            <w:tcW w:type="dxa" w:w="2246"/>
            <w:tcMar>
              <w:top w:type="dxa" w:w="60"/>
              <w:left w:type="dxa" w:w="90"/>
              <w:bottom w:type="dxa" w:w="60"/>
              <w:right w:type="dxa" w:w="90"/>
            </w:tcMar>
          </w:tcPr>
          <w:p>
            <w:pPr>
              <w:spacing w:after="20" w:line="240"/>
            </w:pPr>
            <w:r>
              <w:rPr>
                <w:b w:val="false"/>
                <w:bCs w:val="false"/>
                <w:sz w:val="18"/>
                <w:szCs w:val="18"/>
              </w:rPr>
              <w:t xml:space="preserve">Moyenne, presse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Taux budgétaire moyen 2025 (2 859,2 CDF par dollar)</w:t>
            </w:r>
          </w:p>
        </w:tc>
        <w:tc>
          <w:tcPr>
            <w:tcW w:type="dxa" w:w="3370"/>
            <w:tcMar>
              <w:top w:type="dxa" w:w="60"/>
              <w:left w:type="dxa" w:w="90"/>
              <w:bottom w:type="dxa" w:w="60"/>
              <w:right w:type="dxa" w:w="90"/>
            </w:tcMar>
          </w:tcPr>
          <w:p>
            <w:pPr>
              <w:spacing w:after="20" w:line="240"/>
            </w:pPr>
            <w:r>
              <w:rPr>
                <w:b w:val="false"/>
                <w:bCs w:val="false"/>
                <w:sz w:val="18"/>
                <w:szCs w:val="18"/>
              </w:rPr>
              <w:t xml:space="preserve">Conversions indicatives</w:t>
            </w:r>
          </w:p>
        </w:tc>
        <w:tc>
          <w:tcPr>
            <w:tcW w:type="dxa" w:w="2246"/>
            <w:tcMar>
              <w:top w:type="dxa" w:w="60"/>
              <w:left w:type="dxa" w:w="90"/>
              <w:bottom w:type="dxa" w:w="60"/>
              <w:right w:type="dxa" w:w="90"/>
            </w:tcMar>
          </w:tcPr>
          <w:p>
            <w:pPr>
              <w:spacing w:after="20" w:line="240"/>
            </w:pPr>
            <w:r>
              <w:rPr>
                <w:b w:val="false"/>
                <w:bCs w:val="false"/>
                <w:sz w:val="18"/>
                <w:szCs w:val="18"/>
              </w:rPr>
              <w:t xml:space="preserve">Moyenne à élevée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Note de projet KIN-RECETTES transmise le 22 septembre 2026</w:t>
            </w:r>
          </w:p>
        </w:tc>
        <w:tc>
          <w:tcPr>
            <w:tcW w:type="dxa" w:w="3370"/>
            <w:tcMar>
              <w:top w:type="dxa" w:w="60"/>
              <w:left w:type="dxa" w:w="90"/>
              <w:bottom w:type="dxa" w:w="60"/>
              <w:right w:type="dxa" w:w="90"/>
            </w:tcMar>
          </w:tcPr>
          <w:p>
            <w:pPr>
              <w:spacing w:after="20" w:line="240"/>
            </w:pPr>
            <w:r>
              <w:rPr>
                <w:b w:val="false"/>
                <w:bCs w:val="false"/>
                <w:sz w:val="18"/>
                <w:szCs w:val="18"/>
              </w:rPr>
              <w:t xml:space="preserve">Concept initial, exemples d'interfaces, chaîne opératoire</w:t>
            </w:r>
          </w:p>
        </w:tc>
        <w:tc>
          <w:tcPr>
            <w:tcW w:type="dxa" w:w="2246"/>
            <w:tcMar>
              <w:top w:type="dxa" w:w="60"/>
              <w:left w:type="dxa" w:w="90"/>
              <w:bottom w:type="dxa" w:w="60"/>
              <w:right w:type="dxa" w:w="90"/>
            </w:tcMar>
          </w:tcPr>
          <w:p>
            <w:pPr>
              <w:spacing w:after="20" w:line="240"/>
            </w:pPr>
            <w:r>
              <w:rPr>
                <w:b w:val="false"/>
                <w:bCs w:val="false"/>
                <w:sz w:val="18"/>
                <w:szCs w:val="18"/>
              </w:rPr>
              <w:t xml:space="preserve">Document de travail interne</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Communiqués de la RFCK et couverture de presse, mars à septembre 2026</w:t>
            </w:r>
          </w:p>
        </w:tc>
        <w:tc>
          <w:tcPr>
            <w:tcW w:type="dxa" w:w="3370"/>
            <w:tcMar>
              <w:top w:type="dxa" w:w="60"/>
              <w:left w:type="dxa" w:w="90"/>
              <w:bottom w:type="dxa" w:w="60"/>
              <w:right w:type="dxa" w:w="90"/>
            </w:tcMar>
          </w:tcPr>
          <w:p>
            <w:pPr>
              <w:spacing w:after="20" w:line="240"/>
            </w:pPr>
            <w:r>
              <w:rPr>
                <w:b w:val="false"/>
                <w:bCs w:val="false"/>
                <w:sz w:val="18"/>
                <w:szCs w:val="18"/>
              </w:rPr>
              <w:t xml:space="preserve">Mandat de la régie, arrêté du 12 novembre 2025, vignette à code QR, phases de contrôle, réseau des centres agréés</w:t>
            </w:r>
          </w:p>
        </w:tc>
        <w:tc>
          <w:tcPr>
            <w:tcW w:type="dxa" w:w="2246"/>
            <w:tcMar>
              <w:top w:type="dxa" w:w="60"/>
              <w:left w:type="dxa" w:w="90"/>
              <w:bottom w:type="dxa" w:w="60"/>
              <w:right w:type="dxa" w:w="90"/>
            </w:tcMar>
          </w:tcPr>
          <w:p>
            <w:pPr>
              <w:spacing w:after="20" w:line="240"/>
            </w:pPr>
            <w:r>
              <w:rPr>
                <w:b w:val="false"/>
                <w:bCs w:val="false"/>
                <w:sz w:val="18"/>
                <w:szCs w:val="18"/>
              </w:rPr>
              <w:t xml:space="preserve">Moyenne : communiqués et presse ; à confirmer par les textes</w:t>
            </w:r>
          </w:p>
        </w:tc>
      </w:tr>
      <w:tr>
        <w:trPr>
          <w:tblHeader w:val="false"/>
        </w:trPr>
        <w:tc>
          <w:tcPr>
            <w:tcW w:type="dxa" w:w="3744"/>
            <w:tcMar>
              <w:top w:type="dxa" w:w="60"/>
              <w:left w:type="dxa" w:w="90"/>
              <w:bottom w:type="dxa" w:w="60"/>
              <w:right w:type="dxa" w:w="90"/>
            </w:tcMar>
          </w:tcPr>
          <w:p>
            <w:pPr>
              <w:spacing w:after="20" w:line="240"/>
            </w:pPr>
            <w:r>
              <w:rPr>
                <w:b w:val="false"/>
                <w:bCs w:val="false"/>
                <w:sz w:val="18"/>
                <w:szCs w:val="18"/>
              </w:rPr>
              <w:t xml:space="preserve">Site institutionnel de la RFCK</w:t>
            </w:r>
          </w:p>
        </w:tc>
        <w:tc>
          <w:tcPr>
            <w:tcW w:type="dxa" w:w="3370"/>
            <w:tcMar>
              <w:top w:type="dxa" w:w="60"/>
              <w:left w:type="dxa" w:w="90"/>
              <w:bottom w:type="dxa" w:w="60"/>
              <w:right w:type="dxa" w:w="90"/>
            </w:tcMar>
          </w:tcPr>
          <w:p>
            <w:pPr>
              <w:spacing w:after="20" w:line="240"/>
            </w:pPr>
            <w:r>
              <w:rPr>
                <w:b w:val="false"/>
                <w:bCs w:val="false"/>
                <w:sz w:val="18"/>
                <w:szCs w:val="18"/>
              </w:rPr>
              <w:t xml:space="preserve">Siège, contacts, profil du Directeur général, missions déclarées, vérification de plaque en ligne, compteurs publiés</w:t>
            </w:r>
          </w:p>
        </w:tc>
        <w:tc>
          <w:tcPr>
            <w:tcW w:type="dxa" w:w="2246"/>
            <w:tcMar>
              <w:top w:type="dxa" w:w="60"/>
              <w:left w:type="dxa" w:w="90"/>
              <w:bottom w:type="dxa" w:w="60"/>
              <w:right w:type="dxa" w:w="90"/>
            </w:tcMar>
          </w:tcPr>
          <w:p>
            <w:pPr>
              <w:spacing w:after="20" w:line="240"/>
            </w:pPr>
            <w:r>
              <w:rPr>
                <w:b w:val="false"/>
                <w:bCs w:val="false"/>
                <w:sz w:val="18"/>
                <w:szCs w:val="18"/>
              </w:rPr>
              <w:t xml:space="preserve">Source institutionnelle, sans valeur juridique propre ; pages inachevées et compteurs à confirmer par la régie</w:t>
            </w:r>
          </w:p>
        </w:tc>
      </w:tr>
    </w:tbl>
    <w:p>
      <w:pPr>
        <w:pStyle w:val="Heading1"/>
        <w:spacing w:after="160" w:before="360"/>
      </w:pPr>
      <w:r>
        <w:t xml:space="preserve">Annexe B — Points à vérifier avant mise en production</w:t>
      </w:r>
    </w:p>
    <w:p>
      <w:pPr>
        <w:spacing w:after="60" w:line="264"/>
        <w:ind w:left="360" w:hanging="260"/>
      </w:pPr>
      <w:r>
        <w:rPr>
          <w:b/>
          <w:bCs/>
          <w:sz w:val="21"/>
          <w:szCs w:val="21"/>
        </w:rPr>
        <w:t xml:space="preserve">1. </w:t>
      </w:r>
      <w:r>
        <w:rPr>
          <w:sz w:val="21"/>
          <w:szCs w:val="21"/>
        </w:rPr>
        <w:t xml:space="preserve">Texte consolidé de la nomenclature provinciale et des ordonnances-lois de 1969 après modifications.</w:t>
      </w:r>
    </w:p>
    <w:p>
      <w:pPr>
        <w:spacing w:after="60" w:line="264"/>
        <w:ind w:left="360" w:hanging="260"/>
      </w:pPr>
      <w:r>
        <w:rPr>
          <w:b/>
          <w:bCs/>
          <w:sz w:val="21"/>
          <w:szCs w:val="21"/>
        </w:rPr>
        <w:t xml:space="preserve">2. </w:t>
      </w:r>
      <w:r>
        <w:rPr>
          <w:sz w:val="21"/>
          <w:szCs w:val="21"/>
        </w:rPr>
        <w:t xml:space="preserve">Objet exact et statut de la Loi n° 18/014 du 9 juillet 2018, non confirmés à ce stade.</w:t>
      </w:r>
    </w:p>
    <w:p>
      <w:pPr>
        <w:spacing w:after="60" w:line="264"/>
        <w:ind w:left="360" w:hanging="260"/>
      </w:pPr>
      <w:r>
        <w:rPr>
          <w:b/>
          <w:bCs/>
          <w:sz w:val="21"/>
          <w:szCs w:val="21"/>
        </w:rPr>
        <w:t xml:space="preserve">3. </w:t>
      </w:r>
      <w:r>
        <w:rPr>
          <w:sz w:val="21"/>
          <w:szCs w:val="21"/>
        </w:rPr>
        <w:t xml:space="preserve">Arrêtés provinciaux fixant les taux de l'impôt foncier, de l'impôt sur les revenus locatifs et de la taxe sur les véhicules pour l'exercice en cours.</w:t>
      </w:r>
    </w:p>
    <w:p>
      <w:pPr>
        <w:spacing w:after="60" w:line="264"/>
        <w:ind w:left="360" w:hanging="260"/>
      </w:pPr>
      <w:r>
        <w:rPr>
          <w:b/>
          <w:bCs/>
          <w:sz w:val="21"/>
          <w:szCs w:val="21"/>
        </w:rPr>
        <w:t xml:space="preserve">4. </w:t>
      </w:r>
      <w:r>
        <w:rPr>
          <w:sz w:val="21"/>
          <w:szCs w:val="21"/>
        </w:rPr>
        <w:t xml:space="preserve">Texte intégral de l'édit budgétaire en vigueur de la Ville de Kinshasa.</w:t>
      </w:r>
    </w:p>
    <w:p>
      <w:pPr>
        <w:spacing w:after="60" w:line="264"/>
        <w:ind w:left="360" w:hanging="260"/>
      </w:pPr>
      <w:r>
        <w:rPr>
          <w:b/>
          <w:bCs/>
          <w:sz w:val="21"/>
          <w:szCs w:val="21"/>
        </w:rPr>
        <w:t xml:space="preserve">5. </w:t>
      </w:r>
      <w:r>
        <w:rPr>
          <w:sz w:val="21"/>
          <w:szCs w:val="21"/>
        </w:rPr>
        <w:t xml:space="preserve">Dispositions du Code du numérique sur la résidence des données, la signature électronique et la protection des données personnelles.</w:t>
      </w:r>
    </w:p>
    <w:p>
      <w:pPr>
        <w:spacing w:after="60" w:line="264"/>
        <w:ind w:left="360" w:hanging="260"/>
      </w:pPr>
      <w:r>
        <w:rPr>
          <w:b/>
          <w:bCs/>
          <w:sz w:val="21"/>
          <w:szCs w:val="21"/>
        </w:rPr>
        <w:t xml:space="preserve">6. </w:t>
      </w:r>
      <w:r>
        <w:rPr>
          <w:sz w:val="21"/>
          <w:szCs w:val="21"/>
        </w:rPr>
        <w:t xml:space="preserve">Conditions d'habilitation des agrégateurs et prestataires de paiement auprès de la Banque Centrale du Congo.</w:t>
      </w:r>
    </w:p>
    <w:p>
      <w:pPr>
        <w:spacing w:after="60" w:line="264"/>
        <w:ind w:left="360" w:hanging="260"/>
      </w:pPr>
      <w:r>
        <w:rPr>
          <w:b/>
          <w:bCs/>
          <w:sz w:val="21"/>
          <w:szCs w:val="21"/>
        </w:rPr>
        <w:t xml:space="preserve">7. </w:t>
      </w:r>
      <w:r>
        <w:rPr>
          <w:sz w:val="21"/>
          <w:szCs w:val="21"/>
        </w:rPr>
        <w:t xml:space="preserve">Textes créant la DGRFK et la DGTK, et répartition définitive des compétences.</w:t>
      </w:r>
    </w:p>
    <w:p>
      <w:pPr>
        <w:spacing w:after="60" w:line="264"/>
        <w:ind w:left="360" w:hanging="260"/>
      </w:pPr>
      <w:r>
        <w:rPr>
          <w:b/>
          <w:bCs/>
          <w:sz w:val="21"/>
          <w:szCs w:val="21"/>
        </w:rPr>
        <w:t xml:space="preserve">8. </w:t>
      </w:r>
      <w:r>
        <w:rPr>
          <w:sz w:val="21"/>
          <w:szCs w:val="21"/>
        </w:rPr>
        <w:t xml:space="preserve">Régime légal des primes de performance des agents publics sur recettes fiscales.</w:t>
      </w:r>
    </w:p>
    <w:p>
      <w:pPr>
        <w:spacing w:after="60" w:line="264"/>
        <w:ind w:left="360" w:hanging="260"/>
      </w:pPr>
      <w:r>
        <w:rPr>
          <w:b/>
          <w:bCs/>
          <w:sz w:val="21"/>
          <w:szCs w:val="21"/>
        </w:rPr>
        <w:t xml:space="preserve">9. </w:t>
      </w:r>
      <w:r>
        <w:rPr>
          <w:sz w:val="21"/>
          <w:szCs w:val="21"/>
        </w:rPr>
        <w:t xml:space="preserve">Texte de création et statuts de la RFCK, et articulation précise de ses compétences avec celles de la régie fiscale provinciale et du service des transports.</w:t>
      </w:r>
    </w:p>
    <w:p>
      <w:pPr>
        <w:spacing w:after="60" w:line="264"/>
        <w:ind w:left="360" w:hanging="260"/>
      </w:pPr>
      <w:r>
        <w:rPr>
          <w:b/>
          <w:bCs/>
          <w:sz w:val="21"/>
          <w:szCs w:val="21"/>
        </w:rPr>
        <w:t xml:space="preserve">10. </w:t>
      </w:r>
      <w:r>
        <w:rPr>
          <w:sz w:val="21"/>
          <w:szCs w:val="21"/>
        </w:rPr>
        <w:t xml:space="preserve">Arrêté ministériel du 12 novembre 2025 : texte intégral, périodicité du contrôle technique, tarifs applicables et procédure encadrant l'immobilisation puis la disposition des véhicules non conformes.</w:t>
      </w:r>
    </w:p>
    <w:p>
      <w:pPr>
        <w:spacing w:after="60" w:line="264"/>
        <w:ind w:left="360" w:hanging="260"/>
      </w:pPr>
      <w:r>
        <w:rPr>
          <w:b/>
          <w:bCs/>
          <w:sz w:val="21"/>
          <w:szCs w:val="21"/>
        </w:rPr>
        <w:t xml:space="preserve">11. </w:t>
      </w:r>
      <w:r>
        <w:rPr>
          <w:sz w:val="21"/>
          <w:szCs w:val="21"/>
        </w:rPr>
        <w:t xml:space="preserve">Base légale et barèmes des redevances d'enlèvement et de gardiennage en fourrière, et régime des recettes non fiscales correspondantes.</w:t>
      </w:r>
    </w:p>
    <w:p>
      <w:pPr>
        <w:spacing w:after="60" w:line="264"/>
        <w:ind w:left="360" w:hanging="260"/>
      </w:pPr>
      <w:r>
        <w:rPr>
          <w:b/>
          <w:bCs/>
          <w:sz w:val="21"/>
          <w:szCs w:val="21"/>
        </w:rPr>
        <w:t xml:space="preserve">12. </w:t>
      </w:r>
      <w:r>
        <w:rPr>
          <w:sz w:val="21"/>
          <w:szCs w:val="21"/>
        </w:rPr>
        <w:t xml:space="preserve">Nom de domaine officiel de la Ville Province destiné aux services publics de vérification, et titularité de son enregistrement et de son certificat.</w:t>
      </w:r>
    </w:p>
    <w:p>
      <w:pPr>
        <w:spacing w:after="60" w:line="264"/>
        <w:ind w:left="360" w:hanging="260"/>
      </w:pPr>
      <w:r>
        <w:rPr>
          <w:b/>
          <w:bCs/>
          <w:sz w:val="21"/>
          <w:szCs w:val="21"/>
        </w:rPr>
        <w:t xml:space="preserve">13. </w:t>
      </w:r>
      <w:r>
        <w:rPr>
          <w:sz w:val="21"/>
          <w:szCs w:val="21"/>
        </w:rPr>
        <w:t xml:space="preserve">Valeur probante de la vignette électronique et de la vérification en ligne, au regard du Code du numérique et des textes régissant le contrôle technique.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F84"/>
        <w:sz w:val="16"/>
        <w:szCs w:val="16"/>
      </w:rPr>
      <w:t xml:space="preserve">Groupe Nseya Digital · Document de travail soumis à validation juridique · </w:t>
    </w:r>
    <w:r>
      <w:rPr>
        <w:color w:val="6B7F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DB" w:sz="6" w:space="4"/>
      </w:pBdr>
      <w:jc w:val="right"/>
    </w:pPr>
    <w:r>
      <w:rPr>
        <w:color w:val="6B7F84"/>
        <w:sz w:val="16"/>
        <w:szCs w:val="16"/>
      </w:rPr>
      <w:t xml:space="preserve">KINSHASA MOSOLO — Document maître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BA996" w:sz="10" w:space="4"/>
      </w:pBdr>
      <w:spacing w:after="160" w:before="400"/>
    </w:pPr>
    <w:rPr>
      <w:rFonts w:ascii="Calibri" w:cs="Calibri" w:eastAsia="Calibri" w:hAnsi="Calibri"/>
      <w:b/>
      <w:bCs/>
      <w:color w:val="10262C"/>
      <w:sz w:val="34"/>
      <w:szCs w:val="34"/>
    </w:rPr>
  </w:style>
  <w:style w:type="paragraph" w:styleId="Heading2">
    <w:name w:val="Heading 2"/>
    <w:basedOn w:val="Normal"/>
    <w:next w:val="Normal"/>
    <w:qFormat/>
    <w:pPr>
      <w:spacing w:after="120" w:before="280"/>
    </w:pPr>
    <w:rPr>
      <w:rFonts w:ascii="Calibri" w:cs="Calibri" w:eastAsia="Calibri" w:hAnsi="Calibri"/>
      <w:b/>
      <w:bCs/>
      <w:color w:val="0F7466"/>
      <w:sz w:val="26"/>
      <w:szCs w:val="26"/>
    </w:rPr>
  </w:style>
  <w:style w:type="paragraph" w:styleId="Heading3">
    <w:name w:val="Heading 3"/>
    <w:basedOn w:val="Normal"/>
    <w:next w:val="Normal"/>
    <w:qFormat/>
    <w:pPr>
      <w:spacing w:after="100" w:before="220"/>
    </w:pPr>
    <w:rPr>
      <w:rFonts w:ascii="Calibri" w:cs="Calibri" w:eastAsia="Calibri" w:hAnsi="Calibri"/>
      <w:b/>
      <w:bCs/>
      <w:color w:val="10262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Item">
    <w:name w:val="List Item"/>
    <w:basedOn w:val="Normal"/>
    <w:qFormat/>
    <w:pPr>
      <w:spacing w:after="60" w:line="264"/>
      <w:ind w:left="360" w:hanging="26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KINSHASA MOSOLO — Document maître</dc:title>
  <dc:creator>Groupe Nseya Digital</dc:creator>
  <dc:description>Système d'exploitation souverain de maximisation des recettes de la Ville Province de Kinshasa</dc:description>
  <cp:lastModifiedBy>Un-named</cp:lastModifiedBy>
  <cp:revision>1</cp:revision>
  <dcterms:created xsi:type="dcterms:W3CDTF">2026-09-24T12:45:51.385Z</dcterms:created>
  <dcterms:modified xsi:type="dcterms:W3CDTF">2026-09-24T12:45:51.395Z</dcterms:modified>
</cp:coreProperties>
</file>

<file path=docProps/custom.xml><?xml version="1.0" encoding="utf-8"?>
<Properties xmlns="http://schemas.openxmlformats.org/officeDocument/2006/custom-properties" xmlns:vt="http://schemas.openxmlformats.org/officeDocument/2006/docPropsVTypes"/>
</file>